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1AB" w:rsidP="009541AB">
      <w:pPr>
        <w:pStyle w:val="Title"/>
      </w:pPr>
      <w:bookmarkStart w:id="0" w:name="_GoBack"/>
      <w:bookmarkEnd w:id="0"/>
      <w:r>
        <w:fldChar w:fldCharType="begin"/>
      </w:r>
      <w:r>
        <w:instrText xml:space="preserve"> TITLE   \* MERGEFORMAT </w:instrText>
      </w:r>
      <w:r>
        <w:fldChar w:fldCharType="separate"/>
      </w:r>
      <w:r>
        <w:t>UEENEEG198A Apply compliance requirements to all aspects of electrical work</w:t>
      </w:r>
      <w:r>
        <w:fldChar w:fldCharType="end"/>
      </w:r>
    </w:p>
    <w:p w:rsidR="009541AB" w:rsidP="009541AB">
      <w:pPr>
        <w:pStyle w:val="Version"/>
        <w:sectPr w:rsidSect="00183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315" w:rsidP="00183315">
      <w:pPr>
        <w:pStyle w:val="SuperHeading"/>
      </w:pPr>
      <w:r w:rsidRPr="00183315">
        <w:t>UEENEEG198A Apply compliance requirements to all aspects of electrical work</w:t>
      </w:r>
    </w:p>
    <w:p w:rsidR="00000000" w:rsidRPr="00183315" w:rsidP="00183315">
      <w:pPr>
        <w:pStyle w:val="Heading1"/>
      </w:pPr>
      <w:bookmarkStart w:id="1" w:name="O_420469"/>
      <w:bookmarkEnd w:id="1"/>
      <w:r w:rsidRPr="00183315">
        <w:t>Modification History</w:t>
      </w:r>
    </w:p>
    <w:p w:rsidR="00000000" w:rsidRPr="00183315" w:rsidP="00183315">
      <w:pPr>
        <w:pStyle w:val="BodyText"/>
      </w:pPr>
      <w:r w:rsidRPr="00183315">
        <w:t>Not applicable.</w:t>
      </w:r>
    </w:p>
    <w:p w:rsidR="00000000" w:rsidRPr="00183315" w:rsidP="00183315">
      <w:pPr>
        <w:pStyle w:val="AllowPageBreak"/>
      </w:pPr>
    </w:p>
    <w:p w:rsidR="00000000" w:rsidRPr="00183315" w:rsidP="00183315">
      <w:pPr>
        <w:pStyle w:val="Heading1"/>
      </w:pPr>
      <w:bookmarkStart w:id="2" w:name="O_420467"/>
      <w:bookmarkEnd w:id="2"/>
      <w:r w:rsidRPr="00183315">
        <w:t>Unit Descriptor</w:t>
      </w:r>
    </w:p>
    <w:tbl>
      <w:tblPr>
        <w:tblW w:w="0" w:type="auto"/>
        <w:tblLayout w:type="fixed"/>
        <w:tblCellMar>
          <w:left w:w="62" w:type="dxa"/>
          <w:right w:w="62" w:type="dxa"/>
        </w:tblCellMar>
        <w:tblLook w:val="0000"/>
      </w:tblPr>
      <w:tblGrid>
        <w:gridCol w:w="2700"/>
        <w:gridCol w:w="5760"/>
      </w:tblGrid>
      <w:tr w:rsidTr="00954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Unit</w:t>
            </w:r>
            <w:r w:rsidRPr="00183315">
              <w:rPr>
                <w:rStyle w:val="SpecialBold"/>
              </w:rPr>
              <w:t xml:space="preserve"> Descriptor</w:t>
            </w:r>
          </w:p>
        </w:tc>
        <w:tc>
          <w:tcPr>
            <w:tcW w:w="57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1)</w:t>
            </w:r>
            <w:r w:rsidRPr="00183315">
              <w:t xml:space="preserve"> </w:t>
            </w:r>
            <w:r w:rsidRPr="00183315">
              <w:rPr>
                <w:rStyle w:val="SpecialBold"/>
              </w:rPr>
              <w:t>Scope:</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331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1.1) Descriptor</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 xml:space="preserve">This unit covers competencies to apply OHS and electrical installation safety obligations of persons licensed to undertake electrical work. </w:t>
            </w:r>
            <w:r w:rsidRPr="00183315">
              <w:t xml:space="preserve"> It encompasses OHS requirements for identifying hazards, establishing levels of risk mitigation control, following safe working methods, determining whether an electrical installation is compliant, dealing with installation defects and documenting activit</w:t>
            </w:r>
            <w:r w:rsidRPr="00183315">
              <w:t xml:space="preserve">ies and outcomes. </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3" w:name="O_420456"/>
      <w:bookmarkEnd w:id="3"/>
      <w:r w:rsidRPr="00183315">
        <w:t>Application of the Unit</w:t>
      </w:r>
    </w:p>
    <w:tbl>
      <w:tblPr>
        <w:tblW w:w="0" w:type="auto"/>
        <w:tblLayout w:type="fixed"/>
        <w:tblCellMar>
          <w:left w:w="62" w:type="dxa"/>
          <w:right w:w="62" w:type="dxa"/>
        </w:tblCellMar>
        <w:tblLook w:val="0000"/>
      </w:tblPr>
      <w:tblGrid>
        <w:gridCol w:w="2672"/>
        <w:gridCol w:w="5699"/>
      </w:tblGrid>
      <w:tr w:rsidTr="009541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2)</w:t>
            </w:r>
          </w:p>
        </w:tc>
      </w:tr>
      <w:tr w:rsidTr="009541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 xml:space="preserve">This unit is intended for electrical license holders who, according to the regulatory authority, have exhibited recalcitrance in their licence </w:t>
            </w:r>
            <w:r w:rsidRPr="00183315">
              <w:t>and/or OHS obligations.</w:t>
            </w:r>
          </w:p>
          <w:p w:rsidR="00000000" w:rsidRPr="00183315" w:rsidP="00183315">
            <w:pPr>
              <w:pStyle w:val="BodyText"/>
            </w:pPr>
            <w:r w:rsidRPr="00183315">
              <w:t>It may be called up electrical safety or OHS authority as a means of retraining of such license holders. Incompetence in not meeting required obligation could result from:</w:t>
            </w:r>
          </w:p>
          <w:p w:rsidR="00000000" w:rsidRPr="00183315" w:rsidP="00183315">
            <w:pPr>
              <w:pStyle w:val="BodyText"/>
            </w:pPr>
            <w:r w:rsidRPr="00183315">
              <w:t>A competent person acting incompetently, or</w:t>
            </w:r>
          </w:p>
          <w:p w:rsidR="00000000" w:rsidRPr="00183315" w:rsidP="00183315">
            <w:pPr>
              <w:pStyle w:val="BodyText"/>
            </w:pPr>
            <w:r w:rsidRPr="00183315">
              <w:t>A previously com</w:t>
            </w:r>
            <w:r w:rsidRPr="00183315">
              <w:t>petent person failing to keep abreast of changes and developments in the OHS requirements and practices, the Wiring Rules and local service rules and related regulatory requirements.</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4" w:name="O_420463"/>
      <w:bookmarkEnd w:id="4"/>
      <w:r w:rsidRPr="00183315">
        <w:t>Licensing/Regulatory Information</w:t>
      </w:r>
    </w:p>
    <w:tbl>
      <w:tblPr>
        <w:tblW w:w="0" w:type="auto"/>
        <w:tblLayout w:type="fixed"/>
        <w:tblCellMar>
          <w:left w:w="62" w:type="dxa"/>
          <w:right w:w="62" w:type="dxa"/>
        </w:tblCellMar>
        <w:tblLook w:val="0000"/>
      </w:tblPr>
      <w:tblGrid>
        <w:gridCol w:w="2700"/>
        <w:gridCol w:w="5760"/>
      </w:tblGrid>
      <w:tr w:rsidTr="00954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3</w:t>
            </w:r>
            <w:r w:rsidRPr="00183315">
              <w:rPr>
                <w:rStyle w:val="SpecialBold"/>
              </w:rPr>
              <w:t xml:space="preserve">) </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 xml:space="preserve">During Training: Competency development activities are subject to regulations directly related to licencing, occupational health and safety and where applicable contracts of training such as apprenticeships. </w:t>
            </w:r>
          </w:p>
          <w:p w:rsidR="00000000" w:rsidRPr="00183315" w:rsidP="00183315">
            <w:pPr>
              <w:pStyle w:val="BodyText"/>
            </w:pPr>
            <w:r w:rsidRPr="00183315">
              <w:t>In the workplace: The application of the s</w:t>
            </w:r>
            <w:r w:rsidRPr="00183315">
              <w:t xml:space="preserve">kills and knowledge described in this unit require a license to practice in the workplace where work is carried out on electrical equipment or installations which are designed to operate at voltages greater than 50 V a.c. or 120 V d.c. </w:t>
            </w:r>
          </w:p>
          <w:p w:rsidR="00000000" w:rsidRPr="00183315" w:rsidP="00183315">
            <w:pPr>
              <w:pStyle w:val="BodyText"/>
            </w:pPr>
            <w:r w:rsidRPr="00183315">
              <w:t xml:space="preserve">Other conditions may apply under State and Territory legislative and regulatory requirements. </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5" w:name="O_420464"/>
      <w:bookmarkEnd w:id="5"/>
      <w:r w:rsidRPr="00183315">
        <w:t>Pre-Requisites</w:t>
      </w:r>
    </w:p>
    <w:tbl>
      <w:tblPr>
        <w:tblW w:w="0" w:type="auto"/>
        <w:tblLayout w:type="fixed"/>
        <w:tblCellMar>
          <w:left w:w="62" w:type="dxa"/>
          <w:right w:w="62" w:type="dxa"/>
        </w:tblCellMar>
        <w:tblLook w:val="0000"/>
      </w:tblPr>
      <w:tblGrid>
        <w:gridCol w:w="2700"/>
        <w:gridCol w:w="5760"/>
      </w:tblGrid>
      <w:tr w:rsidTr="00954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 xml:space="preserve">4) </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4.1)</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Granting com</w:t>
            </w:r>
            <w:r w:rsidRPr="00183315">
              <w:t>petency in this unit shall be made only after has been confirmed that the participant is a practicing ‘electrician’ and hold a current ‘Unrestricted Electrician’s Licence’ issued in an Australian State or Territory.</w:t>
            </w:r>
          </w:p>
        </w:tc>
      </w:tr>
    </w:tbl>
    <w:p w:rsidR="00000000" w:rsidRPr="00183315" w:rsidP="0018331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541A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 xml:space="preserve">4.2) </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Participants are best equipped to achieve competency in this unit if they have reading, writing and numeracy skills indicated by the following scales. Description of each scale is given in Volume 2, Part 3 ‘Literacy and Numeracy’</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Reading</w:t>
            </w:r>
          </w:p>
        </w:tc>
        <w:tc>
          <w:tcPr>
            <w:tcW w:w="81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5</w:t>
            </w:r>
          </w:p>
        </w:tc>
        <w:tc>
          <w:tcPr>
            <w:tcW w:w="99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Writing</w:t>
            </w: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5</w:t>
            </w:r>
          </w:p>
        </w:tc>
        <w:tc>
          <w:tcPr>
            <w:tcW w:w="12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Numeracy</w:t>
            </w:r>
          </w:p>
        </w:tc>
        <w:tc>
          <w:tcPr>
            <w:tcW w:w="72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5</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6" w:name="O_420460"/>
      <w:bookmarkEnd w:id="6"/>
      <w:r w:rsidRPr="00183315">
        <w:t>Employability Skills Information</w:t>
      </w:r>
    </w:p>
    <w:tbl>
      <w:tblPr>
        <w:tblW w:w="0" w:type="auto"/>
        <w:tblLayout w:type="fixed"/>
        <w:tblCellMar>
          <w:left w:w="62" w:type="dxa"/>
          <w:right w:w="62" w:type="dxa"/>
        </w:tblCellMar>
        <w:tblLook w:val="0000"/>
      </w:tblPr>
      <w:tblGrid>
        <w:gridCol w:w="2700"/>
        <w:gridCol w:w="5760"/>
      </w:tblGrid>
      <w:tr w:rsidTr="00954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 xml:space="preserve">5) </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 xml:space="preserve">The required outcomes described in this unit of competency contain applicable facets of Employability Skills. The Employability Skills Summary </w:t>
            </w:r>
            <w:r w:rsidRPr="00183315">
              <w:t>of the qualification in which this unit of competency is packaged will assist in identifying Employability Skill requirements.</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7" w:name="O_420459"/>
      <w:bookmarkEnd w:id="7"/>
      <w:r w:rsidRPr="00183315">
        <w:t>Elements and Performance Criteria Pre-Content</w:t>
      </w:r>
    </w:p>
    <w:tbl>
      <w:tblPr>
        <w:tblW w:w="0" w:type="auto"/>
        <w:tblLayout w:type="fixed"/>
        <w:tblCellMar>
          <w:left w:w="62" w:type="dxa"/>
          <w:right w:w="62" w:type="dxa"/>
        </w:tblCellMar>
        <w:tblLook w:val="0000"/>
      </w:tblPr>
      <w:tblGrid>
        <w:gridCol w:w="2700"/>
        <w:gridCol w:w="5760"/>
      </w:tblGrid>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6)</w:t>
            </w:r>
            <w:r w:rsidRPr="00183315">
              <w:t xml:space="preserve"> Elements describe the essential outcomes of a competency stan</w:t>
            </w:r>
            <w:r w:rsidRPr="00183315">
              <w:t>dard unit</w:t>
            </w:r>
          </w:p>
        </w:tc>
        <w:tc>
          <w:tcPr>
            <w:tcW w:w="57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Performance Criteria describe the required performance needed to demonstrate achievement of the element. Assessment of performance is to be consistent with the Evidence Guide.</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8" w:name="O_420458"/>
      <w:bookmarkEnd w:id="8"/>
      <w:r w:rsidRPr="0018331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541A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PERFORMANCE CRITERIA</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1</w:t>
            </w:r>
          </w:p>
        </w:tc>
        <w:tc>
          <w:tcPr>
            <w:tcW w:w="2296" w:type="dxa"/>
            <w:vMerge w:val="restart"/>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Apply OHS compliance requirements</w:t>
            </w: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1.1</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 xml:space="preserve">Permission to enter a work site, such as construction industry ‘White Card’, permit to work systems, industrial plant safety orientation, is obtain in accordance with OHS requirements. </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1.2</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OHS risk control measures and procedures given in Safe Work Method Statements (SWMS) or Job Safety Analysis (JSA) documents followed.</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1.3</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New or changed hazards are identified, the level of risk they pose assigned and control measures established before any related work is commenced.</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1.4</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The level of risk and control measures for a new or changed hazard is documented in accordance with OH</w:t>
            </w:r>
            <w:r w:rsidRPr="00183315">
              <w:t>S requirements.</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1.5</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 xml:space="preserve">Hazards created by other site activities are referred to person of appropriate authority such as company or site safety officer, construction project manager, employee representative and </w:t>
            </w:r>
            <w:r w:rsidRPr="00183315">
              <w:t>the like.</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1.6</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OHS documents including inci</w:t>
            </w:r>
            <w:r w:rsidRPr="00183315">
              <w:t>dents and issues reports are maintained in accordance with requirements with copies at the relevant work sites.</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2</w:t>
            </w:r>
          </w:p>
        </w:tc>
        <w:tc>
          <w:tcPr>
            <w:tcW w:w="2296" w:type="dxa"/>
            <w:vMerge w:val="restart"/>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Ensure electrical installations are safe for use</w:t>
            </w: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2.1</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OHS risk control measures and procedures for carrying out the work are followed.</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2.2</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The need to test or measure live is determined in strict accordance with OHS requirements and when necessary conducted within established safety procedures.</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2.3</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Circuits/machines/plant are checked as being isolated where necessary in strict accordance OHS requirements and procedures.</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2.4</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Compliance of an installation is determined in accordance with AS/NZS 3000 Wiring Rules Part 2 Section 8 following AS/NZS 301</w:t>
            </w:r>
            <w:r w:rsidRPr="00183315">
              <w:t>7 Electrical Installations— Verification guidelines</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3</w:t>
            </w:r>
          </w:p>
        </w:tc>
        <w:tc>
          <w:tcPr>
            <w:tcW w:w="2296" w:type="dxa"/>
            <w:vMerge w:val="restart"/>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Document electrical installation verification compliance activities</w:t>
            </w: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3.1</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Non-compliance defects are identified and reported in accordance with established procedures.</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3.2</w:t>
            </w:r>
          </w:p>
        </w:tc>
        <w:tc>
          <w:tcPr>
            <w:tcW w:w="48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Recommendations for rectifying defects are made in accordance with established procedures.</w:t>
            </w:r>
          </w:p>
        </w:tc>
      </w:tr>
      <w:tr w:rsidTr="00954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t>3.3</w:t>
            </w:r>
          </w:p>
        </w:tc>
        <w:tc>
          <w:tcPr>
            <w:tcW w:w="48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Mandatory documentation is completed in accordance with established procedures.</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9" w:name="O_420466"/>
      <w:bookmarkEnd w:id="9"/>
      <w:r w:rsidRPr="00183315">
        <w:t>Required Skills and Knowledge</w:t>
      </w:r>
    </w:p>
    <w:tbl>
      <w:tblPr>
        <w:tblW w:w="0" w:type="auto"/>
        <w:tblLayout w:type="fixed"/>
        <w:tblCellMar>
          <w:left w:w="62" w:type="dxa"/>
          <w:right w:w="62" w:type="dxa"/>
        </w:tblCellMar>
        <w:tblLook w:val="0000"/>
      </w:tblPr>
      <w:tblGrid>
        <w:gridCol w:w="8460"/>
      </w:tblGrid>
      <w:tr w:rsidTr="009541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REQUIRED SKILLS AND KNOWLEDGE</w:t>
            </w:r>
          </w:p>
        </w:tc>
      </w:tr>
      <w:tr w:rsidTr="009541A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8)</w:t>
            </w:r>
            <w:r w:rsidRPr="00183315">
              <w:t xml:space="preserve"> This describes the essential skills and knowledge and their level, required for this unit.</w:t>
            </w:r>
          </w:p>
          <w:p w:rsidR="00000000" w:rsidRPr="00183315" w:rsidP="00183315">
            <w:pPr>
              <w:pStyle w:val="BodyText"/>
            </w:pPr>
            <w:r w:rsidRPr="00183315">
              <w:t>Evidence shall show that knowledge has been acquired of compliance requirements to all aspects of electrical work.</w:t>
            </w:r>
          </w:p>
          <w:p w:rsidR="00000000" w:rsidRPr="00183315" w:rsidP="00183315">
            <w:pPr>
              <w:pStyle w:val="BodyText"/>
            </w:pPr>
            <w:r w:rsidRPr="00183315">
              <w:t>All knowledge and skills detailed in this uni</w:t>
            </w:r>
            <w:r w:rsidRPr="00183315">
              <w:t>t should be contextualised to current industry practices and technologies.</w:t>
            </w:r>
          </w:p>
          <w:p w:rsidR="00000000" w:rsidRPr="00183315" w:rsidP="00183315">
            <w:pPr>
              <w:pStyle w:val="BodyText"/>
            </w:pPr>
            <w:r w:rsidRPr="00183315">
              <w:rPr>
                <w:rStyle w:val="SpecialBold"/>
              </w:rPr>
              <w:t>KS01-EG198A</w:t>
            </w:r>
            <w:r w:rsidRPr="00183315">
              <w:rPr>
                <w:rStyle w:val="SpecialBold"/>
              </w:rPr>
              <w:tab/>
              <w:t xml:space="preserve">              Electrical work compliance requirements</w:t>
            </w:r>
          </w:p>
          <w:p w:rsidR="00000000" w:rsidRPr="00183315" w:rsidP="00183315">
            <w:pPr>
              <w:pStyle w:val="BodyText"/>
            </w:pPr>
            <w:r w:rsidRPr="00183315">
              <w:t>Evidence shall show an understanding of compliance requirements to all aspects of electrical work testing and verif</w:t>
            </w:r>
            <w:r w:rsidRPr="00183315">
              <w:t>ication to an extent indicated by the following aspects:</w:t>
            </w:r>
          </w:p>
          <w:p w:rsidR="00000000" w:rsidRPr="00183315" w:rsidP="00183315">
            <w:pPr>
              <w:pStyle w:val="BodyText"/>
            </w:pPr>
            <w:r w:rsidRPr="00183315">
              <w:t>T1</w:t>
            </w:r>
            <w:r w:rsidRPr="00183315">
              <w:tab/>
              <w:t>OHS requirements encompassing:</w:t>
            </w:r>
          </w:p>
          <w:p w:rsidR="00000000" w:rsidRPr="00183315" w:rsidP="00183315">
            <w:pPr>
              <w:pStyle w:val="ListBullet"/>
            </w:pPr>
            <w:r w:rsidRPr="00183315">
              <w:t>Legislated regulations</w:t>
            </w:r>
          </w:p>
          <w:p w:rsidR="00000000" w:rsidRPr="00183315" w:rsidP="00183315">
            <w:pPr>
              <w:pStyle w:val="ListBullet"/>
            </w:pPr>
            <w:r w:rsidRPr="00183315">
              <w:t>Responsibilities of employers and employees</w:t>
            </w:r>
          </w:p>
          <w:p w:rsidR="00000000" w:rsidRPr="00183315" w:rsidP="00183315">
            <w:pPr>
              <w:pStyle w:val="ListBullet"/>
            </w:pPr>
            <w:r w:rsidRPr="00183315">
              <w:t>Hazards and risks and control measures</w:t>
            </w:r>
          </w:p>
          <w:p w:rsidR="00000000" w:rsidRPr="00183315" w:rsidP="00183315">
            <w:pPr>
              <w:pStyle w:val="ListBullet"/>
            </w:pPr>
            <w:r w:rsidRPr="00183315">
              <w:t>Safe Work Method Statements (SWMS) / Job safety analysis (J</w:t>
            </w:r>
            <w:r w:rsidRPr="00183315">
              <w:t>SAs)</w:t>
            </w:r>
          </w:p>
          <w:p w:rsidR="00000000" w:rsidRPr="00183315" w:rsidP="00183315">
            <w:pPr>
              <w:pStyle w:val="ListBullet"/>
            </w:pPr>
            <w:r w:rsidRPr="00183315">
              <w:t xml:space="preserve">Identifying potential workplace hazards and establishing control measures </w:t>
            </w:r>
          </w:p>
          <w:p w:rsidR="00000000" w:rsidRPr="00183315" w:rsidP="00183315">
            <w:pPr>
              <w:pStyle w:val="ListBullet"/>
            </w:pPr>
            <w:r w:rsidRPr="00183315">
              <w:t xml:space="preserve">Maintaining OHS documents </w:t>
            </w:r>
          </w:p>
          <w:p w:rsidR="00000000" w:rsidRPr="00183315" w:rsidP="00183315">
            <w:pPr>
              <w:pStyle w:val="BodyText"/>
            </w:pPr>
            <w:r w:rsidRPr="00183315">
              <w:t>T2</w:t>
            </w:r>
            <w:r w:rsidRPr="00183315">
              <w:tab/>
              <w:t>Electrical installation safety requirements encompassing:</w:t>
            </w:r>
          </w:p>
          <w:p w:rsidR="00000000" w:rsidRPr="00183315" w:rsidP="00183315">
            <w:pPr>
              <w:pStyle w:val="ListBullet"/>
            </w:pPr>
            <w:r w:rsidRPr="00183315">
              <w:t>Legislated regulations</w:t>
            </w:r>
          </w:p>
          <w:p w:rsidR="00000000" w:rsidRPr="00183315" w:rsidP="00183315">
            <w:pPr>
              <w:pStyle w:val="ListBullet"/>
            </w:pPr>
            <w:r w:rsidRPr="00183315">
              <w:t>Visual inspecting of installations</w:t>
            </w:r>
          </w:p>
          <w:p w:rsidR="00000000" w:rsidRPr="00183315" w:rsidP="00183315">
            <w:pPr>
              <w:pStyle w:val="ListBullet"/>
            </w:pPr>
            <w:r w:rsidRPr="00183315">
              <w:t>Testing installations</w:t>
            </w:r>
          </w:p>
          <w:p w:rsidR="00000000" w:rsidRPr="00183315" w:rsidP="00183315">
            <w:pPr>
              <w:pStyle w:val="ListBullet"/>
            </w:pPr>
            <w:r w:rsidRPr="00183315">
              <w:t>Document</w:t>
            </w:r>
            <w:r w:rsidRPr="00183315">
              <w:t>ation</w:t>
            </w:r>
          </w:p>
          <w:p w:rsidR="00000000" w:rsidRPr="00183315" w:rsidP="00183315">
            <w:pPr>
              <w:pStyle w:val="ListContinue2"/>
            </w:pPr>
            <w:r w:rsidRPr="00183315">
              <w:t>Note:</w:t>
            </w:r>
          </w:p>
          <w:p w:rsidR="00000000" w:rsidRPr="00183315" w:rsidP="00183315">
            <w:pPr>
              <w:pStyle w:val="ListContinue2"/>
            </w:pPr>
            <w:r w:rsidRPr="00183315">
              <w:t>Safety requirements include local service rules and application of  current editions AS/NZS 3000 Wiring Rules following AS/NZS 3017 Electrical installations — Verification guidelines</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10" w:name="O_420461"/>
      <w:bookmarkEnd w:id="10"/>
      <w:r w:rsidRPr="00183315">
        <w:t>Evidence Guide</w:t>
      </w:r>
    </w:p>
    <w:tbl>
      <w:tblPr>
        <w:tblW w:w="0" w:type="auto"/>
        <w:tblLayout w:type="fixed"/>
        <w:tblCellMar>
          <w:left w:w="62" w:type="dxa"/>
          <w:right w:w="62" w:type="dxa"/>
        </w:tblCellMar>
        <w:tblLook w:val="0000"/>
      </w:tblPr>
      <w:tblGrid>
        <w:gridCol w:w="8460"/>
      </w:tblGrid>
      <w:tr w:rsidTr="009541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EVIDENCE GUIDE</w:t>
            </w:r>
          </w:p>
        </w:tc>
      </w:tr>
      <w:tr w:rsidTr="009541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9)</w:t>
            </w:r>
            <w:r w:rsidRPr="00183315">
              <w:t xml:space="preserve"> This</w:t>
            </w:r>
            <w:r w:rsidRPr="00183315">
              <w:t xml:space="preserve"> provides essential advice for assessment of the unit. It must be read in conjunction with the performance criteria and the range statement of the unit and the Training Package Assessment Guidelines.</w:t>
            </w:r>
          </w:p>
          <w:p w:rsidR="00000000" w:rsidRPr="00183315" w:rsidP="00183315">
            <w:pPr>
              <w:pStyle w:val="BodyText"/>
            </w:pPr>
            <w:r w:rsidRPr="00183315">
              <w:t xml:space="preserve">The Evidence Guide forms an integral part of this unit. </w:t>
            </w:r>
            <w:r w:rsidRPr="00183315">
              <w:t>It must be used in conjunction with all parts of the unit and performed in accordance with the Assessment Guidelines of this Training Package.</w:t>
            </w:r>
          </w:p>
        </w:tc>
      </w:tr>
    </w:tbl>
    <w:p w:rsidR="00000000" w:rsidRPr="00183315" w:rsidP="00183315">
      <w:pPr>
        <w:pStyle w:val="BodyText"/>
      </w:pPr>
    </w:p>
    <w:tbl>
      <w:tblPr>
        <w:tblW w:w="0" w:type="auto"/>
        <w:tblLayout w:type="fixed"/>
        <w:tblCellMar>
          <w:left w:w="62" w:type="dxa"/>
          <w:right w:w="62" w:type="dxa"/>
        </w:tblCellMar>
        <w:tblLook w:val="0000"/>
      </w:tblPr>
      <w:tblGrid>
        <w:gridCol w:w="1890"/>
        <w:gridCol w:w="6570"/>
      </w:tblGrid>
      <w:tr w:rsidTr="00954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9.1)</w:t>
            </w:r>
          </w:p>
        </w:tc>
      </w:tr>
      <w:tr w:rsidTr="00954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 xml:space="preserve">Longitudinal competency development approaches to assessment, such as Profiling, </w:t>
            </w:r>
            <w:r w:rsidRPr="00183315">
              <w:t>require data to be reliably gathered in a form that can be consistently interpreted over time. This approach is best utilised in Apprenticeship programs and reduces assessment intervention. It is the industry-preferred model for apprenticeships. However, w</w:t>
            </w:r>
            <w:r w:rsidRPr="00183315">
              <w:t>here summative (or final) assessment is used it is to include the application of the competency in the normal work environment or, at a minimum, the application of the competency in a realistically simulated work environment. It is recognised that, in some</w:t>
            </w:r>
            <w:r w:rsidRPr="00183315">
              <w:t xml:space="preserve"> circumstances, assessment in part or full can occur outside the workplace. However, it must be in accordance with industry and regulatory policy.</w:t>
            </w:r>
          </w:p>
          <w:p w:rsidR="00000000" w:rsidRPr="00183315" w:rsidP="00183315">
            <w:pPr>
              <w:pStyle w:val="BodyText"/>
            </w:pPr>
            <w:r w:rsidRPr="00183315">
              <w:t>Methods chosen for a particular assessment will be influenced by various factors. These include the extent of</w:t>
            </w:r>
            <w:r w:rsidRPr="00183315">
              <w:t xml:space="preserve"> the assessment, the most effective locations for the assessment activities to take place, access to physical resources, additional safety measures that may be required and the critical nature of the competencies being assessed.</w:t>
            </w:r>
          </w:p>
          <w:p w:rsidR="00000000" w:rsidRPr="00183315" w:rsidP="00183315">
            <w:pPr>
              <w:pStyle w:val="BodyText"/>
            </w:pPr>
            <w:r w:rsidRPr="00183315">
              <w:t xml:space="preserve">The critical safety nature </w:t>
            </w:r>
            <w:r w:rsidRPr="00183315">
              <w:t>of working with electricity, electrical equipment, gas or any other hazardous substance/material carries risk in deeming a person competent. Sources of evidence need to be ‘rich’ in nature to minimise error in judgment.</w:t>
            </w:r>
          </w:p>
          <w:p w:rsidR="00000000" w:rsidRPr="00183315" w:rsidP="00183315">
            <w:pPr>
              <w:pStyle w:val="BodyText"/>
            </w:pPr>
            <w:r w:rsidRPr="00183315">
              <w:t>Activities associated with normal everyday work have a bearing on the decision as to how much and how detailed the data gathered will contribute to its ‘richness’. Some skills are more critical to safety and operational requirements while the same skills m</w:t>
            </w:r>
            <w:r w:rsidRPr="00183315">
              <w:t>ay be more or less frequently practised. These points are raised for the assessors to consider when choosing an assessment method and developing assessment instruments. Sample assessment instruments are included for Assessors in the Assessment Guidelines o</w:t>
            </w:r>
            <w:r w:rsidRPr="00183315">
              <w:t>f this Training Package.</w:t>
            </w:r>
          </w:p>
        </w:tc>
      </w:tr>
    </w:tbl>
    <w:p w:rsidR="00000000" w:rsidRPr="00183315" w:rsidP="00183315">
      <w:pPr>
        <w:pStyle w:val="BodyText"/>
      </w:pPr>
    </w:p>
    <w:tbl>
      <w:tblPr>
        <w:tblW w:w="0" w:type="auto"/>
        <w:tblLayout w:type="fixed"/>
        <w:tblCellMar>
          <w:left w:w="62" w:type="dxa"/>
          <w:right w:w="62" w:type="dxa"/>
        </w:tblCellMar>
        <w:tblLook w:val="0000"/>
      </w:tblPr>
      <w:tblGrid>
        <w:gridCol w:w="1890"/>
        <w:gridCol w:w="6570"/>
      </w:tblGrid>
      <w:tr w:rsidTr="009541AB">
        <w:tblPrEx>
          <w:tblW w:w="0" w:type="auto"/>
          <w:tblLayout w:type="fixed"/>
          <w:tblCellMar>
            <w:left w:w="62" w:type="dxa"/>
            <w:right w:w="62" w:type="dxa"/>
          </w:tblCellMar>
          <w:tblLook w:val="0000"/>
        </w:tblPrEx>
        <w:trPr>
          <w:trHeight w:val="935"/>
        </w:trPr>
        <w:tc>
          <w:tcPr>
            <w:tcW w:w="189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9.2)</w:t>
            </w:r>
          </w:p>
        </w:tc>
      </w:tr>
      <w:tr w:rsidTr="00954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Before the critical aspects of evidence are considered all prerequisites must be met.</w:t>
            </w:r>
          </w:p>
          <w:p w:rsidR="00000000" w:rsidRPr="00183315" w:rsidP="00183315">
            <w:pPr>
              <w:pStyle w:val="BodyText"/>
            </w:pPr>
            <w:r w:rsidRPr="00183315">
              <w:t>Evidence for competence in this unit shall be considered ho</w:t>
            </w:r>
            <w:r w:rsidRPr="00183315">
              <w:t>listically.  Each element and associated performance criteria shall be demonstrated on at least two occasions in accordance with the ‘Assessment Guidelines – UEE11’.  Evidence shall also comprise:</w:t>
            </w:r>
          </w:p>
          <w:p w:rsidR="00000000" w:rsidRPr="00183315" w:rsidP="00183315">
            <w:pPr>
              <w:pStyle w:val="ListBullet"/>
            </w:pPr>
            <w:r w:rsidRPr="00183315">
              <w:t xml:space="preserve">A representative body of performance criteria demonstrated </w:t>
            </w:r>
            <w:r w:rsidRPr="00183315">
              <w:t>within the timeframes typically expected of the discipline, work function and industrial environment. In particular this shall incorporate evidence that shows a candidate is able to:</w:t>
            </w:r>
          </w:p>
          <w:p w:rsidR="00000000" w:rsidRPr="00183315" w:rsidP="00183315">
            <w:pPr>
              <w:pStyle w:val="ListBullet2"/>
            </w:pPr>
            <w:r w:rsidRPr="00183315">
              <w:t>Implement Occupational Health and Safety workplace procedures and practi</w:t>
            </w:r>
            <w:r w:rsidRPr="00183315">
              <w:t>ces, including the use of risk control measures as specified in the performance criteria and range statement</w:t>
            </w:r>
          </w:p>
          <w:p w:rsidR="00000000" w:rsidRPr="00183315" w:rsidP="00183315">
            <w:pPr>
              <w:pStyle w:val="ListBullet2"/>
            </w:pPr>
            <w:r w:rsidRPr="00183315">
              <w:t>Apply sustainable energy principles and practices as specified in the performance criteria and range statement</w:t>
            </w:r>
          </w:p>
          <w:p w:rsidR="00000000" w:rsidRPr="00183315" w:rsidP="00183315">
            <w:pPr>
              <w:pStyle w:val="ListBullet2"/>
            </w:pPr>
            <w:r w:rsidRPr="00183315">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183315" w:rsidP="00183315">
            <w:pPr>
              <w:pStyle w:val="ListBullet2"/>
            </w:pPr>
            <w:r w:rsidRPr="00183315">
              <w:t>Demo</w:t>
            </w:r>
            <w:r w:rsidRPr="00183315">
              <w:t>nstrate an appropriate level of skills enabling employment</w:t>
            </w:r>
          </w:p>
          <w:p w:rsidR="00000000" w:rsidRPr="00183315" w:rsidP="00183315">
            <w:pPr>
              <w:pStyle w:val="ListBullet2"/>
            </w:pPr>
            <w:r w:rsidRPr="00183315">
              <w:t>Conduct work observing the relevant Anti Discrimination legislation, regulations, polices and workplace procedures</w:t>
            </w:r>
          </w:p>
          <w:p w:rsidR="00000000" w:rsidRPr="00183315" w:rsidP="00183315">
            <w:pPr>
              <w:pStyle w:val="ListBullet"/>
            </w:pPr>
            <w:r w:rsidRPr="00183315">
              <w:t>Demonstrated consistent performance across a representative range of contexts from</w:t>
            </w:r>
            <w:r w:rsidRPr="00183315">
              <w:t xml:space="preserve"> the prescribed items below:</w:t>
            </w:r>
          </w:p>
          <w:p w:rsidR="00000000" w:rsidRPr="00183315" w:rsidP="00183315">
            <w:pPr>
              <w:pStyle w:val="ListBullet2"/>
            </w:pPr>
            <w:r w:rsidRPr="00183315">
              <w:t>Applying compliance requirements to all aspects of electrical work as described in 8) and including:</w:t>
            </w:r>
          </w:p>
          <w:p w:rsidR="00000000" w:rsidRPr="00183315" w:rsidP="00183315">
            <w:pPr>
              <w:pStyle w:val="BodyText"/>
            </w:pPr>
            <w:r w:rsidRPr="00183315">
              <w:t>A</w:t>
            </w:r>
            <w:r w:rsidRPr="00183315">
              <w:tab/>
              <w:t>Following requirements to gain entry to a work site</w:t>
            </w:r>
          </w:p>
          <w:p w:rsidR="00000000" w:rsidRPr="00183315" w:rsidP="00183315">
            <w:pPr>
              <w:pStyle w:val="BodyText"/>
            </w:pPr>
            <w:r w:rsidRPr="00183315">
              <w:t>B</w:t>
            </w:r>
            <w:r w:rsidRPr="00183315">
              <w:tab/>
              <w:t xml:space="preserve"> Following OHS control measures and procedures</w:t>
            </w:r>
          </w:p>
          <w:p w:rsidR="00000000" w:rsidRPr="00183315" w:rsidP="00183315">
            <w:pPr>
              <w:pStyle w:val="BodyText"/>
            </w:pPr>
            <w:r w:rsidRPr="00183315">
              <w:t>C</w:t>
            </w:r>
            <w:r w:rsidRPr="00183315">
              <w:tab/>
              <w:t xml:space="preserve">Identifying new and </w:t>
            </w:r>
            <w:r w:rsidRPr="00183315">
              <w:t>changes hazards, assigning a realist level of risk and establishing appropriate control measures.</w:t>
            </w:r>
          </w:p>
          <w:p w:rsidR="00000000" w:rsidRPr="00183315" w:rsidP="00183315">
            <w:pPr>
              <w:pStyle w:val="BodyText"/>
            </w:pPr>
            <w:r w:rsidRPr="00183315">
              <w:t>D</w:t>
            </w:r>
            <w:r w:rsidRPr="00183315">
              <w:tab/>
              <w:t xml:space="preserve">Maintaining OHS documents and incidents and issues </w:t>
            </w:r>
            <w:r w:rsidRPr="00183315">
              <w:t>reports in accordance with requirements</w:t>
            </w:r>
          </w:p>
          <w:p w:rsidR="00000000" w:rsidRPr="00183315" w:rsidP="00183315">
            <w:pPr>
              <w:pStyle w:val="BodyText"/>
            </w:pPr>
            <w:r w:rsidRPr="00183315">
              <w:t>E</w:t>
            </w:r>
            <w:r w:rsidRPr="00183315">
              <w:tab/>
              <w:t xml:space="preserve">Determining whether an electrical installation is compliant in </w:t>
            </w:r>
            <w:r w:rsidRPr="00183315">
              <w:t>accordance with regulations</w:t>
            </w:r>
          </w:p>
          <w:p w:rsidR="00000000" w:rsidRPr="00183315" w:rsidP="00183315">
            <w:pPr>
              <w:pStyle w:val="BodyText"/>
            </w:pPr>
            <w:r w:rsidRPr="00183315">
              <w:t>F</w:t>
            </w:r>
            <w:r w:rsidRPr="00183315">
              <w:tab/>
              <w:t>Documenting installation compliance verification activities and outcomes</w:t>
            </w:r>
          </w:p>
          <w:p w:rsidR="00000000" w:rsidRPr="00183315" w:rsidP="00183315">
            <w:pPr>
              <w:pStyle w:val="BodyText"/>
            </w:pPr>
            <w:r w:rsidRPr="00183315">
              <w:t>G</w:t>
            </w:r>
            <w:r w:rsidRPr="00183315">
              <w:tab/>
              <w:t>Dealing with unplanned events</w:t>
            </w:r>
          </w:p>
        </w:tc>
      </w:tr>
    </w:tbl>
    <w:p w:rsidR="00000000" w:rsidRPr="00183315" w:rsidP="00183315">
      <w:pPr>
        <w:pStyle w:val="BodyText"/>
      </w:pPr>
    </w:p>
    <w:tbl>
      <w:tblPr>
        <w:tblW w:w="0" w:type="auto"/>
        <w:tblLayout w:type="fixed"/>
        <w:tblCellMar>
          <w:left w:w="62" w:type="dxa"/>
          <w:right w:w="62" w:type="dxa"/>
        </w:tblCellMar>
        <w:tblLook w:val="0000"/>
      </w:tblPr>
      <w:tblGrid>
        <w:gridCol w:w="1890"/>
        <w:gridCol w:w="6570"/>
      </w:tblGrid>
      <w:tr w:rsidTr="009541A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9.3)</w:t>
            </w:r>
          </w:p>
        </w:tc>
      </w:tr>
      <w:tr w:rsidTr="009541A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This unit should be assessed as it relates to normal work practice using procedures, information and resources typical of a workplace. This should include:</w:t>
            </w:r>
          </w:p>
          <w:p w:rsidR="00000000" w:rsidRPr="00183315" w:rsidP="00183315">
            <w:pPr>
              <w:pStyle w:val="BodyText"/>
            </w:pPr>
            <w:r w:rsidRPr="00183315">
              <w:t>OHS policy and work procedures and instructions.</w:t>
            </w:r>
          </w:p>
          <w:p w:rsidR="00000000" w:rsidRPr="00183315" w:rsidP="00183315">
            <w:pPr>
              <w:pStyle w:val="BodyText"/>
            </w:pPr>
            <w:r w:rsidRPr="00183315">
              <w:t>Suitable work environment, facilities, equipment an</w:t>
            </w:r>
            <w:r w:rsidRPr="00183315">
              <w:t>d materials to undertake actual work as prescribed in this unit.</w:t>
            </w:r>
          </w:p>
          <w:p w:rsidR="00000000" w:rsidRPr="00183315" w:rsidP="00183315">
            <w:pPr>
              <w:pStyle w:val="BodyText"/>
            </w:pPr>
            <w:r w:rsidRPr="00183315">
              <w:t>These should be used in the formal learning/assessment environment.</w:t>
            </w:r>
          </w:p>
          <w:p w:rsidR="00000000" w:rsidRPr="00183315" w:rsidP="00183315">
            <w:pPr>
              <w:pStyle w:val="BodyText"/>
            </w:pPr>
            <w:r w:rsidRPr="00183315">
              <w:t>Note:</w:t>
            </w:r>
          </w:p>
          <w:p w:rsidR="00000000" w:rsidRPr="00183315" w:rsidP="00183315">
            <w:pPr>
              <w:pStyle w:val="BodyText"/>
            </w:pPr>
            <w:r w:rsidRPr="00183315">
              <w:t>Where simulation is considered a suitable strategy for assessment, conditions for assessment must be authentic and as</w:t>
            </w:r>
            <w:r w:rsidRPr="00183315">
              <w:t xml:space="preserve"> far as possible reproduce and replicate the workplace and be consistent with the approved industry simulation policy.</w:t>
            </w:r>
          </w:p>
          <w:p w:rsidR="00000000" w:rsidRPr="00183315" w:rsidP="00183315">
            <w:pPr>
              <w:pStyle w:val="BodyText"/>
            </w:pPr>
            <w:r w:rsidRPr="00183315">
              <w:t>The resources used for assessment should reflect current industry practices in relation to applying compliance requirements to all aspect</w:t>
            </w:r>
            <w:r w:rsidRPr="00183315">
              <w:t>s of electrical work.</w:t>
            </w:r>
          </w:p>
        </w:tc>
      </w:tr>
    </w:tbl>
    <w:p w:rsidR="00000000" w:rsidRPr="00183315" w:rsidP="00183315">
      <w:pPr>
        <w:pStyle w:val="BodyText"/>
      </w:pPr>
    </w:p>
    <w:tbl>
      <w:tblPr>
        <w:tblW w:w="0" w:type="auto"/>
        <w:tblLayout w:type="fixed"/>
        <w:tblCellMar>
          <w:left w:w="62" w:type="dxa"/>
          <w:right w:w="62" w:type="dxa"/>
        </w:tblCellMar>
        <w:tblLook w:val="0000"/>
      </w:tblPr>
      <w:tblGrid>
        <w:gridCol w:w="1890"/>
        <w:gridCol w:w="6570"/>
      </w:tblGrid>
      <w:tr w:rsidTr="00954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9.4)</w:t>
            </w:r>
          </w:p>
        </w:tc>
      </w:tr>
      <w:tr w:rsidTr="00954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This unit shall be assessed by methods given in Volume 1, Part 3 ‘Assessment Guidelines’.</w:t>
            </w:r>
          </w:p>
          <w:p w:rsidR="00000000" w:rsidRPr="00183315" w:rsidP="00183315">
            <w:pPr>
              <w:pStyle w:val="BodyText"/>
            </w:pPr>
            <w:r w:rsidRPr="00183315">
              <w:t xml:space="preserve">Note: </w:t>
            </w:r>
          </w:p>
          <w:p w:rsidR="00000000" w:rsidRPr="00183315" w:rsidP="00183315">
            <w:pPr>
              <w:pStyle w:val="BodyText"/>
            </w:pPr>
            <w:r w:rsidRPr="00183315">
              <w:t>Competent performance with inherent safe working practices is expected in the Industry to which this unit applies. This requires that the specified essential knowledge and associated skills are assessed in a structured environment which is primarily intend</w:t>
            </w:r>
            <w:r w:rsidRPr="00183315">
              <w:t>ed for learning/assessment and incorporates all necessary equipment and facilities for learners to develop and demonstrate the essential knowledge and skills described in this unit.</w:t>
            </w:r>
          </w:p>
        </w:tc>
      </w:tr>
    </w:tbl>
    <w:p w:rsidR="00000000" w:rsidRPr="00183315" w:rsidP="00183315">
      <w:pPr>
        <w:pStyle w:val="BodyText"/>
      </w:pPr>
    </w:p>
    <w:tbl>
      <w:tblPr>
        <w:tblW w:w="0" w:type="auto"/>
        <w:tblLayout w:type="fixed"/>
        <w:tblCellMar>
          <w:left w:w="62" w:type="dxa"/>
          <w:right w:w="62" w:type="dxa"/>
        </w:tblCellMar>
        <w:tblLook w:val="0000"/>
      </w:tblPr>
      <w:tblGrid>
        <w:gridCol w:w="1890"/>
        <w:gridCol w:w="6570"/>
      </w:tblGrid>
      <w:tr w:rsidTr="00954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9.5)</w:t>
            </w:r>
          </w:p>
        </w:tc>
      </w:tr>
      <w:tr w:rsidTr="00954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There are</w:t>
            </w:r>
            <w:r w:rsidRPr="00183315">
              <w:t xml:space="preserve"> no concurrent assessment recommendations for this unit.</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11" w:name="O_420465"/>
      <w:bookmarkEnd w:id="11"/>
      <w:r w:rsidRPr="00183315">
        <w:t>Range Statement</w:t>
      </w:r>
    </w:p>
    <w:tbl>
      <w:tblPr>
        <w:tblW w:w="0" w:type="auto"/>
        <w:tblLayout w:type="fixed"/>
        <w:tblCellMar>
          <w:left w:w="62" w:type="dxa"/>
          <w:right w:w="62" w:type="dxa"/>
        </w:tblCellMar>
        <w:tblLook w:val="0000"/>
      </w:tblPr>
      <w:tblGrid>
        <w:gridCol w:w="8460"/>
      </w:tblGrid>
      <w:tr w:rsidTr="009541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RANGE STATEMENT</w:t>
            </w:r>
          </w:p>
        </w:tc>
      </w:tr>
      <w:tr w:rsidTr="009541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10)</w:t>
            </w:r>
            <w:r w:rsidRPr="00183315">
              <w:t xml:space="preserve"> This relates to the unit as a whole providing the range of contexts and conditions to which </w:t>
            </w:r>
            <w:r w:rsidRPr="00183315">
              <w:t>the performance criteria apply. It allows for different work environments and situations that will affect performance.</w:t>
            </w:r>
          </w:p>
          <w:p w:rsidR="00000000" w:rsidRPr="00183315" w:rsidP="00183315">
            <w:pPr>
              <w:pStyle w:val="BodyText"/>
            </w:pPr>
            <w:r w:rsidRPr="00183315">
              <w:t>This unit shall be demonstrated in relation to both a residential, commercial and industrial installations</w:t>
            </w:r>
          </w:p>
          <w:p w:rsidR="00000000" w:rsidRPr="00183315" w:rsidP="00183315">
            <w:pPr>
              <w:pStyle w:val="BodyText"/>
            </w:pPr>
            <w:r w:rsidRPr="00183315">
              <w:t xml:space="preserve">Generic terms used throughout </w:t>
            </w:r>
            <w:r w:rsidRPr="00183315">
              <w:t>this Vocational Standard shall be regarded as part of the Range Statement in which competency is demonstrated. The definition of these and other terms that apply are given in Volume 2, Part 2.1.</w:t>
            </w:r>
          </w:p>
        </w:tc>
      </w:tr>
    </w:tbl>
    <w:p w:rsidR="00000000" w:rsidRPr="00183315" w:rsidP="00183315">
      <w:pPr>
        <w:pStyle w:val="BodyText"/>
      </w:pPr>
    </w:p>
    <w:p w:rsidR="00000000" w:rsidRPr="00183315" w:rsidP="00183315">
      <w:pPr>
        <w:pStyle w:val="AllowPageBreak"/>
      </w:pPr>
    </w:p>
    <w:p w:rsidR="00000000" w:rsidRPr="00183315" w:rsidP="00183315">
      <w:pPr>
        <w:pStyle w:val="Heading1"/>
      </w:pPr>
      <w:bookmarkStart w:id="12" w:name="O_420468"/>
      <w:bookmarkEnd w:id="12"/>
      <w:r w:rsidRPr="00183315">
        <w:t>Unit Sector(s)</w:t>
      </w:r>
    </w:p>
    <w:p w:rsidR="00000000" w:rsidRPr="00183315" w:rsidP="00183315">
      <w:pPr>
        <w:pStyle w:val="BodyText"/>
      </w:pPr>
      <w:r w:rsidRPr="00183315">
        <w:t>Not applicable.</w:t>
      </w:r>
    </w:p>
    <w:p w:rsidR="00000000" w:rsidRPr="00183315" w:rsidP="00183315">
      <w:pPr>
        <w:pStyle w:val="AllowPageBreak"/>
      </w:pPr>
    </w:p>
    <w:p w:rsidR="00000000" w:rsidRPr="00183315" w:rsidP="00183315">
      <w:pPr>
        <w:pStyle w:val="Heading1"/>
      </w:pPr>
      <w:bookmarkStart w:id="13" w:name="O_420457"/>
      <w:bookmarkEnd w:id="13"/>
      <w:r w:rsidRPr="00183315">
        <w:t>Competency Field</w:t>
      </w:r>
    </w:p>
    <w:tbl>
      <w:tblPr>
        <w:tblW w:w="0" w:type="auto"/>
        <w:tblLayout w:type="fixed"/>
        <w:tblCellMar>
          <w:left w:w="62" w:type="dxa"/>
          <w:right w:w="62" w:type="dxa"/>
        </w:tblCellMar>
        <w:tblLook w:val="0000"/>
      </w:tblPr>
      <w:tblGrid>
        <w:gridCol w:w="2700"/>
        <w:gridCol w:w="5760"/>
      </w:tblGrid>
      <w:tr w:rsidTr="00954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83315">
            <w:pPr>
              <w:pStyle w:val="BodyText"/>
              <w:rPr>
                <w:lang w:val="en-NZ"/>
              </w:rPr>
            </w:pPr>
            <w:r w:rsidRPr="00183315">
              <w:rPr>
                <w:rStyle w:val="SpecialBold"/>
              </w:rPr>
              <w:t xml:space="preserve">11) </w:t>
            </w:r>
          </w:p>
        </w:tc>
      </w:tr>
      <w:tr w:rsidTr="00954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3315" w:rsidP="00183315">
            <w:pPr>
              <w:pStyle w:val="BodyText"/>
            </w:pPr>
            <w:r w:rsidRPr="00183315">
              <w:t>Electrical</w:t>
            </w:r>
          </w:p>
        </w:tc>
      </w:tr>
    </w:tbl>
    <w:p w:rsidR="00000000" w:rsidRPr="00183315" w:rsidP="00183315">
      <w:pPr>
        <w:pStyle w:val="BodyText"/>
      </w:pPr>
    </w:p>
    <w:p w:rsidR="00000000" w:rsidRPr="00183315" w:rsidP="00183315"/>
    <w:sectPr w:rsidSect="00183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1AB" w:rsidP="009541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AB" w:rsidP="001833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41AB" w:rsidP="001833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41AB" w:rsidP="001833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15" w:rsidRPr="009541AB" w:rsidP="009541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1AB" w:rsidRPr="002D2AF8" w:rsidP="00183315">
    <w:pPr>
      <w:pStyle w:val="Header"/>
      <w:framePr w:wrap="around"/>
    </w:pPr>
    <w:r>
      <w:fldChar w:fldCharType="begin"/>
    </w:r>
    <w:r>
      <w:instrText xml:space="preserve"> TITLE   \* MERGEFORMAT </w:instrText>
    </w:r>
    <w:r>
      <w:fldChar w:fldCharType="separate"/>
    </w:r>
    <w:r>
      <w:t>UEENEEG198A Apply compliance requirements to all aspects of electrical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541AB" w:rsidP="00183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8B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60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6C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315"/>
    <w:pPr>
      <w:spacing w:before="360" w:after="60"/>
      <w:outlineLvl w:val="0"/>
    </w:pPr>
    <w:rPr>
      <w:sz w:val="32"/>
    </w:rPr>
  </w:style>
  <w:style w:type="paragraph" w:styleId="Heading2">
    <w:name w:val="heading 2"/>
    <w:basedOn w:val="HeadingBase"/>
    <w:next w:val="BodyText"/>
    <w:link w:val="Heading2Char"/>
    <w:qFormat/>
    <w:rsid w:val="00183315"/>
    <w:pPr>
      <w:keepLines/>
      <w:spacing w:before="240" w:after="120"/>
      <w:outlineLvl w:val="1"/>
    </w:pPr>
    <w:rPr>
      <w:sz w:val="28"/>
      <w:szCs w:val="40"/>
    </w:rPr>
  </w:style>
  <w:style w:type="paragraph" w:styleId="Heading3">
    <w:name w:val="heading 3"/>
    <w:basedOn w:val="HeadingBase"/>
    <w:next w:val="BodyText"/>
    <w:link w:val="Heading3Char"/>
    <w:qFormat/>
    <w:rsid w:val="00183315"/>
    <w:pPr>
      <w:spacing w:before="180" w:after="120"/>
      <w:outlineLvl w:val="2"/>
    </w:pPr>
    <w:rPr>
      <w:spacing w:val="-10"/>
      <w:kern w:val="32"/>
    </w:rPr>
  </w:style>
  <w:style w:type="paragraph" w:styleId="Heading4">
    <w:name w:val="heading 4"/>
    <w:basedOn w:val="HeadingBase"/>
    <w:next w:val="BodyText"/>
    <w:link w:val="Heading4Char"/>
    <w:qFormat/>
    <w:rsid w:val="00183315"/>
    <w:pPr>
      <w:spacing w:before="160" w:after="120"/>
      <w:outlineLvl w:val="3"/>
    </w:pPr>
    <w:rPr>
      <w:sz w:val="22"/>
    </w:rPr>
  </w:style>
  <w:style w:type="paragraph" w:styleId="Heading5">
    <w:name w:val="heading 5"/>
    <w:basedOn w:val="HeadingBase"/>
    <w:next w:val="Normal"/>
    <w:link w:val="Heading5Char"/>
    <w:qFormat/>
    <w:rsid w:val="00183315"/>
    <w:pPr>
      <w:spacing w:before="80"/>
      <w:outlineLvl w:val="4"/>
    </w:pPr>
    <w:rPr>
      <w:color w:val="918585"/>
      <w:sz w:val="20"/>
    </w:rPr>
  </w:style>
  <w:style w:type="paragraph" w:styleId="Heading6">
    <w:name w:val="heading 6"/>
    <w:basedOn w:val="HeadingBase"/>
    <w:next w:val="Normal"/>
    <w:link w:val="Heading6Char"/>
    <w:qFormat/>
    <w:rsid w:val="00183315"/>
    <w:pPr>
      <w:spacing w:before="60"/>
      <w:outlineLvl w:val="5"/>
    </w:pPr>
    <w:rPr>
      <w:color w:val="918585"/>
      <w:sz w:val="20"/>
    </w:rPr>
  </w:style>
  <w:style w:type="paragraph" w:styleId="Heading7">
    <w:name w:val="heading 7"/>
    <w:basedOn w:val="Normal"/>
    <w:next w:val="Normal"/>
    <w:link w:val="Heading7Char"/>
    <w:qFormat/>
    <w:rsid w:val="00183315"/>
    <w:pPr>
      <w:ind w:left="720"/>
      <w:outlineLvl w:val="6"/>
    </w:pPr>
    <w:rPr>
      <w:i/>
    </w:rPr>
  </w:style>
  <w:style w:type="paragraph" w:styleId="Heading8">
    <w:name w:val="heading 8"/>
    <w:basedOn w:val="Normal"/>
    <w:next w:val="Normal"/>
    <w:link w:val="Heading8Char"/>
    <w:qFormat/>
    <w:rsid w:val="00183315"/>
    <w:pPr>
      <w:ind w:left="720"/>
      <w:outlineLvl w:val="7"/>
    </w:pPr>
    <w:rPr>
      <w:i/>
    </w:rPr>
  </w:style>
  <w:style w:type="paragraph" w:styleId="Heading9">
    <w:name w:val="heading 9"/>
    <w:basedOn w:val="Normal"/>
    <w:next w:val="Normal"/>
    <w:link w:val="Heading9Char"/>
    <w:qFormat/>
    <w:rsid w:val="00183315"/>
    <w:pPr>
      <w:ind w:left="720"/>
      <w:outlineLvl w:val="8"/>
    </w:pPr>
    <w:rPr>
      <w:i/>
    </w:rPr>
  </w:style>
  <w:style w:type="character" w:default="1" w:styleId="DefaultParagraphFont">
    <w:name w:val="Default Paragraph Font"/>
    <w:uiPriority w:val="1"/>
    <w:unhideWhenUsed/>
    <w:rsid w:val="00183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315"/>
  </w:style>
  <w:style w:type="character" w:customStyle="1" w:styleId="Heading1Char">
    <w:name w:val="Heading 1 Char"/>
    <w:basedOn w:val="DefaultParagraphFont"/>
    <w:link w:val="Heading1"/>
    <w:rsid w:val="00183315"/>
    <w:rPr>
      <w:rFonts w:ascii="Times New Roman" w:eastAsia="Times New Roman" w:hAnsi="Times New Roman" w:cs="Times New Roman"/>
      <w:b/>
      <w:sz w:val="32"/>
      <w:szCs w:val="20"/>
      <w:lang w:eastAsia="en-US"/>
    </w:rPr>
  </w:style>
  <w:style w:type="paragraph" w:styleId="BodyText">
    <w:name w:val="Body Text"/>
    <w:basedOn w:val="Normal"/>
    <w:link w:val="BodyTextChar"/>
    <w:rsid w:val="001833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315"/>
    <w:rPr>
      <w:rFonts w:ascii="Times New Roman" w:eastAsia="Times New Roman" w:hAnsi="Times New Roman" w:cs="Times New Roman"/>
      <w:sz w:val="24"/>
      <w:lang w:eastAsia="en-US"/>
    </w:rPr>
  </w:style>
  <w:style w:type="paragraph" w:styleId="Footer">
    <w:name w:val="footer"/>
    <w:basedOn w:val="Normal"/>
    <w:link w:val="FooterChar"/>
    <w:rsid w:val="00183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315"/>
    <w:rPr>
      <w:rFonts w:ascii="Times New Roman" w:eastAsia="Times New Roman" w:hAnsi="Times New Roman" w:cs="Times New Roman"/>
      <w:sz w:val="16"/>
      <w:lang w:eastAsia="en-US"/>
    </w:rPr>
  </w:style>
  <w:style w:type="paragraph" w:styleId="ListBullet">
    <w:name w:val="List Bullet"/>
    <w:basedOn w:val="List"/>
    <w:rsid w:val="00183315"/>
    <w:pPr>
      <w:numPr>
        <w:numId w:val="13"/>
      </w:numPr>
      <w:tabs>
        <w:tab w:val="clear" w:pos="340"/>
      </w:tabs>
      <w:spacing w:before="40" w:after="40"/>
    </w:pPr>
  </w:style>
  <w:style w:type="character" w:customStyle="1" w:styleId="SpecialBold">
    <w:name w:val="Special Bold"/>
    <w:basedOn w:val="DefaultParagraphFont"/>
    <w:rsid w:val="00183315"/>
    <w:rPr>
      <w:b/>
      <w:spacing w:val="0"/>
    </w:rPr>
  </w:style>
  <w:style w:type="paragraph" w:styleId="ListBullet2">
    <w:name w:val="List Bullet 2"/>
    <w:basedOn w:val="List2"/>
    <w:rsid w:val="00183315"/>
    <w:pPr>
      <w:numPr>
        <w:numId w:val="14"/>
      </w:numPr>
      <w:tabs>
        <w:tab w:val="clear" w:pos="680"/>
      </w:tabs>
    </w:pPr>
  </w:style>
  <w:style w:type="paragraph" w:customStyle="1" w:styleId="SuperHeading">
    <w:name w:val="SuperHeading"/>
    <w:basedOn w:val="Normal"/>
    <w:rsid w:val="00183315"/>
    <w:pPr>
      <w:spacing w:before="240" w:after="120"/>
      <w:outlineLvl w:val="0"/>
    </w:pPr>
    <w:rPr>
      <w:rFonts w:ascii="Times New Roman" w:hAnsi="Times New Roman"/>
      <w:b/>
      <w:sz w:val="28"/>
    </w:rPr>
  </w:style>
  <w:style w:type="paragraph" w:customStyle="1" w:styleId="AllowPageBreak">
    <w:name w:val="AllowPageBreak"/>
    <w:rsid w:val="00183315"/>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183315"/>
    <w:pPr>
      <w:ind w:firstLine="0"/>
    </w:pPr>
  </w:style>
  <w:style w:type="character" w:customStyle="1" w:styleId="Heading2Char">
    <w:name w:val="Heading 2 Char"/>
    <w:basedOn w:val="DefaultParagraphFont"/>
    <w:link w:val="Heading2"/>
    <w:rsid w:val="00183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315"/>
    <w:rPr>
      <w:rFonts w:ascii="Courier New" w:eastAsia="Times New Roman" w:hAnsi="Courier New" w:cs="Times New Roman"/>
      <w:i/>
      <w:szCs w:val="20"/>
      <w:lang w:eastAsia="en-US"/>
    </w:rPr>
  </w:style>
  <w:style w:type="paragraph" w:customStyle="1" w:styleId="HeadingBase">
    <w:name w:val="Heading Base"/>
    <w:rsid w:val="00183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315"/>
    <w:pPr>
      <w:tabs>
        <w:tab w:val="right" w:leader="dot" w:pos="9072"/>
      </w:tabs>
      <w:ind w:left="567"/>
    </w:pPr>
    <w:rPr>
      <w:szCs w:val="22"/>
    </w:rPr>
  </w:style>
  <w:style w:type="paragraph" w:customStyle="1" w:styleId="TOCBase">
    <w:name w:val="TOC Base"/>
    <w:rsid w:val="00183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315"/>
    <w:pPr>
      <w:tabs>
        <w:tab w:val="right" w:leader="dot" w:pos="9072"/>
      </w:tabs>
      <w:spacing w:before="40" w:after="40"/>
      <w:ind w:left="284"/>
    </w:pPr>
    <w:rPr>
      <w:rFonts w:ascii="Times New Roman" w:hAnsi="Times New Roman"/>
    </w:rPr>
  </w:style>
  <w:style w:type="paragraph" w:styleId="TOC1">
    <w:name w:val="toc 1"/>
    <w:basedOn w:val="TOCBase"/>
    <w:next w:val="Normal"/>
    <w:rsid w:val="001833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315"/>
    <w:pPr>
      <w:spacing w:before="5040"/>
      <w:jc w:val="center"/>
    </w:pPr>
    <w:rPr>
      <w:sz w:val="48"/>
      <w:szCs w:val="72"/>
      <w:lang w:val="en-US"/>
    </w:rPr>
  </w:style>
  <w:style w:type="character" w:customStyle="1" w:styleId="TitleChar">
    <w:name w:val="Title Char"/>
    <w:basedOn w:val="DefaultParagraphFont"/>
    <w:link w:val="Title"/>
    <w:rsid w:val="00183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315"/>
    <w:pPr>
      <w:tabs>
        <w:tab w:val="left" w:pos="3600"/>
        <w:tab w:val="left" w:pos="3958"/>
      </w:tabs>
    </w:pPr>
  </w:style>
  <w:style w:type="paragraph" w:styleId="List">
    <w:name w:val="List"/>
    <w:basedOn w:val="BodyText"/>
    <w:next w:val="BodyText"/>
    <w:rsid w:val="00183315"/>
    <w:pPr>
      <w:tabs>
        <w:tab w:val="left" w:pos="340"/>
      </w:tabs>
      <w:spacing w:before="60" w:after="60"/>
      <w:ind w:left="340" w:hanging="340"/>
    </w:pPr>
  </w:style>
  <w:style w:type="paragraph" w:customStyle="1" w:styleId="Note">
    <w:name w:val="Note"/>
    <w:basedOn w:val="BodyText"/>
    <w:rsid w:val="00183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315"/>
    <w:pPr>
      <w:framePr w:wrap="auto" w:hAnchor="text" w:y="6049"/>
    </w:pPr>
    <w:rPr>
      <w:color w:val="000000"/>
      <w:sz w:val="40"/>
    </w:rPr>
  </w:style>
  <w:style w:type="paragraph" w:customStyle="1" w:styleId="TOCTitle">
    <w:name w:val="TOCTitle"/>
    <w:basedOn w:val="Heading1"/>
    <w:rsid w:val="00183315"/>
    <w:pPr>
      <w:spacing w:after="240"/>
      <w:jc w:val="center"/>
      <w:outlineLvl w:val="9"/>
    </w:pPr>
    <w:rPr>
      <w:caps/>
    </w:rPr>
  </w:style>
  <w:style w:type="paragraph" w:customStyle="1" w:styleId="Version">
    <w:name w:val="Version"/>
    <w:rsid w:val="00183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315"/>
    <w:pPr>
      <w:keepNext w:val="0"/>
      <w:tabs>
        <w:tab w:val="right" w:pos="4176"/>
      </w:tabs>
      <w:ind w:left="198" w:hanging="198"/>
    </w:pPr>
    <w:rPr>
      <w:rFonts w:ascii="Garamond" w:hAnsi="Garamond"/>
    </w:rPr>
  </w:style>
  <w:style w:type="paragraph" w:styleId="IndexHeading">
    <w:name w:val="index heading"/>
    <w:basedOn w:val="Normal"/>
    <w:next w:val="Index1"/>
    <w:semiHidden/>
    <w:rsid w:val="00183315"/>
    <w:pPr>
      <w:spacing w:before="120" w:after="120"/>
    </w:pPr>
    <w:rPr>
      <w:rFonts w:ascii="Arial" w:hAnsi="Arial"/>
      <w:b/>
      <w:color w:val="918585"/>
      <w:sz w:val="24"/>
    </w:rPr>
  </w:style>
  <w:style w:type="paragraph" w:styleId="Header">
    <w:name w:val="header"/>
    <w:basedOn w:val="Normal"/>
    <w:link w:val="HeaderChar"/>
    <w:rsid w:val="00183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315"/>
    <w:rPr>
      <w:rFonts w:ascii="Times New Roman" w:eastAsia="Times New Roman" w:hAnsi="Times New Roman" w:cs="Times New Roman"/>
      <w:sz w:val="16"/>
      <w:szCs w:val="20"/>
      <w:lang w:val="en-GB" w:eastAsia="en-US"/>
    </w:rPr>
  </w:style>
  <w:style w:type="paragraph" w:customStyle="1" w:styleId="Chapter">
    <w:name w:val="Chapter"/>
    <w:basedOn w:val="Normal"/>
    <w:rsid w:val="00183315"/>
    <w:pPr>
      <w:spacing w:before="240"/>
    </w:pPr>
    <w:rPr>
      <w:rFonts w:ascii="Times New Roman" w:hAnsi="Times New Roman"/>
      <w:smallCaps/>
      <w:spacing w:val="80"/>
      <w:sz w:val="28"/>
    </w:rPr>
  </w:style>
  <w:style w:type="paragraph" w:customStyle="1" w:styleId="InChapter">
    <w:name w:val="InChapter"/>
    <w:basedOn w:val="Heading3"/>
    <w:rsid w:val="00183315"/>
    <w:pPr>
      <w:spacing w:after="240"/>
      <w:outlineLvl w:val="9"/>
    </w:pPr>
    <w:rPr>
      <w:noProof/>
    </w:rPr>
  </w:style>
  <w:style w:type="paragraph" w:styleId="Index2">
    <w:name w:val="index 2"/>
    <w:basedOn w:val="Normal"/>
    <w:next w:val="Normal"/>
    <w:semiHidden/>
    <w:rsid w:val="00183315"/>
    <w:pPr>
      <w:tabs>
        <w:tab w:val="right" w:pos="4176"/>
      </w:tabs>
      <w:ind w:left="568" w:hanging="284"/>
    </w:pPr>
    <w:rPr>
      <w:rFonts w:ascii="Garamond" w:hAnsi="Garamond"/>
    </w:rPr>
  </w:style>
  <w:style w:type="paragraph" w:customStyle="1" w:styleId="Byline">
    <w:name w:val="Byline"/>
    <w:rsid w:val="00183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315"/>
    <w:pPr>
      <w:tabs>
        <w:tab w:val="clear" w:pos="3600"/>
        <w:tab w:val="clear" w:pos="3958"/>
      </w:tabs>
      <w:jc w:val="right"/>
    </w:pPr>
  </w:style>
  <w:style w:type="character" w:styleId="Emphasis">
    <w:name w:val="Emphasis"/>
    <w:basedOn w:val="DefaultParagraphFont"/>
    <w:qFormat/>
    <w:rsid w:val="00183315"/>
    <w:rPr>
      <w:i/>
    </w:rPr>
  </w:style>
  <w:style w:type="paragraph" w:styleId="Caption">
    <w:name w:val="caption"/>
    <w:basedOn w:val="BodyText"/>
    <w:next w:val="Normal"/>
    <w:qFormat/>
    <w:rsid w:val="00183315"/>
    <w:pPr>
      <w:framePr w:w="2268" w:hSpace="181" w:vSpace="181" w:wrap="around" w:vAnchor="text" w:hAnchor="page" w:x="1135" w:y="285" w:anchorLock="1"/>
    </w:pPr>
    <w:rPr>
      <w:i/>
    </w:rPr>
  </w:style>
  <w:style w:type="paragraph" w:customStyle="1" w:styleId="MiniTOCTitle">
    <w:name w:val="MiniTOCTitle"/>
    <w:basedOn w:val="Heading4"/>
    <w:rsid w:val="00183315"/>
    <w:pPr>
      <w:spacing w:before="240"/>
      <w:outlineLvl w:val="9"/>
    </w:pPr>
    <w:rPr>
      <w:noProof/>
      <w:sz w:val="24"/>
    </w:rPr>
  </w:style>
  <w:style w:type="paragraph" w:customStyle="1" w:styleId="MiniTOCItem">
    <w:name w:val="MiniTOCItem"/>
    <w:basedOn w:val="ListBullet"/>
    <w:rsid w:val="00183315"/>
    <w:pPr>
      <w:numPr>
        <w:numId w:val="0"/>
      </w:numPr>
      <w:tabs>
        <w:tab w:val="right" w:leader="dot" w:pos="6521"/>
      </w:tabs>
      <w:spacing w:before="0" w:after="0"/>
    </w:pPr>
  </w:style>
  <w:style w:type="paragraph" w:customStyle="1" w:styleId="TOFTitle">
    <w:name w:val="TOFTitle"/>
    <w:basedOn w:val="TOCTitle"/>
    <w:rsid w:val="00183315"/>
  </w:style>
  <w:style w:type="paragraph" w:styleId="TableofFigures">
    <w:name w:val="table of figures"/>
    <w:basedOn w:val="Normal"/>
    <w:next w:val="Normal"/>
    <w:semiHidden/>
    <w:rsid w:val="00183315"/>
    <w:pPr>
      <w:tabs>
        <w:tab w:val="right" w:leader="dot" w:pos="9072"/>
      </w:tabs>
      <w:ind w:left="970" w:hanging="403"/>
    </w:pPr>
    <w:rPr>
      <w:rFonts w:ascii="Times New Roman" w:hAnsi="Times New Roman"/>
      <w:b/>
    </w:rPr>
  </w:style>
  <w:style w:type="paragraph" w:styleId="ListNumber">
    <w:name w:val="List Number"/>
    <w:basedOn w:val="List"/>
    <w:rsid w:val="00183315"/>
    <w:pPr>
      <w:numPr>
        <w:numId w:val="11"/>
      </w:numPr>
    </w:pPr>
  </w:style>
  <w:style w:type="character" w:customStyle="1" w:styleId="WingdingSymbols">
    <w:name w:val="Wingding Symbols"/>
    <w:rsid w:val="00183315"/>
    <w:rPr>
      <w:rFonts w:ascii="Wingdings" w:hAnsi="Wingdings"/>
    </w:rPr>
  </w:style>
  <w:style w:type="paragraph" w:customStyle="1" w:styleId="TableHeading">
    <w:name w:val="Table Heading"/>
    <w:basedOn w:val="HeadingBase"/>
    <w:rsid w:val="00183315"/>
    <w:pPr>
      <w:keepLines/>
      <w:pBdr>
        <w:bottom w:val="single" w:sz="6" w:space="1" w:color="918585"/>
      </w:pBdr>
      <w:spacing w:before="240"/>
    </w:pPr>
  </w:style>
  <w:style w:type="character" w:customStyle="1" w:styleId="HotSpot">
    <w:name w:val="HotSpot"/>
    <w:rsid w:val="00183315"/>
    <w:rPr>
      <w:color w:val="0033CC"/>
      <w:u w:val="none"/>
    </w:rPr>
  </w:style>
  <w:style w:type="paragraph" w:customStyle="1" w:styleId="BodyTextRight">
    <w:name w:val="Body Text Right"/>
    <w:basedOn w:val="BodyText"/>
    <w:rsid w:val="00183315"/>
    <w:pPr>
      <w:spacing w:before="0" w:after="0"/>
      <w:jc w:val="right"/>
    </w:pPr>
  </w:style>
  <w:style w:type="paragraph" w:styleId="Index3">
    <w:name w:val="index 3"/>
    <w:basedOn w:val="ListNumber2"/>
    <w:next w:val="Normal"/>
    <w:semiHidden/>
    <w:rsid w:val="00183315"/>
    <w:pPr>
      <w:numPr>
        <w:numId w:val="0"/>
      </w:numPr>
      <w:tabs>
        <w:tab w:val="right" w:leader="dot" w:pos="4176"/>
      </w:tabs>
    </w:pPr>
  </w:style>
  <w:style w:type="paragraph" w:styleId="ListNumber2">
    <w:name w:val="List Number 2"/>
    <w:basedOn w:val="List2"/>
    <w:rsid w:val="00183315"/>
    <w:pPr>
      <w:numPr>
        <w:numId w:val="10"/>
      </w:numPr>
      <w:tabs>
        <w:tab w:val="clear" w:pos="1060"/>
      </w:tabs>
    </w:pPr>
  </w:style>
  <w:style w:type="paragraph" w:customStyle="1" w:styleId="MarginNote">
    <w:name w:val="Margin Note"/>
    <w:basedOn w:val="BodyText"/>
    <w:rsid w:val="00183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315"/>
    <w:rPr>
      <w:sz w:val="32"/>
    </w:rPr>
  </w:style>
  <w:style w:type="paragraph" w:customStyle="1" w:styleId="HeadingProcedure">
    <w:name w:val="Heading Procedure"/>
    <w:basedOn w:val="HeadingBase"/>
    <w:next w:val="Normal"/>
    <w:rsid w:val="00183315"/>
    <w:pPr>
      <w:tabs>
        <w:tab w:val="left" w:pos="0"/>
      </w:tabs>
      <w:spacing w:before="120" w:after="60"/>
    </w:pPr>
    <w:rPr>
      <w:i/>
      <w:color w:val="918585"/>
      <w:sz w:val="22"/>
    </w:rPr>
  </w:style>
  <w:style w:type="paragraph" w:customStyle="1" w:styleId="TableBodyText">
    <w:name w:val="Table Body Text"/>
    <w:basedOn w:val="BodyText"/>
    <w:rsid w:val="00183315"/>
    <w:pPr>
      <w:spacing w:before="60" w:after="60"/>
    </w:pPr>
  </w:style>
  <w:style w:type="paragraph" w:styleId="ListContinue">
    <w:name w:val="List Continue"/>
    <w:basedOn w:val="List"/>
    <w:rsid w:val="00183315"/>
    <w:pPr>
      <w:ind w:firstLine="0"/>
    </w:pPr>
  </w:style>
  <w:style w:type="paragraph" w:customStyle="1" w:styleId="ListNote">
    <w:name w:val="List Note"/>
    <w:basedOn w:val="List"/>
    <w:rsid w:val="00183315"/>
    <w:pPr>
      <w:pBdr>
        <w:top w:val="single" w:sz="6" w:space="2" w:color="918585"/>
        <w:bottom w:val="single" w:sz="6" w:space="2" w:color="918585"/>
      </w:pBdr>
      <w:tabs>
        <w:tab w:val="left" w:pos="1021"/>
      </w:tabs>
      <w:ind w:firstLine="0"/>
    </w:pPr>
  </w:style>
  <w:style w:type="paragraph" w:customStyle="1" w:styleId="Warning">
    <w:name w:val="Warning"/>
    <w:basedOn w:val="BodyText"/>
    <w:rsid w:val="00183315"/>
    <w:pPr>
      <w:shd w:val="clear" w:color="auto" w:fill="D9D9D9"/>
      <w:tabs>
        <w:tab w:val="left" w:pos="992"/>
      </w:tabs>
      <w:ind w:left="119" w:right="119"/>
    </w:pPr>
    <w:rPr>
      <w:sz w:val="20"/>
    </w:rPr>
  </w:style>
  <w:style w:type="paragraph" w:customStyle="1" w:styleId="MarginIcons">
    <w:name w:val="Margin Icons"/>
    <w:basedOn w:val="BodyText"/>
    <w:rsid w:val="00183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315"/>
    <w:rPr>
      <w:rFonts w:ascii="Courier New" w:hAnsi="Courier New"/>
    </w:rPr>
  </w:style>
  <w:style w:type="paragraph" w:customStyle="1" w:styleId="NoteBullet">
    <w:name w:val="Note Bullet"/>
    <w:basedOn w:val="Note"/>
    <w:rsid w:val="00183315"/>
    <w:pPr>
      <w:tabs>
        <w:tab w:val="clear" w:pos="680"/>
      </w:tabs>
      <w:spacing w:before="60" w:after="60"/>
    </w:pPr>
  </w:style>
  <w:style w:type="paragraph" w:customStyle="1" w:styleId="SubHeading2">
    <w:name w:val="SubHeading2"/>
    <w:basedOn w:val="HeadingBase"/>
    <w:rsid w:val="00183315"/>
    <w:pPr>
      <w:spacing w:before="240" w:after="60"/>
    </w:pPr>
    <w:rPr>
      <w:sz w:val="20"/>
    </w:rPr>
  </w:style>
  <w:style w:type="paragraph" w:customStyle="1" w:styleId="SubHeading1">
    <w:name w:val="SubHeading1"/>
    <w:basedOn w:val="HeadingBase"/>
    <w:rsid w:val="00183315"/>
    <w:pPr>
      <w:spacing w:before="240" w:after="60"/>
    </w:pPr>
    <w:rPr>
      <w:color w:val="918585"/>
      <w:sz w:val="22"/>
    </w:rPr>
  </w:style>
  <w:style w:type="paragraph" w:customStyle="1" w:styleId="SideHeading">
    <w:name w:val="Side Heading"/>
    <w:basedOn w:val="HeadingBase"/>
    <w:rsid w:val="00183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315"/>
    <w:pPr>
      <w:numPr>
        <w:numId w:val="12"/>
      </w:numPr>
    </w:pPr>
  </w:style>
  <w:style w:type="paragraph" w:styleId="PlainText">
    <w:name w:val="Plain Text"/>
    <w:basedOn w:val="Normal"/>
    <w:link w:val="PlainTextChar"/>
    <w:rsid w:val="00183315"/>
    <w:rPr>
      <w:sz w:val="20"/>
    </w:rPr>
  </w:style>
  <w:style w:type="character" w:customStyle="1" w:styleId="PlainTextChar">
    <w:name w:val="Plain Text Char"/>
    <w:basedOn w:val="DefaultParagraphFont"/>
    <w:link w:val="PlainText"/>
    <w:rsid w:val="00183315"/>
    <w:rPr>
      <w:rFonts w:ascii="Courier New" w:eastAsia="Times New Roman" w:hAnsi="Courier New" w:cs="Times New Roman"/>
      <w:sz w:val="20"/>
      <w:szCs w:val="20"/>
      <w:lang w:eastAsia="en-US"/>
    </w:rPr>
  </w:style>
  <w:style w:type="character" w:customStyle="1" w:styleId="MenuOption">
    <w:name w:val="Menu Option"/>
    <w:basedOn w:val="DefaultParagraphFont"/>
    <w:rsid w:val="00183315"/>
    <w:rPr>
      <w:b/>
      <w:smallCaps/>
    </w:rPr>
  </w:style>
  <w:style w:type="paragraph" w:customStyle="1" w:styleId="TableListNumber">
    <w:name w:val="Table List Number"/>
    <w:basedOn w:val="ListNumber"/>
    <w:rsid w:val="00183315"/>
    <w:pPr>
      <w:numPr>
        <w:numId w:val="0"/>
      </w:numPr>
    </w:pPr>
  </w:style>
  <w:style w:type="paragraph" w:styleId="TOC4">
    <w:name w:val="toc 4"/>
    <w:basedOn w:val="TOCBase"/>
    <w:next w:val="Normal"/>
    <w:semiHidden/>
    <w:rsid w:val="00183315"/>
    <w:pPr>
      <w:tabs>
        <w:tab w:val="right" w:leader="dot" w:pos="9071"/>
      </w:tabs>
      <w:ind w:left="1701"/>
    </w:pPr>
  </w:style>
  <w:style w:type="paragraph" w:customStyle="1" w:styleId="ListAlpha">
    <w:name w:val="List Alpha"/>
    <w:basedOn w:val="List"/>
    <w:rsid w:val="00183315"/>
    <w:pPr>
      <w:numPr>
        <w:numId w:val="9"/>
      </w:numPr>
    </w:pPr>
  </w:style>
  <w:style w:type="paragraph" w:customStyle="1" w:styleId="ListAlpha2">
    <w:name w:val="List Alpha 2"/>
    <w:basedOn w:val="List2"/>
    <w:rsid w:val="00183315"/>
    <w:pPr>
      <w:numPr>
        <w:numId w:val="8"/>
      </w:numPr>
    </w:pPr>
  </w:style>
  <w:style w:type="paragraph" w:styleId="List2">
    <w:name w:val="List 2"/>
    <w:basedOn w:val="BodyText"/>
    <w:rsid w:val="00183315"/>
    <w:pPr>
      <w:tabs>
        <w:tab w:val="left" w:pos="680"/>
      </w:tabs>
      <w:spacing w:before="60" w:after="60"/>
      <w:ind w:left="680" w:hanging="340"/>
    </w:pPr>
  </w:style>
  <w:style w:type="paragraph" w:styleId="List3">
    <w:name w:val="List 3"/>
    <w:basedOn w:val="BodyText"/>
    <w:rsid w:val="00183315"/>
    <w:pPr>
      <w:tabs>
        <w:tab w:val="left" w:pos="1021"/>
      </w:tabs>
      <w:spacing w:before="60" w:after="60"/>
      <w:ind w:left="1020" w:hanging="340"/>
    </w:pPr>
  </w:style>
  <w:style w:type="paragraph" w:styleId="List4">
    <w:name w:val="List 4"/>
    <w:basedOn w:val="BodyText"/>
    <w:rsid w:val="00183315"/>
    <w:pPr>
      <w:tabs>
        <w:tab w:val="left" w:pos="1361"/>
      </w:tabs>
      <w:spacing w:before="60" w:after="60"/>
      <w:ind w:left="1361" w:hanging="340"/>
    </w:pPr>
  </w:style>
  <w:style w:type="paragraph" w:styleId="List5">
    <w:name w:val="List 5"/>
    <w:basedOn w:val="BodyText"/>
    <w:rsid w:val="00183315"/>
    <w:pPr>
      <w:tabs>
        <w:tab w:val="left" w:pos="1701"/>
      </w:tabs>
      <w:spacing w:before="60" w:after="60"/>
      <w:ind w:left="1701" w:hanging="340"/>
    </w:pPr>
  </w:style>
  <w:style w:type="paragraph" w:styleId="ListBullet3">
    <w:name w:val="List Bullet 3"/>
    <w:basedOn w:val="List3"/>
    <w:rsid w:val="00183315"/>
    <w:pPr>
      <w:numPr>
        <w:numId w:val="15"/>
      </w:numPr>
      <w:tabs>
        <w:tab w:val="clear" w:pos="1021"/>
      </w:tabs>
      <w:ind w:left="1037" w:hanging="357"/>
    </w:pPr>
  </w:style>
  <w:style w:type="paragraph" w:styleId="ListBullet4">
    <w:name w:val="List Bullet 4"/>
    <w:basedOn w:val="List4"/>
    <w:rsid w:val="00183315"/>
    <w:pPr>
      <w:numPr>
        <w:numId w:val="3"/>
      </w:numPr>
    </w:pPr>
  </w:style>
  <w:style w:type="paragraph" w:styleId="ListBullet5">
    <w:name w:val="List Bullet 5"/>
    <w:basedOn w:val="List5"/>
    <w:rsid w:val="00183315"/>
    <w:pPr>
      <w:numPr>
        <w:numId w:val="4"/>
      </w:numPr>
    </w:pPr>
  </w:style>
  <w:style w:type="paragraph" w:styleId="ListContinue3">
    <w:name w:val="List Continue 3"/>
    <w:basedOn w:val="List3"/>
    <w:rsid w:val="00183315"/>
    <w:pPr>
      <w:ind w:left="1021" w:firstLine="0"/>
    </w:pPr>
  </w:style>
  <w:style w:type="paragraph" w:styleId="ListContinue4">
    <w:name w:val="List Continue 4"/>
    <w:basedOn w:val="List4"/>
    <w:rsid w:val="00183315"/>
    <w:pPr>
      <w:ind w:firstLine="0"/>
    </w:pPr>
  </w:style>
  <w:style w:type="paragraph" w:styleId="ListContinue5">
    <w:name w:val="List Continue 5"/>
    <w:basedOn w:val="List5"/>
    <w:rsid w:val="00183315"/>
    <w:pPr>
      <w:ind w:firstLine="0"/>
    </w:pPr>
  </w:style>
  <w:style w:type="paragraph" w:styleId="ListNumber3">
    <w:name w:val="List Number 3"/>
    <w:basedOn w:val="List3"/>
    <w:rsid w:val="00183315"/>
    <w:pPr>
      <w:numPr>
        <w:numId w:val="5"/>
      </w:numPr>
    </w:pPr>
  </w:style>
  <w:style w:type="paragraph" w:styleId="ListNumber4">
    <w:name w:val="List Number 4"/>
    <w:basedOn w:val="List4"/>
    <w:rsid w:val="00183315"/>
    <w:pPr>
      <w:numPr>
        <w:numId w:val="6"/>
      </w:numPr>
    </w:pPr>
  </w:style>
  <w:style w:type="paragraph" w:styleId="ListNumber5">
    <w:name w:val="List Number 5"/>
    <w:basedOn w:val="List5"/>
    <w:rsid w:val="00183315"/>
    <w:pPr>
      <w:numPr>
        <w:numId w:val="7"/>
      </w:numPr>
    </w:pPr>
  </w:style>
  <w:style w:type="paragraph" w:styleId="BlockText">
    <w:name w:val="Block Text"/>
    <w:basedOn w:val="Normal"/>
    <w:rsid w:val="00183315"/>
    <w:pPr>
      <w:spacing w:after="120"/>
      <w:ind w:left="1440" w:right="1440"/>
    </w:pPr>
  </w:style>
  <w:style w:type="character" w:customStyle="1" w:styleId="Subscript">
    <w:name w:val="Subscript"/>
    <w:basedOn w:val="DefaultParagraphFont"/>
    <w:rsid w:val="00183315"/>
    <w:rPr>
      <w:sz w:val="16"/>
      <w:vertAlign w:val="subscript"/>
    </w:rPr>
  </w:style>
  <w:style w:type="character" w:customStyle="1" w:styleId="Superscript">
    <w:name w:val="Superscript"/>
    <w:basedOn w:val="DefaultParagraphFont"/>
    <w:rsid w:val="00183315"/>
    <w:rPr>
      <w:sz w:val="16"/>
      <w:vertAlign w:val="superscript"/>
    </w:rPr>
  </w:style>
  <w:style w:type="character" w:customStyle="1" w:styleId="Symbols">
    <w:name w:val="Symbols"/>
    <w:basedOn w:val="DefaultParagraphFont"/>
    <w:rsid w:val="00183315"/>
    <w:rPr>
      <w:rFonts w:ascii="Symbol" w:hAnsi="Symbol"/>
    </w:rPr>
  </w:style>
  <w:style w:type="character" w:customStyle="1" w:styleId="MenuOptions">
    <w:name w:val="Menu Options"/>
    <w:basedOn w:val="DefaultParagraphFont"/>
    <w:rsid w:val="00183315"/>
    <w:rPr>
      <w:rFonts w:ascii="Arial Narrow" w:hAnsi="Arial Narrow"/>
      <w:smallCaps/>
    </w:rPr>
  </w:style>
  <w:style w:type="character" w:customStyle="1" w:styleId="Buttons">
    <w:name w:val="Buttons"/>
    <w:basedOn w:val="DefaultParagraphFont"/>
    <w:rsid w:val="00183315"/>
    <w:rPr>
      <w:b/>
    </w:rPr>
  </w:style>
  <w:style w:type="character" w:customStyle="1" w:styleId="Underlined">
    <w:name w:val="Underlined"/>
    <w:basedOn w:val="DefaultParagraphFont"/>
    <w:rsid w:val="00183315"/>
    <w:rPr>
      <w:u w:val="single"/>
    </w:rPr>
  </w:style>
  <w:style w:type="paragraph" w:customStyle="1" w:styleId="TableBodyTextRight">
    <w:name w:val="Table Body Text Right"/>
    <w:basedOn w:val="TableBodyText"/>
    <w:rsid w:val="00183315"/>
    <w:pPr>
      <w:widowControl w:val="0"/>
      <w:autoSpaceDE w:val="0"/>
      <w:autoSpaceDN w:val="0"/>
      <w:adjustRightInd w:val="0"/>
      <w:jc w:val="right"/>
    </w:pPr>
    <w:rPr>
      <w:rFonts w:cs="Arial"/>
      <w:szCs w:val="18"/>
    </w:rPr>
  </w:style>
  <w:style w:type="paragraph" w:customStyle="1" w:styleId="CopyrightText">
    <w:name w:val="Copyright Text"/>
    <w:basedOn w:val="BodyText"/>
    <w:rsid w:val="00183315"/>
    <w:rPr>
      <w:sz w:val="18"/>
    </w:rPr>
  </w:style>
  <w:style w:type="paragraph" w:customStyle="1" w:styleId="BodySmallRight">
    <w:name w:val="Body Small Right"/>
    <w:basedOn w:val="BodyTextRight"/>
    <w:rsid w:val="00183315"/>
    <w:rPr>
      <w:sz w:val="18"/>
      <w:szCs w:val="18"/>
    </w:rPr>
  </w:style>
  <w:style w:type="paragraph" w:customStyle="1" w:styleId="MarginEdition">
    <w:name w:val="Margin Edition"/>
    <w:basedOn w:val="MarginNote"/>
    <w:rsid w:val="00183315"/>
    <w:pPr>
      <w:spacing w:before="0" w:after="0"/>
    </w:pPr>
    <w:rPr>
      <w:rFonts w:ascii="Times New Roman" w:hAnsi="Times New Roman"/>
      <w:color w:val="999999"/>
    </w:rPr>
  </w:style>
  <w:style w:type="paragraph" w:customStyle="1" w:styleId="Spacer">
    <w:name w:val="Spacer"/>
    <w:basedOn w:val="Normal"/>
    <w:rsid w:val="00183315"/>
    <w:rPr>
      <w:sz w:val="2"/>
      <w:szCs w:val="2"/>
    </w:rPr>
  </w:style>
  <w:style w:type="character" w:customStyle="1" w:styleId="Small">
    <w:name w:val="Small"/>
    <w:basedOn w:val="DefaultParagraphFont"/>
    <w:rsid w:val="00183315"/>
    <w:rPr>
      <w:sz w:val="16"/>
    </w:rPr>
  </w:style>
  <w:style w:type="paragraph" w:customStyle="1" w:styleId="WideTable">
    <w:name w:val="Wide Table"/>
    <w:basedOn w:val="Normal"/>
    <w:rsid w:val="00183315"/>
    <w:pPr>
      <w:ind w:left="-1418"/>
    </w:pPr>
    <w:rPr>
      <w:sz w:val="2"/>
      <w:szCs w:val="2"/>
    </w:rPr>
  </w:style>
  <w:style w:type="character" w:styleId="PageNumber">
    <w:name w:val="page number"/>
    <w:basedOn w:val="DefaultParagraphFont"/>
    <w:rsid w:val="00183315"/>
  </w:style>
  <w:style w:type="paragraph" w:styleId="Quote">
    <w:name w:val="Quote"/>
    <w:basedOn w:val="Heading1"/>
    <w:link w:val="QuoteChar"/>
    <w:qFormat/>
    <w:rsid w:val="00183315"/>
    <w:rPr>
      <w:b w:val="0"/>
      <w:sz w:val="72"/>
      <w:szCs w:val="72"/>
      <w:lang w:val="en-NZ"/>
    </w:rPr>
  </w:style>
  <w:style w:type="character" w:customStyle="1" w:styleId="QuoteChar">
    <w:name w:val="Quote Char"/>
    <w:basedOn w:val="DefaultParagraphFont"/>
    <w:link w:val="Quote"/>
    <w:rsid w:val="00183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315"/>
    <w:pPr>
      <w:pageBreakBefore/>
    </w:pPr>
  </w:style>
  <w:style w:type="paragraph" w:customStyle="1" w:styleId="Border">
    <w:name w:val="Border"/>
    <w:basedOn w:val="Normal"/>
    <w:qFormat/>
    <w:rsid w:val="00183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315"/>
    <w:rPr>
      <w:b/>
      <w:bCs/>
      <w:i/>
      <w:iCs/>
      <w:color w:val="auto"/>
    </w:rPr>
  </w:style>
  <w:style w:type="paragraph" w:styleId="IntenseQuote">
    <w:name w:val="Intense Quote"/>
    <w:basedOn w:val="Normal"/>
    <w:next w:val="Normal"/>
    <w:link w:val="IntenseQuoteChar"/>
    <w:uiPriority w:val="30"/>
    <w:qFormat/>
    <w:rsid w:val="00183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315"/>
    <w:rPr>
      <w:smallCaps/>
      <w:color w:val="auto"/>
      <w:u w:val="single"/>
    </w:rPr>
  </w:style>
  <w:style w:type="character" w:styleId="IntenseReference">
    <w:name w:val="Intense Reference"/>
    <w:basedOn w:val="DefaultParagraphFont"/>
    <w:uiPriority w:val="32"/>
    <w:qFormat/>
    <w:rsid w:val="00183315"/>
    <w:rPr>
      <w:b/>
      <w:bCs/>
      <w:smallCaps/>
      <w:color w:val="auto"/>
      <w:spacing w:val="5"/>
      <w:u w:val="single"/>
    </w:rPr>
  </w:style>
  <w:style w:type="paragraph" w:customStyle="1" w:styleId="2ColumnHeading">
    <w:name w:val="2Column Heading"/>
    <w:basedOn w:val="BodyText"/>
    <w:qFormat/>
    <w:rsid w:val="00183315"/>
    <w:pPr>
      <w:spacing w:after="60"/>
      <w:ind w:left="-2268"/>
    </w:pPr>
    <w:rPr>
      <w:b/>
    </w:rPr>
  </w:style>
  <w:style w:type="paragraph" w:customStyle="1" w:styleId="Heading1TOC">
    <w:name w:val="Heading1 TOC"/>
    <w:basedOn w:val="Normal"/>
    <w:qFormat/>
    <w:rsid w:val="00183315"/>
    <w:pPr>
      <w:spacing w:before="240" w:after="120"/>
    </w:pPr>
    <w:rPr>
      <w:rFonts w:ascii="Times New Roman" w:hAnsi="Times New Roman"/>
      <w:b/>
      <w:sz w:val="32"/>
    </w:rPr>
  </w:style>
  <w:style w:type="paragraph" w:customStyle="1" w:styleId="Heading2TOC">
    <w:name w:val="Heading2 TOC"/>
    <w:basedOn w:val="Normal"/>
    <w:qFormat/>
    <w:rsid w:val="00183315"/>
    <w:pPr>
      <w:spacing w:before="240" w:after="60"/>
    </w:pPr>
    <w:rPr>
      <w:rFonts w:ascii="Times New Roman" w:hAnsi="Times New Roman"/>
      <w:b/>
      <w:sz w:val="28"/>
    </w:rPr>
  </w:style>
  <w:style w:type="character" w:customStyle="1" w:styleId="Underline">
    <w:name w:val="Underline"/>
    <w:basedOn w:val="DefaultParagraphFont"/>
    <w:qFormat/>
    <w:rsid w:val="00183315"/>
    <w:rPr>
      <w:u w:val="single"/>
    </w:rPr>
  </w:style>
  <w:style w:type="character" w:customStyle="1" w:styleId="BoldandItalics">
    <w:name w:val="Bold and Italics"/>
    <w:qFormat/>
    <w:rsid w:val="00183315"/>
    <w:rPr>
      <w:b/>
      <w:i/>
      <w:u w:val="none"/>
    </w:rPr>
  </w:style>
  <w:style w:type="paragraph" w:styleId="BalloonText">
    <w:name w:val="Balloon Text"/>
    <w:basedOn w:val="Normal"/>
    <w:link w:val="BalloonTextChar"/>
    <w:rsid w:val="00183315"/>
    <w:rPr>
      <w:rFonts w:ascii="Tahoma" w:hAnsi="Tahoma" w:cs="Tahoma"/>
      <w:sz w:val="16"/>
      <w:szCs w:val="16"/>
    </w:rPr>
  </w:style>
  <w:style w:type="character" w:customStyle="1" w:styleId="BalloonTextChar">
    <w:name w:val="Balloon Text Char"/>
    <w:basedOn w:val="DefaultParagraphFont"/>
    <w:link w:val="BalloonText"/>
    <w:rsid w:val="00183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3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315"/>
    <w:rPr>
      <w:b/>
      <w:color w:val="660033"/>
      <w:spacing w:val="0"/>
    </w:rPr>
  </w:style>
  <w:style w:type="paragraph" w:customStyle="1" w:styleId="Nameditemlist">
    <w:name w:val="Named item list"/>
    <w:basedOn w:val="BodyText"/>
    <w:qFormat/>
    <w:rsid w:val="001833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1854</Words>
  <Characters>11388</Characters>
  <Application>Microsoft Office Word</Application>
  <DocSecurity>0</DocSecurity>
  <Lines>406</Lines>
  <Paragraphs>186</Paragraphs>
  <ScaleCrop>false</ScaleCrop>
  <Company>Author-it Software Corporation Ltd.</Company>
  <LinksUpToDate>false</LinksUpToDate>
  <CharactersWithSpaces>13056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UEENEEG198A Apply compliance requirements to all aspects of electrical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2012-10-10T06:20:00Z</dcterms:created>
  <dcterms:modified xsi:type="dcterms:W3CDTF">2012-10-10T06:20:00Z</dcterms:modified>
</cp:coreProperties>
</file>