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5F7" w:rsidP="00A475F7">
      <w:pPr>
        <w:pStyle w:val="Title"/>
      </w:pPr>
      <w:r>
        <w:fldChar w:fldCharType="begin"/>
      </w:r>
      <w:r>
        <w:instrText xml:space="preserve"> TITLE   \* MERGEFORMAT </w:instrText>
      </w:r>
      <w:r>
        <w:fldChar w:fldCharType="separate"/>
      </w:r>
      <w:r>
        <w:t>UEENEEG189A Install and maintain emergency lighting systems</w:t>
      </w:r>
      <w:r>
        <w:fldChar w:fldCharType="end"/>
      </w:r>
    </w:p>
    <w:p w:rsidR="00A475F7" w:rsidP="00A475F7">
      <w:pPr>
        <w:pStyle w:val="Version"/>
        <w:sectPr w:rsidSect="00150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00BA" w:rsidP="001500BA">
      <w:pPr>
        <w:pStyle w:val="SuperHeading"/>
      </w:pPr>
      <w:r w:rsidRPr="001500BA">
        <w:t>UEENEEG189A Install and maintain emergency lighting systems</w:t>
      </w:r>
    </w:p>
    <w:p w:rsidR="00000000" w:rsidRPr="001500BA" w:rsidP="001500BA">
      <w:pPr>
        <w:pStyle w:val="Heading1"/>
      </w:pPr>
      <w:bookmarkStart w:id="1" w:name="O_586615"/>
      <w:bookmarkEnd w:id="1"/>
      <w:r w:rsidRPr="001500BA">
        <w:t>Modification History</w:t>
      </w:r>
    </w:p>
    <w:p w:rsidR="00000000" w:rsidRPr="001500BA" w:rsidP="001500BA">
      <w:pPr>
        <w:pStyle w:val="BodyText"/>
      </w:pPr>
      <w:r w:rsidRPr="001500BA">
        <w:t>Not applicable.</w:t>
      </w:r>
    </w:p>
    <w:p w:rsidR="00000000" w:rsidRPr="001500BA" w:rsidP="001500BA">
      <w:pPr>
        <w:pStyle w:val="AllowPageBreak"/>
      </w:pPr>
    </w:p>
    <w:p w:rsidR="00000000" w:rsidRPr="001500BA" w:rsidP="001500BA">
      <w:pPr>
        <w:pStyle w:val="Heading1"/>
      </w:pPr>
      <w:bookmarkStart w:id="2" w:name="O_586614"/>
      <w:bookmarkEnd w:id="2"/>
      <w:r w:rsidRPr="001500BA">
        <w:t>Unit Descriptor</w:t>
      </w:r>
    </w:p>
    <w:tbl>
      <w:tblPr>
        <w:tblW w:w="0" w:type="auto"/>
        <w:tblLayout w:type="fixed"/>
        <w:tblCellMar>
          <w:left w:w="62" w:type="dxa"/>
          <w:right w:w="62" w:type="dxa"/>
        </w:tblCellMar>
        <w:tblLook w:val="0000"/>
      </w:tblPr>
      <w:tblGrid>
        <w:gridCol w:w="2700"/>
        <w:gridCol w:w="5760"/>
      </w:tblGrid>
      <w:tr w:rsidTr="00A47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1)</w:t>
            </w:r>
            <w:r w:rsidRPr="001500BA">
              <w:t xml:space="preserve"> </w:t>
            </w:r>
            <w:r w:rsidRPr="001500BA">
              <w:rPr>
                <w:rStyle w:val="SpecialBold"/>
              </w:rPr>
              <w:t>Scope:</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0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1.1) Descriptor</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This unit covers the installation and maintenance of emergency exit lighting systems in buildings and premises. It encompass</w:t>
            </w:r>
            <w:r w:rsidRPr="001500BA">
              <w:t>es working safely and to installation and maintenance standards, complying with maintenance schedules and completing the necessary documentation.</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3" w:name="O_586613"/>
      <w:bookmarkEnd w:id="3"/>
      <w:r w:rsidRPr="001500BA">
        <w:t>Application of the Unit</w:t>
      </w:r>
    </w:p>
    <w:tbl>
      <w:tblPr>
        <w:tblW w:w="0" w:type="auto"/>
        <w:tblLayout w:type="fixed"/>
        <w:tblCellMar>
          <w:left w:w="62" w:type="dxa"/>
          <w:right w:w="62" w:type="dxa"/>
        </w:tblCellMar>
        <w:tblLook w:val="0000"/>
      </w:tblPr>
      <w:tblGrid>
        <w:gridCol w:w="2672"/>
        <w:gridCol w:w="5699"/>
      </w:tblGrid>
      <w:tr w:rsidTr="00A475F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2)</w:t>
            </w:r>
          </w:p>
        </w:tc>
      </w:tr>
      <w:tr w:rsidTr="00A475F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This unit is intended for competency development in entry-level employment based programs incorporated in approved contracts of training.</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4" w:name="O_586612"/>
      <w:bookmarkEnd w:id="4"/>
      <w:r w:rsidRPr="001500BA">
        <w:t>Licensing/Regulatory Information</w:t>
      </w:r>
    </w:p>
    <w:tbl>
      <w:tblPr>
        <w:tblW w:w="0" w:type="auto"/>
        <w:tblLayout w:type="fixed"/>
        <w:tblCellMar>
          <w:left w:w="62" w:type="dxa"/>
          <w:right w:w="62" w:type="dxa"/>
        </w:tblCellMar>
        <w:tblLook w:val="0000"/>
      </w:tblPr>
      <w:tblGrid>
        <w:gridCol w:w="2700"/>
        <w:gridCol w:w="5760"/>
      </w:tblGrid>
      <w:tr w:rsidTr="00A47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 xml:space="preserve">3) </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 xml:space="preserve">During Training: Competency development </w:t>
            </w:r>
            <w:r w:rsidRPr="001500BA">
              <w:t xml:space="preserve">activities are subject to regulations directly related to licencing, occupational health and safety and where applicable contracts of training such as apprenticeships. </w:t>
            </w:r>
          </w:p>
          <w:p w:rsidR="00000000" w:rsidRPr="001500BA" w:rsidP="001500BA">
            <w:pPr>
              <w:pStyle w:val="BodyText"/>
            </w:pPr>
            <w:r w:rsidRPr="001500BA">
              <w:t>In the workplace: The application of the skills and knowledge described in this unit require a license to practice in the workplace where work is carried out on electrical equipment or installations which are designed to operate at voltages greater than 50</w:t>
            </w:r>
            <w:r w:rsidRPr="001500BA">
              <w:t xml:space="preserve"> V a.c. or 120 V d.c. </w:t>
            </w:r>
          </w:p>
          <w:p w:rsidR="00000000" w:rsidRPr="001500BA" w:rsidP="001500BA">
            <w:pPr>
              <w:pStyle w:val="BodyText"/>
            </w:pPr>
            <w:r w:rsidRPr="001500BA">
              <w:t>Other conditions may apply under State and Territory legislative and regulatory requirements.</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5" w:name="O_586611"/>
      <w:bookmarkEnd w:id="5"/>
      <w:r w:rsidRPr="001500BA">
        <w:t>Pre-Requisites</w:t>
      </w:r>
    </w:p>
    <w:tbl>
      <w:tblPr>
        <w:tblW w:w="0" w:type="auto"/>
        <w:tblLayout w:type="fixed"/>
        <w:tblCellMar>
          <w:left w:w="62" w:type="dxa"/>
          <w:right w:w="62" w:type="dxa"/>
        </w:tblCellMar>
        <w:tblLook w:val="0000"/>
      </w:tblPr>
      <w:tblGrid>
        <w:gridCol w:w="2700"/>
        <w:gridCol w:w="1440"/>
        <w:gridCol w:w="4320"/>
      </w:tblGrid>
      <w:tr w:rsidTr="00A47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 xml:space="preserve">4) </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4.1)</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Granting competency in this unit shall be made only after competency in the following unit(s) has/have been confirmed.</w:t>
            </w:r>
          </w:p>
        </w:tc>
      </w:tr>
      <w:tr w:rsidTr="00A475F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Apply Occupational Health and Safety regulations, codes and practices in the workplace</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UEENEEE102A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Fabricate, dismantle</w:t>
            </w:r>
            <w:r w:rsidRPr="001500BA">
              <w:t>, assemble of utilities components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UEENEEE104A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Solve problems in d.c circuits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UEENEEE105A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Fix and secure electrotechnology equipment</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UEENEEE107A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Use drawings, diagrams, schedules, standards, codes and specifications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UEENEEE137A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Document and apply measures to control OHS risks associated with electrotechnology work</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UEENEEG006A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Solve problems in single and three phase low voltage machines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UEENEEG033A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Solve problems in single and three phase electrical apparatus and circuits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UEENEEG063A </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Arrange circuits, control and protection for general electrical installations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UEENEEG101A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Solve problems in electromagnetic devices and related circuits</w:t>
            </w:r>
          </w:p>
        </w:tc>
      </w:tr>
      <w:tr w:rsidTr="00A475F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UEENEEG102A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Solve problems in low voltage a.c. circuit</w:t>
            </w:r>
          </w:p>
        </w:tc>
      </w:tr>
      <w:tr w:rsidTr="00A475F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UEENEEG103A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Install low voltage wiring and accessories</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UEENEEG104A </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Install appliances, switchgear and associated accessories for low voltage electrical installations </w:t>
            </w:r>
          </w:p>
        </w:tc>
      </w:tr>
      <w:tr w:rsidTr="00A475F7">
        <w:tblPrEx>
          <w:tblW w:w="0" w:type="auto"/>
          <w:tblLayout w:type="fixed"/>
          <w:tblCellMar>
            <w:left w:w="62" w:type="dxa"/>
            <w:right w:w="62" w:type="dxa"/>
          </w:tblCellMar>
          <w:tblLook w:val="0000"/>
        </w:tblPrEx>
        <w:trPr>
          <w:trHeight w:val="27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UEENEEG106A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Terminate cables, cords and accessories for low voltage circuits</w:t>
            </w:r>
          </w:p>
        </w:tc>
      </w:tr>
      <w:tr w:rsidTr="00A475F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UEENEEG107A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Select wiring systems and cables for low voltage general electrical installations</w:t>
            </w:r>
          </w:p>
        </w:tc>
      </w:tr>
      <w:tr w:rsidTr="00A475F7">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UEENEEG108A</w:t>
            </w:r>
          </w:p>
        </w:tc>
        <w:tc>
          <w:tcPr>
            <w:tcW w:w="432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Trouble-shoot and repair faults in low voltage electrical apparatus and circuits</w:t>
            </w:r>
          </w:p>
        </w:tc>
      </w:tr>
      <w:tr w:rsidTr="00A475F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UEENEEG109A</w:t>
            </w:r>
          </w:p>
        </w:tc>
        <w:tc>
          <w:tcPr>
            <w:tcW w:w="432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Develop and connect electrical control circuits</w:t>
            </w:r>
          </w:p>
        </w:tc>
      </w:tr>
    </w:tbl>
    <w:p w:rsidR="00000000" w:rsidRPr="001500BA" w:rsidP="001500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475F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 xml:space="preserve">4.2) </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Participants are best equipped to achieve competency in this unit if they have reading, writing and numeracy skills indicated by the following scales. Description of each scale is given in Volume 2, Part 3 ‘Literac</w:t>
            </w:r>
            <w:r w:rsidRPr="001500BA">
              <w:t>y and Numeracy’</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Reading</w:t>
            </w:r>
          </w:p>
        </w:tc>
        <w:tc>
          <w:tcPr>
            <w:tcW w:w="81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4</w:t>
            </w:r>
          </w:p>
        </w:tc>
        <w:tc>
          <w:tcPr>
            <w:tcW w:w="99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Writing</w:t>
            </w: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4</w:t>
            </w:r>
          </w:p>
        </w:tc>
        <w:tc>
          <w:tcPr>
            <w:tcW w:w="12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Numeracy</w:t>
            </w:r>
          </w:p>
        </w:tc>
        <w:tc>
          <w:tcPr>
            <w:tcW w:w="72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4</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6" w:name="O_586610"/>
      <w:bookmarkEnd w:id="6"/>
      <w:r w:rsidRPr="001500BA">
        <w:t>Employability Skills Information</w:t>
      </w:r>
    </w:p>
    <w:tbl>
      <w:tblPr>
        <w:tblW w:w="0" w:type="auto"/>
        <w:tblLayout w:type="fixed"/>
        <w:tblCellMar>
          <w:left w:w="62" w:type="dxa"/>
          <w:right w:w="62" w:type="dxa"/>
        </w:tblCellMar>
        <w:tblLook w:val="0000"/>
      </w:tblPr>
      <w:tblGrid>
        <w:gridCol w:w="2700"/>
        <w:gridCol w:w="5760"/>
      </w:tblGrid>
      <w:tr w:rsidTr="00A47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 xml:space="preserve">5) </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The required outcomes described in this unit of competen</w:t>
            </w:r>
            <w:r w:rsidRPr="001500BA">
              <w:t>cy contain applicable facets of Employability Skills. The Employability Skills Summary of the qualification in which this unit of competency is packaged will assist in identifying Employability Skill requirements.</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7" w:name="O_586609"/>
      <w:bookmarkEnd w:id="7"/>
      <w:r w:rsidRPr="001500BA">
        <w:t>Elements and Performanc</w:t>
      </w:r>
      <w:r w:rsidRPr="001500BA">
        <w:t>e Criteria Pre-Content</w:t>
      </w:r>
    </w:p>
    <w:tbl>
      <w:tblPr>
        <w:tblW w:w="0" w:type="auto"/>
        <w:tblLayout w:type="fixed"/>
        <w:tblCellMar>
          <w:left w:w="62" w:type="dxa"/>
          <w:right w:w="62" w:type="dxa"/>
        </w:tblCellMar>
        <w:tblLook w:val="0000"/>
      </w:tblPr>
      <w:tblGrid>
        <w:gridCol w:w="2700"/>
        <w:gridCol w:w="5760"/>
      </w:tblGrid>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6)</w:t>
            </w:r>
            <w:r w:rsidRPr="001500B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Performance Criteria describe the required performance needed to demonstrate achievement of the element. Assessment of performance is to be consistent with the</w:t>
            </w:r>
            <w:r w:rsidRPr="001500BA">
              <w:t xml:space="preserve"> Evidence Guide.</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8" w:name="O_586608"/>
      <w:bookmarkEnd w:id="8"/>
      <w:r w:rsidRPr="001500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75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PERFORMANCE CRITERIA</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w:t>
            </w:r>
          </w:p>
        </w:tc>
        <w:tc>
          <w:tcPr>
            <w:tcW w:w="2296" w:type="dxa"/>
            <w:vMerge w:val="restart"/>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Prepare to install and maintain emergency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1.1</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OHS procedures for a given work area are identified, obtained and understood.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1.2</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Health and safety risks are identified and established risk control measures and procedures in preparation for the work are followed.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1.3</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Safety hazards that have not previously been identified are noted and established risk control measures are impleme</w:t>
            </w:r>
            <w:r w:rsidRPr="001500BA">
              <w:t>nted.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1.4</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Installation/maintenance is prepared in consultation with other affected by the work and sequenced appropriately. </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1.5</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The nature and location of the work is determined from documentation or appropriate person t</w:t>
            </w:r>
            <w:r w:rsidRPr="001500BA">
              <w:t>o establish the scope of work to be undertaken.</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1.6</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Location of apparatus and associated equipment is planned within the constraints of the building structure, significants and regulations.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1.7</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Advice is sought from appropriate persons to ensure the </w:t>
            </w:r>
            <w:r w:rsidRPr="001500BA">
              <w:t>work is coordinated effectively with others.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1.8</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Material needed for the installation work is obtained in accordance with established procedures and checked against job requirements.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1.9</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Tools, equipment and testing devices needed to for the installation work are obtained in accordance with established procedures and checked for correct operation and safety.</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1.10</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Preparatory work is checked to ensure no damage has occurred and complies </w:t>
            </w:r>
            <w:r w:rsidRPr="001500BA">
              <w:t>with requirements.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w:t>
            </w:r>
          </w:p>
        </w:tc>
        <w:tc>
          <w:tcPr>
            <w:tcW w:w="2296" w:type="dxa"/>
            <w:vMerge w:val="restart"/>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Install and maintain emergency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2.1</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OHS risk control measures and procedures for carrying out the work are followed.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2.2</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The need to test or measure live is determined in strict accordance with OHS requirements and when necessary conducted within established safety procedures.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2.3</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Circuits/machines/plant are checked as being isolated where necessary in strict accordance O</w:t>
            </w:r>
            <w:r w:rsidRPr="001500BA">
              <w:t>HS requirements and procedures.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2.4</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Apparatus and associated equipment are installed and maintained to comply with technical standards and job specifications and requirements with sufficient access to affect terminations, adjustment and maintenance.</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2.5</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Wiring is terminated at apparatus and associated equipment in accordance with manufacture’s specifications and functional and regulatory requirements. </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2.6</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Established methods for dealing with unexpected situations are discussed with appropriate per</w:t>
            </w:r>
            <w:r w:rsidRPr="001500BA">
              <w:t>son or persons and documented.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2.7</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Unexpected situations are dealt with safely and with the approval of an authorised person.</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2.8</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Ongoing checks of the quality of installed apparatus are undertaken in accordance with established procedures.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2.9</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Ap</w:t>
            </w:r>
            <w:r w:rsidRPr="001500BA">
              <w:t>paratus installation is carried out efficiently without unnecessary waste of materials or damage to apparatus, circuits, the surrounding environment or services and using sustainable energy principles.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3</w:t>
            </w:r>
          </w:p>
        </w:tc>
        <w:tc>
          <w:tcPr>
            <w:tcW w:w="2296" w:type="dxa"/>
            <w:vMerge w:val="restart"/>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 xml:space="preserve">Completion and report installation and </w:t>
            </w:r>
            <w:r w:rsidRPr="001500BA">
              <w:t>maintenance activities.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3.1</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OHS work completion risk control measures and procedures are followed.</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3.2</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Work site is cleaned and made safe in accordance with established procedures.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3.3</w:t>
            </w:r>
          </w:p>
        </w:tc>
        <w:tc>
          <w:tcPr>
            <w:tcW w:w="48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Final checks are made to that the installed and maintained apparatus conforms to requirements.</w:t>
            </w:r>
          </w:p>
        </w:tc>
      </w:tr>
      <w:tr w:rsidTr="00A47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3.4</w:t>
            </w:r>
          </w:p>
        </w:tc>
        <w:tc>
          <w:tcPr>
            <w:tcW w:w="48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‘As-installed’ emergency systems apparatus and associated equipment is documented and an appropriate person or persons notified in accordance with establi</w:t>
            </w:r>
            <w:r w:rsidRPr="001500BA">
              <w:t>shed procedures.</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9" w:name="O_586607"/>
      <w:bookmarkEnd w:id="9"/>
      <w:r w:rsidRPr="001500BA">
        <w:t>Required Skills and Knowledge</w:t>
      </w:r>
    </w:p>
    <w:tbl>
      <w:tblPr>
        <w:tblW w:w="0" w:type="auto"/>
        <w:tblLayout w:type="fixed"/>
        <w:tblCellMar>
          <w:left w:w="62" w:type="dxa"/>
          <w:right w:w="62" w:type="dxa"/>
        </w:tblCellMar>
        <w:tblLook w:val="0000"/>
      </w:tblPr>
      <w:tblGrid>
        <w:gridCol w:w="8460"/>
      </w:tblGrid>
      <w:tr w:rsidTr="00A47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REQUIRED SKILLS AND KNOWLEDGE</w:t>
            </w:r>
          </w:p>
        </w:tc>
      </w:tr>
      <w:tr w:rsidTr="00A475F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 xml:space="preserve">8) </w:t>
            </w:r>
            <w:r w:rsidRPr="001500BA">
              <w:t>This describes the essential skills and knowledge and their level, required for this unit.</w:t>
            </w:r>
          </w:p>
          <w:p w:rsidR="00000000" w:rsidRPr="001500BA" w:rsidP="001500BA">
            <w:pPr>
              <w:pStyle w:val="BodyText"/>
            </w:pPr>
            <w:r w:rsidRPr="001500BA">
              <w:t>Evidence shall show that knowledge has been acquired of safe working practices and installing and maintaining emergency systems.</w:t>
            </w:r>
          </w:p>
          <w:p w:rsidR="00000000" w:rsidRPr="001500BA" w:rsidP="001500BA">
            <w:pPr>
              <w:pStyle w:val="BodyText"/>
            </w:pPr>
            <w:r w:rsidRPr="001500BA">
              <w:t>All knowledge and skills detailed in this unit should be contextualised to current industry practices and technologies.</w:t>
            </w:r>
          </w:p>
          <w:p w:rsidR="00000000" w:rsidRPr="001500BA" w:rsidP="001500BA">
            <w:pPr>
              <w:pStyle w:val="BodyText"/>
            </w:pPr>
            <w:r w:rsidRPr="001500BA">
              <w:rPr>
                <w:rStyle w:val="SpecialBold"/>
              </w:rPr>
              <w:t>KS01-EG</w:t>
            </w:r>
            <w:r w:rsidRPr="001500BA">
              <w:rPr>
                <w:rStyle w:val="SpecialBold"/>
              </w:rPr>
              <w:t>189A</w:t>
            </w:r>
            <w:r w:rsidRPr="001500BA">
              <w:rPr>
                <w:rStyle w:val="SpecialBold"/>
              </w:rPr>
              <w:tab/>
              <w:t xml:space="preserve">              Safety service — emergency lighting installation and maintenance</w:t>
            </w:r>
          </w:p>
          <w:p w:rsidR="00000000" w:rsidRPr="001500BA" w:rsidP="001500BA">
            <w:pPr>
              <w:pStyle w:val="BodyText"/>
            </w:pPr>
            <w:r w:rsidRPr="001500BA">
              <w:t>Evidence shall show an understanding of emergency lighting installation and maintenance to an extent indicated by the following aspects:</w:t>
            </w:r>
          </w:p>
          <w:p w:rsidR="00000000" w:rsidRPr="001500BA" w:rsidP="001500BA">
            <w:pPr>
              <w:pStyle w:val="BodyText"/>
            </w:pPr>
            <w:r w:rsidRPr="001500BA">
              <w:t>T1</w:t>
            </w:r>
            <w:r w:rsidRPr="001500BA">
              <w:tab/>
              <w:t>Emergency lighting luminaires an</w:t>
            </w:r>
            <w:r w:rsidRPr="001500BA">
              <w:t>d exit signs</w:t>
            </w:r>
          </w:p>
          <w:p w:rsidR="00000000" w:rsidRPr="001500BA" w:rsidP="001500BA">
            <w:pPr>
              <w:pStyle w:val="BodyText"/>
            </w:pPr>
            <w:r w:rsidRPr="001500BA">
              <w:t>T2</w:t>
            </w:r>
            <w:r w:rsidRPr="001500BA">
              <w:tab/>
              <w:t>Emergency lighting control systems including wired and wireless control.</w:t>
            </w:r>
          </w:p>
          <w:p w:rsidR="00000000" w:rsidRPr="001500BA" w:rsidP="001500BA">
            <w:pPr>
              <w:pStyle w:val="BodyText"/>
            </w:pPr>
            <w:r w:rsidRPr="001500BA">
              <w:t>T3</w:t>
            </w:r>
            <w:r w:rsidRPr="001500BA">
              <w:tab/>
              <w:t>Arrangements and control encompassing:</w:t>
            </w:r>
          </w:p>
          <w:p w:rsidR="00000000" w:rsidRPr="001500BA" w:rsidP="001500BA">
            <w:pPr>
              <w:pStyle w:val="ListBullet"/>
            </w:pPr>
            <w:r w:rsidRPr="001500BA">
              <w:t>Labelling of devices operation of emergency lighting</w:t>
            </w:r>
          </w:p>
          <w:p w:rsidR="00000000" w:rsidRPr="001500BA" w:rsidP="001500BA">
            <w:pPr>
              <w:pStyle w:val="BodyText"/>
            </w:pPr>
            <w:r w:rsidRPr="001500BA">
              <w:t>T4</w:t>
            </w:r>
            <w:r w:rsidRPr="001500BA">
              <w:tab/>
              <w:t>Emergency power supplies for centrally supplied systems encompassing</w:t>
            </w:r>
            <w:r w:rsidRPr="001500BA">
              <w:t>:</w:t>
            </w:r>
          </w:p>
          <w:p w:rsidR="00000000" w:rsidRPr="001500BA" w:rsidP="001500BA">
            <w:pPr>
              <w:pStyle w:val="ListBullet"/>
            </w:pPr>
            <w:r w:rsidRPr="001500BA">
              <w:t xml:space="preserve">emergency power source </w:t>
            </w:r>
          </w:p>
          <w:p w:rsidR="00000000" w:rsidRPr="001500BA" w:rsidP="001500BA">
            <w:pPr>
              <w:pStyle w:val="ListBullet"/>
            </w:pPr>
            <w:r w:rsidRPr="001500BA">
              <w:t>batteries and their installation</w:t>
            </w:r>
          </w:p>
          <w:p w:rsidR="00000000" w:rsidRPr="001500BA" w:rsidP="001500BA">
            <w:pPr>
              <w:pStyle w:val="ListBullet"/>
            </w:pPr>
            <w:r w:rsidRPr="001500BA">
              <w:t xml:space="preserve">battery charger assembly </w:t>
            </w:r>
          </w:p>
          <w:p w:rsidR="00000000" w:rsidRPr="001500BA" w:rsidP="001500BA">
            <w:pPr>
              <w:pStyle w:val="ListBullet"/>
            </w:pPr>
            <w:r w:rsidRPr="001500BA">
              <w:t xml:space="preserve">inverters </w:t>
            </w:r>
          </w:p>
          <w:p w:rsidR="00000000" w:rsidRPr="001500BA" w:rsidP="001500BA">
            <w:pPr>
              <w:pStyle w:val="ListBullet"/>
            </w:pPr>
            <w:r w:rsidRPr="001500BA">
              <w:t xml:space="preserve">alarm systems </w:t>
            </w:r>
          </w:p>
          <w:p w:rsidR="00000000" w:rsidRPr="001500BA" w:rsidP="001500BA">
            <w:pPr>
              <w:pStyle w:val="BodyText"/>
            </w:pPr>
            <w:r w:rsidRPr="001500BA">
              <w:t>T5</w:t>
            </w:r>
            <w:r w:rsidRPr="001500BA">
              <w:tab/>
              <w:t>Design of emergency escape luminaire installation encompassing:</w:t>
            </w:r>
          </w:p>
          <w:p w:rsidR="00000000" w:rsidRPr="001500BA" w:rsidP="001500BA">
            <w:pPr>
              <w:pStyle w:val="ListBullet"/>
            </w:pPr>
            <w:r w:rsidRPr="001500BA">
              <w:t>provision of emergency luminaires</w:t>
            </w:r>
          </w:p>
          <w:p w:rsidR="00000000" w:rsidRPr="001500BA" w:rsidP="001500BA">
            <w:pPr>
              <w:pStyle w:val="ListBullet"/>
            </w:pPr>
            <w:r w:rsidRPr="001500BA">
              <w:t xml:space="preserve">acceptable emergency escape luminaires </w:t>
            </w:r>
          </w:p>
          <w:p w:rsidR="00000000" w:rsidRPr="001500BA" w:rsidP="001500BA">
            <w:pPr>
              <w:pStyle w:val="ListBullet"/>
            </w:pPr>
            <w:r w:rsidRPr="001500BA">
              <w:t>installations employing direct lighting</w:t>
            </w:r>
          </w:p>
          <w:p w:rsidR="00000000" w:rsidRPr="001500BA" w:rsidP="001500BA">
            <w:pPr>
              <w:pStyle w:val="ListBullet"/>
            </w:pPr>
            <w:r w:rsidRPr="001500BA">
              <w:t>installations employing indirect lighting</w:t>
            </w:r>
          </w:p>
          <w:p w:rsidR="00000000" w:rsidRPr="001500BA" w:rsidP="001500BA">
            <w:pPr>
              <w:pStyle w:val="ListBullet"/>
            </w:pPr>
            <w:r w:rsidRPr="001500BA">
              <w:t xml:space="preserve">lighting of stairways </w:t>
            </w:r>
          </w:p>
          <w:p w:rsidR="00000000" w:rsidRPr="001500BA" w:rsidP="001500BA">
            <w:pPr>
              <w:pStyle w:val="ListBullet"/>
            </w:pPr>
            <w:r w:rsidRPr="001500BA">
              <w:t>identification and marking of emergency escape luminaires</w:t>
            </w:r>
          </w:p>
          <w:p w:rsidR="00000000" w:rsidRPr="001500BA" w:rsidP="001500BA">
            <w:pPr>
              <w:pStyle w:val="BodyText"/>
            </w:pPr>
            <w:r w:rsidRPr="001500BA">
              <w:t>T6</w:t>
            </w:r>
            <w:r w:rsidRPr="001500BA">
              <w:tab/>
              <w:t>Installation of electrical wiring and equipment for centrally supplied systems encompassin</w:t>
            </w:r>
            <w:r w:rsidRPr="001500BA">
              <w:t>g:</w:t>
            </w:r>
          </w:p>
          <w:p w:rsidR="00000000" w:rsidRPr="001500BA" w:rsidP="001500BA">
            <w:pPr>
              <w:pStyle w:val="ListBullet"/>
            </w:pPr>
            <w:r w:rsidRPr="001500BA">
              <w:t xml:space="preserve">circuit voltage drop </w:t>
            </w:r>
          </w:p>
          <w:p w:rsidR="00000000" w:rsidRPr="001500BA" w:rsidP="001500BA">
            <w:pPr>
              <w:pStyle w:val="ListBullet"/>
            </w:pPr>
            <w:r w:rsidRPr="001500BA">
              <w:t>protection against overcurrent</w:t>
            </w:r>
          </w:p>
          <w:p w:rsidR="00000000" w:rsidRPr="001500BA" w:rsidP="001500BA">
            <w:pPr>
              <w:pStyle w:val="ListBullet"/>
            </w:pPr>
            <w:r w:rsidRPr="001500BA">
              <w:t>protection of the electrical installation against fire</w:t>
            </w:r>
          </w:p>
          <w:p w:rsidR="00000000" w:rsidRPr="001500BA" w:rsidP="001500BA">
            <w:pPr>
              <w:pStyle w:val="ListBullet"/>
            </w:pPr>
            <w:r w:rsidRPr="001500BA">
              <w:t xml:space="preserve">segregation or identification of submains </w:t>
            </w:r>
          </w:p>
          <w:p w:rsidR="00000000" w:rsidRPr="001500BA" w:rsidP="001500BA">
            <w:pPr>
              <w:pStyle w:val="ListBullet"/>
            </w:pPr>
            <w:r w:rsidRPr="001500BA">
              <w:t xml:space="preserve">arrangement of final subcircuits </w:t>
            </w:r>
          </w:p>
          <w:p w:rsidR="00000000" w:rsidRPr="001500BA" w:rsidP="001500BA">
            <w:pPr>
              <w:pStyle w:val="BodyText"/>
            </w:pPr>
            <w:r w:rsidRPr="001500BA">
              <w:t>T7</w:t>
            </w:r>
            <w:r w:rsidRPr="001500BA">
              <w:tab/>
              <w:t>Particular requirements for self-contained emergency escape lumi</w:t>
            </w:r>
            <w:r w:rsidRPr="001500BA">
              <w:t>naires and exit signs encompassing:</w:t>
            </w:r>
          </w:p>
          <w:p w:rsidR="00000000" w:rsidRPr="001500BA" w:rsidP="001500BA">
            <w:pPr>
              <w:pStyle w:val="ListBullet"/>
            </w:pPr>
            <w:r w:rsidRPr="001500BA">
              <w:t xml:space="preserve">suitability for operating temperatures </w:t>
            </w:r>
          </w:p>
          <w:p w:rsidR="00000000" w:rsidRPr="001500BA" w:rsidP="001500BA">
            <w:pPr>
              <w:pStyle w:val="ListBullet"/>
            </w:pPr>
            <w:r w:rsidRPr="001500BA">
              <w:t>arrangement and control</w:t>
            </w:r>
          </w:p>
          <w:p w:rsidR="00000000" w:rsidRPr="001500BA" w:rsidP="001500BA">
            <w:pPr>
              <w:pStyle w:val="ListBullet"/>
            </w:pPr>
            <w:r w:rsidRPr="001500BA">
              <w:t>batteries</w:t>
            </w:r>
          </w:p>
          <w:p w:rsidR="00000000" w:rsidRPr="001500BA" w:rsidP="001500BA">
            <w:pPr>
              <w:pStyle w:val="ListBullet"/>
            </w:pPr>
            <w:r w:rsidRPr="001500BA">
              <w:t>battery chargers</w:t>
            </w:r>
          </w:p>
          <w:p w:rsidR="00000000" w:rsidRPr="001500BA" w:rsidP="001500BA">
            <w:pPr>
              <w:pStyle w:val="ListBullet"/>
            </w:pPr>
            <w:r w:rsidRPr="001500BA">
              <w:t>control equipment</w:t>
            </w:r>
          </w:p>
          <w:p w:rsidR="00000000" w:rsidRPr="001500BA" w:rsidP="001500BA">
            <w:pPr>
              <w:pStyle w:val="ListBullet"/>
            </w:pPr>
            <w:r w:rsidRPr="001500BA">
              <w:t>electrical requirements</w:t>
            </w:r>
          </w:p>
          <w:p w:rsidR="00000000" w:rsidRPr="001500BA" w:rsidP="001500BA">
            <w:pPr>
              <w:pStyle w:val="ListBullet"/>
            </w:pPr>
            <w:r w:rsidRPr="001500BA">
              <w:t xml:space="preserve">self-contained automatic discharge testing facilities </w:t>
            </w:r>
          </w:p>
          <w:p w:rsidR="00000000" w:rsidRPr="001500BA" w:rsidP="001500BA">
            <w:pPr>
              <w:pStyle w:val="BodyText"/>
            </w:pPr>
            <w:r w:rsidRPr="001500BA">
              <w:t>T8</w:t>
            </w:r>
            <w:r w:rsidRPr="001500BA">
              <w:tab/>
            </w:r>
            <w:r w:rsidRPr="001500BA">
              <w:t>Battery systems used in emergency lighting encompassing:</w:t>
            </w:r>
          </w:p>
          <w:p w:rsidR="00000000" w:rsidRPr="001500BA" w:rsidP="001500BA">
            <w:pPr>
              <w:pStyle w:val="ListBullet"/>
            </w:pPr>
            <w:r w:rsidRPr="001500BA">
              <w:t>Types of batteries and their characteristics</w:t>
            </w:r>
          </w:p>
          <w:p w:rsidR="00000000" w:rsidRPr="001500BA" w:rsidP="001500BA">
            <w:pPr>
              <w:pStyle w:val="ListBullet"/>
            </w:pPr>
            <w:r w:rsidRPr="001500BA">
              <w:t>Recharging arrangements</w:t>
            </w:r>
          </w:p>
          <w:p w:rsidR="00000000" w:rsidRPr="001500BA" w:rsidP="001500BA">
            <w:pPr>
              <w:pStyle w:val="ListBullet"/>
            </w:pPr>
            <w:r w:rsidRPr="001500BA">
              <w:t>Procedures for testing emergency lighting</w:t>
            </w:r>
          </w:p>
          <w:p w:rsidR="00000000" w:rsidRPr="001500BA" w:rsidP="001500BA">
            <w:pPr>
              <w:pStyle w:val="BodyText"/>
            </w:pPr>
            <w:r w:rsidRPr="001500BA">
              <w:t>T9</w:t>
            </w:r>
            <w:r w:rsidRPr="001500BA">
              <w:tab/>
              <w:t>Maintenance and inspection requirements encompassing:</w:t>
            </w:r>
          </w:p>
          <w:p w:rsidR="00000000" w:rsidRPr="001500BA" w:rsidP="001500BA">
            <w:pPr>
              <w:pStyle w:val="ListBullet"/>
            </w:pPr>
            <w:r w:rsidRPr="001500BA">
              <w:t xml:space="preserve">Compliance standards include </w:t>
            </w:r>
            <w:r w:rsidRPr="001500BA">
              <w:t xml:space="preserve">AS/NZS2293 series and Building Code of Australia (BCA) </w:t>
            </w:r>
          </w:p>
          <w:p w:rsidR="00000000" w:rsidRPr="001500BA" w:rsidP="001500BA">
            <w:pPr>
              <w:pStyle w:val="ListBullet"/>
            </w:pPr>
            <w:r w:rsidRPr="001500BA">
              <w:t>information required for maintaining the system</w:t>
            </w:r>
          </w:p>
          <w:p w:rsidR="00000000" w:rsidRPr="001500BA" w:rsidP="001500BA">
            <w:pPr>
              <w:pStyle w:val="ListBullet"/>
            </w:pPr>
            <w:r w:rsidRPr="001500BA">
              <w:t>operating and maintenance manual</w:t>
            </w:r>
          </w:p>
          <w:p w:rsidR="00000000" w:rsidRPr="001500BA" w:rsidP="001500BA">
            <w:pPr>
              <w:pStyle w:val="ListBullet"/>
            </w:pPr>
            <w:r w:rsidRPr="001500BA">
              <w:t xml:space="preserve">provision for the recording of maintenance </w:t>
            </w:r>
          </w:p>
          <w:p w:rsidR="00000000" w:rsidRPr="001500BA" w:rsidP="001500BA">
            <w:pPr>
              <w:pStyle w:val="BodyText"/>
            </w:pPr>
            <w:r w:rsidRPr="001500BA">
              <w:t>T10</w:t>
            </w:r>
            <w:r w:rsidRPr="001500BA">
              <w:tab/>
              <w:t>Inspection and maintenance procedures for central systems encompassing:</w:t>
            </w:r>
          </w:p>
          <w:p w:rsidR="00000000" w:rsidRPr="001500BA" w:rsidP="001500BA">
            <w:pPr>
              <w:pStyle w:val="ListBullet"/>
            </w:pPr>
            <w:r w:rsidRPr="001500BA">
              <w:t>required procedures.</w:t>
            </w:r>
          </w:p>
          <w:p w:rsidR="00000000" w:rsidRPr="001500BA" w:rsidP="001500BA">
            <w:pPr>
              <w:pStyle w:val="ListBullet"/>
            </w:pPr>
            <w:r w:rsidRPr="001500BA">
              <w:t xml:space="preserve">six-monthly procedures </w:t>
            </w:r>
          </w:p>
          <w:p w:rsidR="00000000" w:rsidRPr="001500BA" w:rsidP="001500BA">
            <w:pPr>
              <w:pStyle w:val="ListBullet"/>
            </w:pPr>
            <w:r w:rsidRPr="001500BA">
              <w:t>twelve-monthly procedures</w:t>
            </w:r>
          </w:p>
          <w:p w:rsidR="00000000" w:rsidRPr="001500BA" w:rsidP="001500BA">
            <w:pPr>
              <w:pStyle w:val="BodyText"/>
            </w:pPr>
            <w:r w:rsidRPr="001500BA">
              <w:t>T11</w:t>
            </w:r>
            <w:r w:rsidRPr="001500BA">
              <w:tab/>
              <w:t>Inspection and maintenance procedures for single-point systems encompassing:</w:t>
            </w:r>
          </w:p>
          <w:p w:rsidR="00000000" w:rsidRPr="001500BA" w:rsidP="001500BA">
            <w:pPr>
              <w:pStyle w:val="ListBullet"/>
            </w:pPr>
            <w:r w:rsidRPr="001500BA">
              <w:t>required procedures</w:t>
            </w:r>
          </w:p>
          <w:p w:rsidR="00000000" w:rsidRPr="001500BA" w:rsidP="001500BA">
            <w:pPr>
              <w:pStyle w:val="ListBullet"/>
            </w:pPr>
            <w:r w:rsidRPr="001500BA">
              <w:t xml:space="preserve">six-monthly procedures </w:t>
            </w:r>
          </w:p>
          <w:p w:rsidR="00000000" w:rsidRPr="001500BA" w:rsidP="001500BA">
            <w:pPr>
              <w:pStyle w:val="ListBullet"/>
            </w:pPr>
            <w:r w:rsidRPr="001500BA">
              <w:t>twelve-monthly procedures</w:t>
            </w:r>
          </w:p>
          <w:p w:rsidR="00000000" w:rsidRPr="001500BA" w:rsidP="001500BA">
            <w:pPr>
              <w:pStyle w:val="ListBullet"/>
            </w:pPr>
            <w:r w:rsidRPr="001500BA">
              <w:t xml:space="preserve">battery replacement </w:t>
            </w:r>
          </w:p>
          <w:p w:rsidR="00000000" w:rsidRPr="001500BA" w:rsidP="001500BA">
            <w:pPr>
              <w:pStyle w:val="ListBullet"/>
            </w:pPr>
            <w:r w:rsidRPr="001500BA">
              <w:t>cleaning of emergency luminaires</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10" w:name="O_586606"/>
      <w:bookmarkEnd w:id="10"/>
      <w:r w:rsidRPr="001500BA">
        <w:t>Evidence Guide</w:t>
      </w:r>
    </w:p>
    <w:tbl>
      <w:tblPr>
        <w:tblW w:w="0" w:type="auto"/>
        <w:tblLayout w:type="fixed"/>
        <w:tblCellMar>
          <w:left w:w="62" w:type="dxa"/>
          <w:right w:w="62" w:type="dxa"/>
        </w:tblCellMar>
        <w:tblLook w:val="0000"/>
      </w:tblPr>
      <w:tblGrid>
        <w:gridCol w:w="8460"/>
      </w:tblGrid>
      <w:tr w:rsidTr="00A47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EVIDENCE GUIDE</w:t>
            </w:r>
          </w:p>
        </w:tc>
      </w:tr>
      <w:tr w:rsidTr="00A475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9)</w:t>
            </w:r>
            <w:r w:rsidRPr="001500BA">
              <w:t xml:space="preserve"> This provides essential advice for assessment of the unit. It must be read in conjunction with the performance criteria and the range statement of the unit and the Traini</w:t>
            </w:r>
            <w:r w:rsidRPr="001500BA">
              <w:t>ng Package Assessment Guidelines.</w:t>
            </w:r>
          </w:p>
          <w:p w:rsidR="00000000" w:rsidRPr="001500BA" w:rsidP="001500BA">
            <w:pPr>
              <w:pStyle w:val="BodyText"/>
            </w:pPr>
            <w:r w:rsidRPr="001500BA">
              <w:t>The Evidence Guide forms an integral part of this unit. It must be used in conjunction with all parts of this unit and performed in accordance with the Assessment Guidelines of this Training Package.</w:t>
            </w:r>
          </w:p>
        </w:tc>
      </w:tr>
    </w:tbl>
    <w:p w:rsidR="00000000" w:rsidRPr="001500BA" w:rsidP="001500BA">
      <w:pPr>
        <w:pStyle w:val="BodyText"/>
      </w:pPr>
    </w:p>
    <w:tbl>
      <w:tblPr>
        <w:tblW w:w="0" w:type="auto"/>
        <w:tblLayout w:type="fixed"/>
        <w:tblCellMar>
          <w:left w:w="62" w:type="dxa"/>
          <w:right w:w="62" w:type="dxa"/>
        </w:tblCellMar>
        <w:tblLook w:val="0000"/>
      </w:tblPr>
      <w:tblGrid>
        <w:gridCol w:w="1890"/>
        <w:gridCol w:w="6570"/>
      </w:tblGrid>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Overv</w:t>
            </w:r>
            <w:r w:rsidRPr="001500BA">
              <w:rPr>
                <w:rStyle w:val="SpecialBold"/>
              </w:rPr>
              <w:t>iew of Assessment</w:t>
            </w:r>
          </w:p>
        </w:tc>
        <w:tc>
          <w:tcPr>
            <w:tcW w:w="657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9.1)</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Longitudinal competency development approaches to assessment, such as Profiling, require data to be reliably gathered in a form that can be consistently interpreted over time. This approach is best utilised in Apprenticeship progra</w:t>
            </w:r>
            <w:r w:rsidRPr="001500BA">
              <w:t>ms and reduces assessment intervention. It is the Industry’s preferred model for apprenticeships. However, where summative (or final) assessment is used it is to include the application of the competency in the normal work environment or, at a minimum, the</w:t>
            </w:r>
            <w:r w:rsidRPr="001500BA">
              <w:t xml:space="preserve"> application of the competency in a realistically simulated work environment. It is recognised that, in some circumstances, assessment in part or full can occur outside the workplace. However, it must be in accordance with industry and regulatory policy.</w:t>
            </w:r>
          </w:p>
          <w:p w:rsidR="00000000" w:rsidRPr="001500BA" w:rsidP="001500BA">
            <w:pPr>
              <w:pStyle w:val="BodyText"/>
            </w:pPr>
            <w:r w:rsidRPr="001500BA">
              <w:t>M</w:t>
            </w:r>
            <w:r w:rsidRPr="001500BA">
              <w:t xml:space="preserve">ethods chosen for a particular assessment will be influenced by various factors. These include the extent of the assessment, the most effective locations for the assessment activities to take place, access to physical resources, additional safety measures </w:t>
            </w:r>
            <w:r w:rsidRPr="001500BA">
              <w:t>that may be required and the critical nature of the competencies being assessed.</w:t>
            </w:r>
          </w:p>
          <w:p w:rsidR="00000000" w:rsidRPr="001500BA" w:rsidP="001500BA">
            <w:pPr>
              <w:pStyle w:val="BodyText"/>
            </w:pPr>
            <w:r w:rsidRPr="001500BA">
              <w:t>The critical safety nature of working with electricity, electrical equipment, gas or any other hazardous substance/material carries risk in deeming a person competent. Sources</w:t>
            </w:r>
            <w:r w:rsidRPr="001500BA">
              <w:t xml:space="preserve"> of evidence need to be ‘rich’ in nature to minimise error in judgment.</w:t>
            </w:r>
          </w:p>
          <w:p w:rsidR="00000000" w:rsidRPr="001500BA" w:rsidP="001500BA">
            <w:pPr>
              <w:pStyle w:val="BodyText"/>
            </w:pPr>
            <w:r w:rsidRPr="001500BA">
              <w:t>Activities associated with normal every day work have a bearing on the decision as to how much and how detailed the data gathered will contribute to its ‘richness’. Some skills are mor</w:t>
            </w:r>
            <w:r w:rsidRPr="001500BA">
              <w:t>e critical to safety and operational requirements while the same skills may be more or less frequently practised. These points are raised for the assessors to consider when choosing an assessment method and developing assessment instruments. Sample assessm</w:t>
            </w:r>
            <w:r w:rsidRPr="001500BA">
              <w:t>ent instruments are included for Assessors in the Assessment Guidelines of this Training Package.</w:t>
            </w:r>
          </w:p>
        </w:tc>
      </w:tr>
    </w:tbl>
    <w:p w:rsidR="00000000" w:rsidRPr="001500BA" w:rsidP="001500BA">
      <w:pPr>
        <w:pStyle w:val="BodyText"/>
      </w:pPr>
    </w:p>
    <w:tbl>
      <w:tblPr>
        <w:tblW w:w="0" w:type="auto"/>
        <w:tblLayout w:type="fixed"/>
        <w:tblCellMar>
          <w:left w:w="62" w:type="dxa"/>
          <w:right w:w="62" w:type="dxa"/>
        </w:tblCellMar>
        <w:tblLook w:val="0000"/>
      </w:tblPr>
      <w:tblGrid>
        <w:gridCol w:w="1890"/>
        <w:gridCol w:w="1530"/>
        <w:gridCol w:w="5040"/>
      </w:tblGrid>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9.2)</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Before the critical aspects of evidence are considered all prerequisites shall be met.</w:t>
            </w:r>
          </w:p>
          <w:p w:rsidR="00000000" w:rsidRPr="001500BA" w:rsidP="001500BA">
            <w:pPr>
              <w:pStyle w:val="BodyText"/>
            </w:pPr>
            <w:r w:rsidRPr="001500BA">
              <w:t xml:space="preserve">Evidence for competence in this unit shall be considered holistically.  Each element and associated performance criteria shall be demonstrated on at least two occasions </w:t>
            </w:r>
            <w:r w:rsidRPr="001500BA">
              <w:t>in accordance with the ‘Assessment Guidelines – UEE11’.  Evidence shall also comprise:</w:t>
            </w:r>
          </w:p>
          <w:p w:rsidR="00000000" w:rsidRPr="001500BA" w:rsidP="001500BA">
            <w:pPr>
              <w:pStyle w:val="ListBullet"/>
            </w:pPr>
            <w:r w:rsidRPr="001500BA">
              <w:t>A representative body of work performance demonstrated within the timeframes typically expected of the discipline, work function and industrial environment. In particul</w:t>
            </w:r>
            <w:r w:rsidRPr="001500BA">
              <w:t>ar this shall incorporate evidence that shows a candidate is able to:</w:t>
            </w:r>
          </w:p>
          <w:p w:rsidR="00000000" w:rsidRPr="001500BA" w:rsidP="001500BA">
            <w:pPr>
              <w:pStyle w:val="ListBullet2"/>
            </w:pPr>
            <w:r w:rsidRPr="001500BA">
              <w:t>Implement Occupational Health and Safety workplace procedures and practices including the use of risk control measures as specified in the performance criteria and range statement</w:t>
            </w:r>
          </w:p>
          <w:p w:rsidR="00000000" w:rsidRPr="001500BA" w:rsidP="001500BA">
            <w:pPr>
              <w:pStyle w:val="ListBullet2"/>
            </w:pPr>
            <w:r w:rsidRPr="001500BA">
              <w:t>Apply</w:t>
            </w:r>
            <w:r w:rsidRPr="001500BA">
              <w:t xml:space="preserve"> sustainable energy principles and practices as specified in the performance criteria and range statement</w:t>
            </w:r>
          </w:p>
          <w:p w:rsidR="00000000" w:rsidRPr="001500BA" w:rsidP="001500BA">
            <w:pPr>
              <w:pStyle w:val="ListBullet2"/>
            </w:pPr>
            <w:r w:rsidRPr="001500B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500BA" w:rsidP="001500BA">
            <w:pPr>
              <w:pStyle w:val="ListBullet2"/>
            </w:pPr>
            <w:r w:rsidRPr="001500BA">
              <w:t>Demonst</w:t>
            </w:r>
            <w:r w:rsidRPr="001500BA">
              <w:t>rate an appropriate level of skills enabling employment</w:t>
            </w:r>
          </w:p>
          <w:p w:rsidR="00000000" w:rsidRPr="001500BA" w:rsidP="001500BA">
            <w:pPr>
              <w:pStyle w:val="ListBullet2"/>
            </w:pPr>
            <w:r w:rsidRPr="001500BA">
              <w:t>Conduct work observing the relevant Anti Discrimination legislation, regulations, polices and workplace procedures</w:t>
            </w:r>
          </w:p>
          <w:p w:rsidR="00000000" w:rsidRPr="001500BA" w:rsidP="001500BA">
            <w:pPr>
              <w:pStyle w:val="ListBullet"/>
            </w:pPr>
            <w:r w:rsidRPr="001500BA">
              <w:t>Demonstrated consistent performance across a representative range of contexts from t</w:t>
            </w:r>
            <w:r w:rsidRPr="001500BA">
              <w:t>he prescribed items below:</w:t>
            </w:r>
          </w:p>
          <w:p w:rsidR="00000000" w:rsidP="001500BA">
            <w:pPr>
              <w:pStyle w:val="ListBullet2"/>
              <w:rPr>
                <w:lang w:val="en-NZ"/>
              </w:rPr>
            </w:pPr>
            <w:r w:rsidRPr="001500BA">
              <w:t>Install and maintain emergency lighting systems as described in 8) and including:</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A</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Determining the operating parameters of existing electrical systems. </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B</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Using established problem solving methods.</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C</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Directing personnel to take relevant measurements.</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D</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Interpreting measured values appropriately.</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E</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Providing effective solutions to electrical system problems.</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F</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Giving written justification of solutions provided.</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G</w:t>
            </w:r>
          </w:p>
        </w:tc>
        <w:tc>
          <w:tcPr>
            <w:tcW w:w="504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Dealing with unplanned events by drawing on essential knowledge and skills to provide appropriate solutions incorporated in the holistic assessment with the above listed items.</w:t>
            </w:r>
          </w:p>
        </w:tc>
      </w:tr>
    </w:tbl>
    <w:p w:rsidR="00000000" w:rsidRPr="001500BA" w:rsidP="001500BA">
      <w:pPr>
        <w:pStyle w:val="BodyText"/>
      </w:pPr>
    </w:p>
    <w:tbl>
      <w:tblPr>
        <w:tblW w:w="0" w:type="auto"/>
        <w:tblLayout w:type="fixed"/>
        <w:tblCellMar>
          <w:left w:w="62" w:type="dxa"/>
          <w:right w:w="62" w:type="dxa"/>
        </w:tblCellMar>
        <w:tblLook w:val="0000"/>
      </w:tblPr>
      <w:tblGrid>
        <w:gridCol w:w="1890"/>
        <w:gridCol w:w="6570"/>
      </w:tblGrid>
      <w:tr w:rsidTr="00A475F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9.3)</w:t>
            </w:r>
          </w:p>
        </w:tc>
      </w:tr>
      <w:tr w:rsidTr="00A475F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This unit should be assessed as it relates to normal work practice using procedures, information and resources typical of a workplace. This should include:</w:t>
            </w:r>
          </w:p>
          <w:p w:rsidR="00000000" w:rsidRPr="001500BA" w:rsidP="001500BA">
            <w:pPr>
              <w:pStyle w:val="BodyText"/>
            </w:pPr>
            <w:r w:rsidRPr="001500BA">
              <w:t>OHS policy and work procedures and instructions.</w:t>
            </w:r>
          </w:p>
          <w:p w:rsidR="00000000" w:rsidRPr="001500BA" w:rsidP="001500BA">
            <w:pPr>
              <w:pStyle w:val="BodyText"/>
            </w:pPr>
            <w:r w:rsidRPr="001500BA">
              <w:t>Suitable work environment, facilities, equipment an</w:t>
            </w:r>
            <w:r w:rsidRPr="001500BA">
              <w:t>d materials to undertake actual work as prescribed by this unit.</w:t>
            </w:r>
          </w:p>
          <w:p w:rsidR="00000000" w:rsidRPr="001500BA" w:rsidP="001500BA">
            <w:pPr>
              <w:pStyle w:val="BodyText"/>
            </w:pPr>
            <w:r w:rsidRPr="001500BA">
              <w:t>These should be part of the formal learning/assessment environment.</w:t>
            </w:r>
          </w:p>
          <w:p w:rsidR="00000000" w:rsidRPr="001500BA" w:rsidP="001500BA">
            <w:pPr>
              <w:pStyle w:val="BodyText"/>
            </w:pPr>
            <w:r w:rsidRPr="001500BA">
              <w:t>Note:</w:t>
            </w:r>
          </w:p>
          <w:p w:rsidR="00000000" w:rsidRPr="001500BA" w:rsidP="001500BA">
            <w:pPr>
              <w:pStyle w:val="BodyText"/>
            </w:pPr>
            <w:r w:rsidRPr="001500BA">
              <w:t>Where simulation is considered a suitable strategy for assessment, conditions must be authentic and as far as possibl</w:t>
            </w:r>
            <w:r w:rsidRPr="001500BA">
              <w:t>e reproduce and replicate the workplace and be consistent with the approved industry simulation policy.</w:t>
            </w:r>
          </w:p>
          <w:p w:rsidR="00000000" w:rsidRPr="001500BA" w:rsidP="001500BA">
            <w:pPr>
              <w:pStyle w:val="BodyText"/>
            </w:pPr>
            <w:r w:rsidRPr="001500BA">
              <w:t>The resources used for assessment should reflect current industry practices in relation to installing and maintaining emergency lighting systems.</w:t>
            </w:r>
          </w:p>
        </w:tc>
      </w:tr>
    </w:tbl>
    <w:p w:rsidR="00000000" w:rsidRPr="001500BA" w:rsidP="001500BA">
      <w:pPr>
        <w:pStyle w:val="BodyText"/>
      </w:pPr>
    </w:p>
    <w:tbl>
      <w:tblPr>
        <w:tblW w:w="0" w:type="auto"/>
        <w:tblLayout w:type="fixed"/>
        <w:tblCellMar>
          <w:left w:w="62" w:type="dxa"/>
          <w:right w:w="62" w:type="dxa"/>
        </w:tblCellMar>
        <w:tblLook w:val="0000"/>
      </w:tblPr>
      <w:tblGrid>
        <w:gridCol w:w="1890"/>
        <w:gridCol w:w="6570"/>
      </w:tblGrid>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Meth</w:t>
            </w:r>
            <w:r w:rsidRPr="001500BA">
              <w:rPr>
                <w:rStyle w:val="SpecialBold"/>
              </w:rPr>
              <w:t>od of assessment</w:t>
            </w:r>
          </w:p>
        </w:tc>
        <w:tc>
          <w:tcPr>
            <w:tcW w:w="657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9.4)</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This unit shall be assessed by methods given in Volume 1, Part 3 ‘Assessment Guidelines’.</w:t>
            </w:r>
          </w:p>
          <w:p w:rsidR="00000000" w:rsidRPr="001500BA" w:rsidP="001500BA">
            <w:pPr>
              <w:pStyle w:val="BodyText"/>
            </w:pPr>
            <w:r w:rsidRPr="001500BA">
              <w:t xml:space="preserve">Note: </w:t>
            </w:r>
          </w:p>
          <w:p w:rsidR="00000000" w:rsidRPr="001500BA" w:rsidP="001500BA">
            <w:pPr>
              <w:pStyle w:val="BodyText"/>
            </w:pPr>
            <w:r w:rsidRPr="001500BA">
              <w:t>Competent performance with inherent safe working practices is expected in the industry to which this unit applies. This requires assessment in a structured environment which is primarily intended for learning/assessment and incorporates all necessary equip</w:t>
            </w:r>
            <w:r w:rsidRPr="001500BA">
              <w:t>ment and facilities for learners to develop and demonstrate the essential knowledge and skills described in this unit.</w:t>
            </w:r>
          </w:p>
        </w:tc>
      </w:tr>
    </w:tbl>
    <w:p w:rsidR="00000000" w:rsidRPr="001500BA" w:rsidP="001500BA">
      <w:pPr>
        <w:pStyle w:val="BodyText"/>
      </w:pPr>
    </w:p>
    <w:tbl>
      <w:tblPr>
        <w:tblW w:w="0" w:type="auto"/>
        <w:tblLayout w:type="fixed"/>
        <w:tblCellMar>
          <w:left w:w="62" w:type="dxa"/>
          <w:right w:w="62" w:type="dxa"/>
        </w:tblCellMar>
        <w:tblLook w:val="0000"/>
      </w:tblPr>
      <w:tblGrid>
        <w:gridCol w:w="1890"/>
        <w:gridCol w:w="1530"/>
        <w:gridCol w:w="5040"/>
      </w:tblGrid>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9.5)</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For optimisation of training and assessment effort, competency developm</w:t>
            </w:r>
            <w:r w:rsidRPr="001500BA">
              <w:t>ent in this unit may be arranged concurrently with unit:</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UEENEEG103A </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Install wiring and accessories for low voltage circuits </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 xml:space="preserve">UEENEEG104A </w:t>
            </w:r>
          </w:p>
        </w:tc>
        <w:tc>
          <w:tcPr>
            <w:tcW w:w="504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t>Install appliances, switchgear and associated accessories for low voltage electrical installations</w:t>
            </w:r>
          </w:p>
        </w:tc>
      </w:tr>
      <w:tr w:rsidTr="00A475F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The c</w:t>
            </w:r>
            <w:r w:rsidRPr="001500BA">
              <w:t>ritical aspects of occupational health and safety covered in Unit UEENEEE101A and other discipline specific occupational health and safety unit(s) shall be incorporated in relation to this unit.</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11" w:name="O_586605"/>
      <w:bookmarkEnd w:id="11"/>
      <w:r w:rsidRPr="001500BA">
        <w:t>Range Statement</w:t>
      </w:r>
    </w:p>
    <w:tbl>
      <w:tblPr>
        <w:tblW w:w="0" w:type="auto"/>
        <w:tblLayout w:type="fixed"/>
        <w:tblCellMar>
          <w:left w:w="62" w:type="dxa"/>
          <w:right w:w="62" w:type="dxa"/>
        </w:tblCellMar>
        <w:tblLook w:val="0000"/>
      </w:tblPr>
      <w:tblGrid>
        <w:gridCol w:w="8460"/>
      </w:tblGrid>
      <w:tr w:rsidTr="00A47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RANGE STATEMENT</w:t>
            </w:r>
          </w:p>
        </w:tc>
      </w:tr>
      <w:tr w:rsidTr="00A475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 xml:space="preserve">10) </w:t>
            </w:r>
            <w:r w:rsidRPr="001500BA">
              <w:t>This relates to the unit as a whole providing the range of contexts and conditions to which the performance criteria apply. It allows for different work environments and situations that will affect performance.</w:t>
            </w:r>
          </w:p>
          <w:p w:rsidR="00000000" w:rsidRPr="001500BA" w:rsidP="001500BA">
            <w:pPr>
              <w:pStyle w:val="BodyText"/>
            </w:pPr>
            <w:r w:rsidRPr="001500BA">
              <w:t>This unit shall be demonstrated in relation t</w:t>
            </w:r>
            <w:r w:rsidRPr="001500BA">
              <w:t>o installing and maintaining emergency lighting systems.</w:t>
            </w:r>
          </w:p>
          <w:p w:rsidR="00000000" w:rsidRPr="001500BA" w:rsidP="001500BA">
            <w:pPr>
              <w:pStyle w:val="BodyText"/>
            </w:pPr>
            <w:r w:rsidRPr="001500BA">
              <w:t>Generic terms used throughout this Vocational Standard shall be regarded as part of the Range Statement in which competency is demonstrated. The definition of these and other terms that apply are giv</w:t>
            </w:r>
            <w:r w:rsidRPr="001500BA">
              <w:t>en in Volume 2, Part 2.1.</w:t>
            </w:r>
          </w:p>
        </w:tc>
      </w:tr>
    </w:tbl>
    <w:p w:rsidR="00000000" w:rsidRPr="001500BA" w:rsidP="001500BA">
      <w:pPr>
        <w:pStyle w:val="BodyText"/>
      </w:pPr>
    </w:p>
    <w:p w:rsidR="00000000" w:rsidRPr="001500BA" w:rsidP="001500BA">
      <w:pPr>
        <w:pStyle w:val="AllowPageBreak"/>
      </w:pPr>
    </w:p>
    <w:p w:rsidR="00000000" w:rsidRPr="001500BA" w:rsidP="001500BA">
      <w:pPr>
        <w:pStyle w:val="Heading1"/>
      </w:pPr>
      <w:bookmarkStart w:id="12" w:name="O_586604"/>
      <w:bookmarkEnd w:id="12"/>
      <w:r w:rsidRPr="001500BA">
        <w:t>Unit Sector(s)</w:t>
      </w:r>
    </w:p>
    <w:p w:rsidR="00000000" w:rsidRPr="001500BA" w:rsidP="001500BA">
      <w:pPr>
        <w:pStyle w:val="BodyText"/>
      </w:pPr>
      <w:r w:rsidRPr="001500BA">
        <w:t>Not applicable.</w:t>
      </w:r>
    </w:p>
    <w:p w:rsidR="00000000" w:rsidRPr="001500BA" w:rsidP="001500BA">
      <w:pPr>
        <w:pStyle w:val="AllowPageBreak"/>
      </w:pPr>
    </w:p>
    <w:p w:rsidR="00000000" w:rsidRPr="001500BA" w:rsidP="001500BA">
      <w:pPr>
        <w:pStyle w:val="Heading1"/>
      </w:pPr>
      <w:bookmarkStart w:id="13" w:name="O_586603"/>
      <w:bookmarkEnd w:id="13"/>
      <w:r w:rsidRPr="001500BA">
        <w:t>Competency Field</w:t>
      </w:r>
    </w:p>
    <w:tbl>
      <w:tblPr>
        <w:tblW w:w="0" w:type="auto"/>
        <w:tblLayout w:type="fixed"/>
        <w:tblCellMar>
          <w:left w:w="62" w:type="dxa"/>
          <w:right w:w="62" w:type="dxa"/>
        </w:tblCellMar>
        <w:tblLook w:val="0000"/>
      </w:tblPr>
      <w:tblGrid>
        <w:gridCol w:w="2700"/>
        <w:gridCol w:w="5760"/>
      </w:tblGrid>
      <w:tr w:rsidTr="00A47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00BA">
            <w:pPr>
              <w:pStyle w:val="BodyText"/>
              <w:rPr>
                <w:lang w:val="en-NZ"/>
              </w:rPr>
            </w:pPr>
            <w:r w:rsidRPr="001500BA">
              <w:rPr>
                <w:rStyle w:val="SpecialBold"/>
              </w:rPr>
              <w:t xml:space="preserve">11) </w:t>
            </w:r>
          </w:p>
        </w:tc>
      </w:tr>
      <w:tr w:rsidTr="00A47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BA" w:rsidP="001500BA">
            <w:pPr>
              <w:pStyle w:val="BodyText"/>
            </w:pPr>
            <w:r w:rsidRPr="001500BA">
              <w:t>Electrical</w:t>
            </w:r>
          </w:p>
        </w:tc>
      </w:tr>
    </w:tbl>
    <w:p w:rsidR="00000000" w:rsidRPr="001500BA" w:rsidP="001500BA">
      <w:pPr>
        <w:pStyle w:val="BodyText"/>
      </w:pPr>
    </w:p>
    <w:p w:rsidR="00000000" w:rsidRPr="001500BA" w:rsidP="001500BA"/>
    <w:sectPr w:rsidSect="00150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rsidRPr="00A475F7" w:rsidP="00A47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7" w:rsidP="00150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475F7" w:rsidP="001500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475F7" w:rsidP="00150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rsidRPr="00A475F7" w:rsidP="00A475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5F7" w:rsidRPr="002D2AF8" w:rsidP="001500BA">
    <w:pPr>
      <w:pStyle w:val="Header"/>
      <w:framePr w:wrap="around"/>
    </w:pPr>
    <w:r>
      <w:fldChar w:fldCharType="begin"/>
    </w:r>
    <w:r>
      <w:instrText xml:space="preserve"> TITLE   \* MERGEFORMAT </w:instrText>
    </w:r>
    <w:r>
      <w:fldChar w:fldCharType="separate"/>
    </w:r>
    <w:r>
      <w:t>UEENEEG189A Install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475F7" w:rsidP="00150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47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4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A2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0BA"/>
    <w:pPr>
      <w:spacing w:before="360" w:after="60"/>
      <w:outlineLvl w:val="0"/>
    </w:pPr>
    <w:rPr>
      <w:sz w:val="32"/>
    </w:rPr>
  </w:style>
  <w:style w:type="paragraph" w:styleId="Heading2">
    <w:name w:val="heading 2"/>
    <w:basedOn w:val="HeadingBase"/>
    <w:next w:val="BodyText"/>
    <w:link w:val="Heading2Char"/>
    <w:qFormat/>
    <w:rsid w:val="001500BA"/>
    <w:pPr>
      <w:keepLines/>
      <w:spacing w:before="240" w:after="120"/>
      <w:outlineLvl w:val="1"/>
    </w:pPr>
    <w:rPr>
      <w:sz w:val="28"/>
      <w:szCs w:val="40"/>
    </w:rPr>
  </w:style>
  <w:style w:type="paragraph" w:styleId="Heading3">
    <w:name w:val="heading 3"/>
    <w:basedOn w:val="HeadingBase"/>
    <w:next w:val="BodyText"/>
    <w:link w:val="Heading3Char"/>
    <w:qFormat/>
    <w:rsid w:val="001500BA"/>
    <w:pPr>
      <w:spacing w:before="180" w:after="120"/>
      <w:outlineLvl w:val="2"/>
    </w:pPr>
    <w:rPr>
      <w:spacing w:val="-10"/>
      <w:kern w:val="32"/>
    </w:rPr>
  </w:style>
  <w:style w:type="paragraph" w:styleId="Heading4">
    <w:name w:val="heading 4"/>
    <w:basedOn w:val="HeadingBase"/>
    <w:next w:val="BodyText"/>
    <w:link w:val="Heading4Char"/>
    <w:qFormat/>
    <w:rsid w:val="001500BA"/>
    <w:pPr>
      <w:spacing w:before="160" w:after="120"/>
      <w:outlineLvl w:val="3"/>
    </w:pPr>
    <w:rPr>
      <w:sz w:val="22"/>
    </w:rPr>
  </w:style>
  <w:style w:type="paragraph" w:styleId="Heading5">
    <w:name w:val="heading 5"/>
    <w:basedOn w:val="HeadingBase"/>
    <w:next w:val="Normal"/>
    <w:link w:val="Heading5Char"/>
    <w:qFormat/>
    <w:rsid w:val="001500BA"/>
    <w:pPr>
      <w:spacing w:before="80"/>
      <w:outlineLvl w:val="4"/>
    </w:pPr>
    <w:rPr>
      <w:color w:val="918585"/>
      <w:sz w:val="20"/>
    </w:rPr>
  </w:style>
  <w:style w:type="paragraph" w:styleId="Heading6">
    <w:name w:val="heading 6"/>
    <w:basedOn w:val="HeadingBase"/>
    <w:next w:val="Normal"/>
    <w:link w:val="Heading6Char"/>
    <w:qFormat/>
    <w:rsid w:val="001500BA"/>
    <w:pPr>
      <w:spacing w:before="60"/>
      <w:outlineLvl w:val="5"/>
    </w:pPr>
    <w:rPr>
      <w:color w:val="918585"/>
      <w:sz w:val="20"/>
    </w:rPr>
  </w:style>
  <w:style w:type="paragraph" w:styleId="Heading7">
    <w:name w:val="heading 7"/>
    <w:basedOn w:val="Normal"/>
    <w:next w:val="Normal"/>
    <w:link w:val="Heading7Char"/>
    <w:qFormat/>
    <w:rsid w:val="001500BA"/>
    <w:pPr>
      <w:ind w:left="720"/>
      <w:outlineLvl w:val="6"/>
    </w:pPr>
    <w:rPr>
      <w:i/>
    </w:rPr>
  </w:style>
  <w:style w:type="paragraph" w:styleId="Heading8">
    <w:name w:val="heading 8"/>
    <w:basedOn w:val="Normal"/>
    <w:next w:val="Normal"/>
    <w:link w:val="Heading8Char"/>
    <w:qFormat/>
    <w:rsid w:val="001500BA"/>
    <w:pPr>
      <w:ind w:left="720"/>
      <w:outlineLvl w:val="7"/>
    </w:pPr>
    <w:rPr>
      <w:i/>
    </w:rPr>
  </w:style>
  <w:style w:type="paragraph" w:styleId="Heading9">
    <w:name w:val="heading 9"/>
    <w:basedOn w:val="Normal"/>
    <w:next w:val="Normal"/>
    <w:link w:val="Heading9Char"/>
    <w:qFormat/>
    <w:rsid w:val="001500BA"/>
    <w:pPr>
      <w:ind w:left="720"/>
      <w:outlineLvl w:val="8"/>
    </w:pPr>
    <w:rPr>
      <w:i/>
    </w:rPr>
  </w:style>
  <w:style w:type="character" w:default="1" w:styleId="DefaultParagraphFont">
    <w:name w:val="Default Paragraph Font"/>
    <w:uiPriority w:val="1"/>
    <w:unhideWhenUsed/>
    <w:rsid w:val="00150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0BA"/>
  </w:style>
  <w:style w:type="character" w:customStyle="1" w:styleId="Heading1Char">
    <w:name w:val="Heading 1 Char"/>
    <w:basedOn w:val="DefaultParagraphFont"/>
    <w:link w:val="Heading1"/>
    <w:rsid w:val="001500BA"/>
    <w:rPr>
      <w:rFonts w:ascii="Times New Roman" w:eastAsia="Times New Roman" w:hAnsi="Times New Roman" w:cs="Times New Roman"/>
      <w:b/>
      <w:sz w:val="32"/>
      <w:szCs w:val="20"/>
      <w:lang w:eastAsia="en-US"/>
    </w:rPr>
  </w:style>
  <w:style w:type="paragraph" w:styleId="BodyText">
    <w:name w:val="Body Text"/>
    <w:basedOn w:val="Normal"/>
    <w:link w:val="BodyTextChar"/>
    <w:rsid w:val="001500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0BA"/>
    <w:rPr>
      <w:rFonts w:ascii="Times New Roman" w:eastAsia="Times New Roman" w:hAnsi="Times New Roman" w:cs="Times New Roman"/>
      <w:sz w:val="24"/>
      <w:lang w:eastAsia="en-US"/>
    </w:rPr>
  </w:style>
  <w:style w:type="paragraph" w:styleId="ListBullet">
    <w:name w:val="List Bullet"/>
    <w:basedOn w:val="List"/>
    <w:rsid w:val="001500BA"/>
    <w:pPr>
      <w:numPr>
        <w:numId w:val="13"/>
      </w:numPr>
      <w:tabs>
        <w:tab w:val="clear" w:pos="340"/>
      </w:tabs>
      <w:spacing w:before="40" w:after="40"/>
    </w:pPr>
  </w:style>
  <w:style w:type="character" w:customStyle="1" w:styleId="SpecialBold">
    <w:name w:val="Special Bold"/>
    <w:basedOn w:val="DefaultParagraphFont"/>
    <w:rsid w:val="001500BA"/>
    <w:rPr>
      <w:b/>
      <w:spacing w:val="0"/>
    </w:rPr>
  </w:style>
  <w:style w:type="paragraph" w:styleId="ListBullet2">
    <w:name w:val="List Bullet 2"/>
    <w:basedOn w:val="List2"/>
    <w:rsid w:val="001500BA"/>
    <w:pPr>
      <w:numPr>
        <w:numId w:val="14"/>
      </w:numPr>
      <w:tabs>
        <w:tab w:val="clear" w:pos="680"/>
      </w:tabs>
    </w:pPr>
  </w:style>
  <w:style w:type="paragraph" w:customStyle="1" w:styleId="SuperHeading">
    <w:name w:val="SuperHeading"/>
    <w:basedOn w:val="Normal"/>
    <w:rsid w:val="001500BA"/>
    <w:pPr>
      <w:spacing w:before="240" w:after="120"/>
      <w:outlineLvl w:val="0"/>
    </w:pPr>
    <w:rPr>
      <w:rFonts w:ascii="Times New Roman" w:hAnsi="Times New Roman"/>
      <w:b/>
      <w:sz w:val="32"/>
    </w:rPr>
  </w:style>
  <w:style w:type="paragraph" w:customStyle="1" w:styleId="AllowPageBreak">
    <w:name w:val="AllowPageBreak"/>
    <w:rsid w:val="00150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0BA"/>
    <w:rPr>
      <w:rFonts w:ascii="Courier New" w:eastAsia="Times New Roman" w:hAnsi="Courier New" w:cs="Times New Roman"/>
      <w:i/>
      <w:szCs w:val="20"/>
      <w:lang w:eastAsia="en-US"/>
    </w:rPr>
  </w:style>
  <w:style w:type="paragraph" w:customStyle="1" w:styleId="HeadingBase">
    <w:name w:val="Heading Base"/>
    <w:rsid w:val="00150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0BA"/>
    <w:pPr>
      <w:tabs>
        <w:tab w:val="right" w:leader="dot" w:pos="9072"/>
      </w:tabs>
      <w:ind w:left="567"/>
    </w:pPr>
    <w:rPr>
      <w:szCs w:val="22"/>
    </w:rPr>
  </w:style>
  <w:style w:type="paragraph" w:customStyle="1" w:styleId="TOCBase">
    <w:name w:val="TOC Base"/>
    <w:rsid w:val="00150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0BA"/>
    <w:pPr>
      <w:tabs>
        <w:tab w:val="right" w:leader="dot" w:pos="9072"/>
      </w:tabs>
      <w:spacing w:before="40" w:after="40"/>
      <w:ind w:left="284"/>
    </w:pPr>
    <w:rPr>
      <w:rFonts w:ascii="Times New Roman" w:hAnsi="Times New Roman"/>
    </w:rPr>
  </w:style>
  <w:style w:type="paragraph" w:styleId="TOC1">
    <w:name w:val="toc 1"/>
    <w:basedOn w:val="TOCBase"/>
    <w:next w:val="Normal"/>
    <w:rsid w:val="00150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0BA"/>
    <w:rPr>
      <w:rFonts w:ascii="Times New Roman" w:eastAsia="Times New Roman" w:hAnsi="Times New Roman" w:cs="Times New Roman"/>
      <w:sz w:val="16"/>
      <w:lang w:eastAsia="en-US"/>
    </w:rPr>
  </w:style>
  <w:style w:type="paragraph" w:styleId="Title">
    <w:name w:val="Title"/>
    <w:basedOn w:val="HeadingBase"/>
    <w:link w:val="TitleChar"/>
    <w:qFormat/>
    <w:rsid w:val="001500BA"/>
    <w:pPr>
      <w:spacing w:before="5040"/>
      <w:jc w:val="center"/>
    </w:pPr>
    <w:rPr>
      <w:sz w:val="48"/>
      <w:szCs w:val="72"/>
      <w:lang w:val="en-US"/>
    </w:rPr>
  </w:style>
  <w:style w:type="character" w:customStyle="1" w:styleId="TitleChar">
    <w:name w:val="Title Char"/>
    <w:basedOn w:val="DefaultParagraphFont"/>
    <w:link w:val="Title"/>
    <w:rsid w:val="00150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0BA"/>
    <w:pPr>
      <w:tabs>
        <w:tab w:val="left" w:pos="3600"/>
        <w:tab w:val="left" w:pos="3958"/>
      </w:tabs>
    </w:pPr>
  </w:style>
  <w:style w:type="paragraph" w:styleId="List">
    <w:name w:val="List"/>
    <w:basedOn w:val="BodyText"/>
    <w:next w:val="BodyText"/>
    <w:rsid w:val="001500BA"/>
    <w:pPr>
      <w:tabs>
        <w:tab w:val="left" w:pos="340"/>
      </w:tabs>
      <w:spacing w:before="60" w:after="60"/>
      <w:ind w:left="340" w:hanging="340"/>
    </w:pPr>
  </w:style>
  <w:style w:type="paragraph" w:customStyle="1" w:styleId="Note">
    <w:name w:val="Note"/>
    <w:basedOn w:val="BodyText"/>
    <w:rsid w:val="00150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0BA"/>
    <w:pPr>
      <w:framePr w:wrap="auto" w:hAnchor="text" w:y="6049"/>
    </w:pPr>
    <w:rPr>
      <w:color w:val="000000"/>
      <w:sz w:val="40"/>
    </w:rPr>
  </w:style>
  <w:style w:type="paragraph" w:customStyle="1" w:styleId="TOCTitle">
    <w:name w:val="TOCTitle"/>
    <w:basedOn w:val="Heading1"/>
    <w:rsid w:val="001500BA"/>
    <w:pPr>
      <w:spacing w:after="240"/>
      <w:jc w:val="center"/>
      <w:outlineLvl w:val="9"/>
    </w:pPr>
    <w:rPr>
      <w:caps/>
    </w:rPr>
  </w:style>
  <w:style w:type="paragraph" w:customStyle="1" w:styleId="Version">
    <w:name w:val="Version"/>
    <w:rsid w:val="00150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0BA"/>
    <w:pPr>
      <w:keepNext w:val="0"/>
      <w:tabs>
        <w:tab w:val="right" w:pos="4176"/>
      </w:tabs>
      <w:ind w:left="198" w:hanging="198"/>
    </w:pPr>
    <w:rPr>
      <w:rFonts w:ascii="Garamond" w:hAnsi="Garamond"/>
    </w:rPr>
  </w:style>
  <w:style w:type="paragraph" w:styleId="IndexHeading">
    <w:name w:val="index heading"/>
    <w:basedOn w:val="Normal"/>
    <w:next w:val="Index1"/>
    <w:semiHidden/>
    <w:rsid w:val="001500BA"/>
    <w:pPr>
      <w:spacing w:before="120" w:after="120"/>
    </w:pPr>
    <w:rPr>
      <w:rFonts w:ascii="Arial" w:hAnsi="Arial"/>
      <w:b/>
      <w:color w:val="918585"/>
      <w:sz w:val="24"/>
    </w:rPr>
  </w:style>
  <w:style w:type="paragraph" w:styleId="Header">
    <w:name w:val="header"/>
    <w:basedOn w:val="Normal"/>
    <w:link w:val="HeaderChar"/>
    <w:rsid w:val="00150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0BA"/>
    <w:rPr>
      <w:rFonts w:ascii="Times New Roman" w:eastAsia="Times New Roman" w:hAnsi="Times New Roman" w:cs="Times New Roman"/>
      <w:sz w:val="16"/>
      <w:szCs w:val="20"/>
      <w:lang w:val="en-GB" w:eastAsia="en-US"/>
    </w:rPr>
  </w:style>
  <w:style w:type="paragraph" w:customStyle="1" w:styleId="Chapter">
    <w:name w:val="Chapter"/>
    <w:basedOn w:val="Normal"/>
    <w:rsid w:val="001500BA"/>
    <w:pPr>
      <w:spacing w:before="240"/>
    </w:pPr>
    <w:rPr>
      <w:rFonts w:ascii="Times New Roman" w:hAnsi="Times New Roman"/>
      <w:smallCaps/>
      <w:spacing w:val="80"/>
      <w:sz w:val="28"/>
    </w:rPr>
  </w:style>
  <w:style w:type="paragraph" w:customStyle="1" w:styleId="InChapter">
    <w:name w:val="InChapter"/>
    <w:basedOn w:val="Heading3"/>
    <w:rsid w:val="001500BA"/>
    <w:pPr>
      <w:spacing w:after="240"/>
      <w:outlineLvl w:val="9"/>
    </w:pPr>
    <w:rPr>
      <w:noProof/>
    </w:rPr>
  </w:style>
  <w:style w:type="paragraph" w:styleId="Index2">
    <w:name w:val="index 2"/>
    <w:basedOn w:val="Normal"/>
    <w:next w:val="Normal"/>
    <w:semiHidden/>
    <w:rsid w:val="001500BA"/>
    <w:pPr>
      <w:tabs>
        <w:tab w:val="right" w:pos="4176"/>
      </w:tabs>
      <w:ind w:left="568" w:hanging="284"/>
    </w:pPr>
    <w:rPr>
      <w:rFonts w:ascii="Garamond" w:hAnsi="Garamond"/>
    </w:rPr>
  </w:style>
  <w:style w:type="paragraph" w:customStyle="1" w:styleId="Byline">
    <w:name w:val="Byline"/>
    <w:rsid w:val="00150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0BA"/>
    <w:pPr>
      <w:tabs>
        <w:tab w:val="clear" w:pos="3600"/>
        <w:tab w:val="clear" w:pos="3958"/>
      </w:tabs>
      <w:jc w:val="right"/>
    </w:pPr>
  </w:style>
  <w:style w:type="character" w:styleId="Emphasis">
    <w:name w:val="Emphasis"/>
    <w:basedOn w:val="DefaultParagraphFont"/>
    <w:qFormat/>
    <w:rsid w:val="001500BA"/>
    <w:rPr>
      <w:i/>
    </w:rPr>
  </w:style>
  <w:style w:type="paragraph" w:styleId="Caption">
    <w:name w:val="caption"/>
    <w:basedOn w:val="BodyText"/>
    <w:next w:val="Normal"/>
    <w:qFormat/>
    <w:rsid w:val="001500BA"/>
    <w:pPr>
      <w:framePr w:w="2268" w:hSpace="181" w:vSpace="181" w:wrap="around" w:vAnchor="text" w:hAnchor="page" w:x="1135" w:y="285" w:anchorLock="1"/>
    </w:pPr>
    <w:rPr>
      <w:i/>
    </w:rPr>
  </w:style>
  <w:style w:type="paragraph" w:customStyle="1" w:styleId="MiniTOCTitle">
    <w:name w:val="MiniTOCTitle"/>
    <w:basedOn w:val="Heading4"/>
    <w:rsid w:val="001500BA"/>
    <w:pPr>
      <w:spacing w:before="240"/>
      <w:outlineLvl w:val="9"/>
    </w:pPr>
    <w:rPr>
      <w:noProof/>
      <w:sz w:val="24"/>
    </w:rPr>
  </w:style>
  <w:style w:type="paragraph" w:customStyle="1" w:styleId="MiniTOCItem">
    <w:name w:val="MiniTOCItem"/>
    <w:basedOn w:val="ListBullet"/>
    <w:rsid w:val="001500BA"/>
    <w:pPr>
      <w:numPr>
        <w:numId w:val="0"/>
      </w:numPr>
      <w:tabs>
        <w:tab w:val="right" w:leader="dot" w:pos="6521"/>
      </w:tabs>
      <w:spacing w:before="0" w:after="0"/>
    </w:pPr>
  </w:style>
  <w:style w:type="paragraph" w:customStyle="1" w:styleId="TOFTitle">
    <w:name w:val="TOFTitle"/>
    <w:basedOn w:val="TOCTitle"/>
    <w:rsid w:val="001500BA"/>
  </w:style>
  <w:style w:type="paragraph" w:styleId="TableofFigures">
    <w:name w:val="table of figures"/>
    <w:basedOn w:val="Normal"/>
    <w:next w:val="Normal"/>
    <w:semiHidden/>
    <w:rsid w:val="001500BA"/>
    <w:pPr>
      <w:tabs>
        <w:tab w:val="right" w:leader="dot" w:pos="9072"/>
      </w:tabs>
      <w:ind w:left="970" w:hanging="403"/>
    </w:pPr>
    <w:rPr>
      <w:rFonts w:ascii="Times New Roman" w:hAnsi="Times New Roman"/>
      <w:b/>
    </w:rPr>
  </w:style>
  <w:style w:type="paragraph" w:styleId="ListNumber">
    <w:name w:val="List Number"/>
    <w:basedOn w:val="List"/>
    <w:rsid w:val="001500BA"/>
    <w:pPr>
      <w:numPr>
        <w:numId w:val="11"/>
      </w:numPr>
    </w:pPr>
  </w:style>
  <w:style w:type="character" w:customStyle="1" w:styleId="WingdingSymbols">
    <w:name w:val="Wingding Symbols"/>
    <w:rsid w:val="001500BA"/>
    <w:rPr>
      <w:rFonts w:ascii="Wingdings" w:hAnsi="Wingdings"/>
    </w:rPr>
  </w:style>
  <w:style w:type="paragraph" w:customStyle="1" w:styleId="TableHeading">
    <w:name w:val="Table Heading"/>
    <w:basedOn w:val="HeadingBase"/>
    <w:rsid w:val="001500BA"/>
    <w:pPr>
      <w:keepLines/>
      <w:pBdr>
        <w:bottom w:val="single" w:sz="6" w:space="1" w:color="918585"/>
      </w:pBdr>
      <w:spacing w:before="240"/>
    </w:pPr>
  </w:style>
  <w:style w:type="character" w:customStyle="1" w:styleId="HotSpot">
    <w:name w:val="HotSpot"/>
    <w:rsid w:val="001500BA"/>
    <w:rPr>
      <w:color w:val="0033CC"/>
      <w:u w:val="none"/>
    </w:rPr>
  </w:style>
  <w:style w:type="paragraph" w:customStyle="1" w:styleId="BodyTextRight">
    <w:name w:val="Body Text Right"/>
    <w:basedOn w:val="BodyText"/>
    <w:rsid w:val="001500BA"/>
    <w:pPr>
      <w:spacing w:before="0" w:after="0"/>
      <w:jc w:val="right"/>
    </w:pPr>
  </w:style>
  <w:style w:type="paragraph" w:styleId="Index3">
    <w:name w:val="index 3"/>
    <w:basedOn w:val="ListNumber2"/>
    <w:next w:val="Normal"/>
    <w:semiHidden/>
    <w:rsid w:val="001500BA"/>
    <w:pPr>
      <w:numPr>
        <w:numId w:val="0"/>
      </w:numPr>
      <w:tabs>
        <w:tab w:val="right" w:leader="dot" w:pos="4176"/>
      </w:tabs>
    </w:pPr>
  </w:style>
  <w:style w:type="paragraph" w:styleId="ListNumber2">
    <w:name w:val="List Number 2"/>
    <w:basedOn w:val="List2"/>
    <w:rsid w:val="001500BA"/>
    <w:pPr>
      <w:numPr>
        <w:numId w:val="10"/>
      </w:numPr>
      <w:tabs>
        <w:tab w:val="clear" w:pos="1060"/>
      </w:tabs>
    </w:pPr>
  </w:style>
  <w:style w:type="paragraph" w:customStyle="1" w:styleId="MarginNote">
    <w:name w:val="Margin Note"/>
    <w:basedOn w:val="BodyText"/>
    <w:rsid w:val="00150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0BA"/>
    <w:rPr>
      <w:sz w:val="32"/>
    </w:rPr>
  </w:style>
  <w:style w:type="paragraph" w:customStyle="1" w:styleId="HeadingProcedure">
    <w:name w:val="Heading Procedure"/>
    <w:basedOn w:val="HeadingBase"/>
    <w:next w:val="Normal"/>
    <w:rsid w:val="001500BA"/>
    <w:pPr>
      <w:tabs>
        <w:tab w:val="left" w:pos="0"/>
      </w:tabs>
      <w:spacing w:before="120" w:after="60"/>
    </w:pPr>
    <w:rPr>
      <w:i/>
      <w:color w:val="918585"/>
      <w:sz w:val="22"/>
    </w:rPr>
  </w:style>
  <w:style w:type="paragraph" w:customStyle="1" w:styleId="TableBodyText">
    <w:name w:val="Table Body Text"/>
    <w:basedOn w:val="BodyText"/>
    <w:rsid w:val="001500BA"/>
    <w:pPr>
      <w:spacing w:before="60" w:after="60"/>
    </w:pPr>
  </w:style>
  <w:style w:type="paragraph" w:styleId="ListContinue">
    <w:name w:val="List Continue"/>
    <w:basedOn w:val="List"/>
    <w:rsid w:val="001500BA"/>
    <w:pPr>
      <w:ind w:firstLine="0"/>
    </w:pPr>
  </w:style>
  <w:style w:type="paragraph" w:customStyle="1" w:styleId="ListNote">
    <w:name w:val="List Note"/>
    <w:basedOn w:val="List"/>
    <w:rsid w:val="001500BA"/>
    <w:pPr>
      <w:pBdr>
        <w:top w:val="single" w:sz="6" w:space="2" w:color="918585"/>
        <w:bottom w:val="single" w:sz="6" w:space="2" w:color="918585"/>
      </w:pBdr>
      <w:tabs>
        <w:tab w:val="left" w:pos="1021"/>
      </w:tabs>
      <w:ind w:firstLine="0"/>
    </w:pPr>
  </w:style>
  <w:style w:type="paragraph" w:customStyle="1" w:styleId="Warning">
    <w:name w:val="Warning"/>
    <w:basedOn w:val="BodyText"/>
    <w:rsid w:val="001500BA"/>
    <w:pPr>
      <w:shd w:val="clear" w:color="auto" w:fill="D9D9D9"/>
      <w:tabs>
        <w:tab w:val="left" w:pos="992"/>
      </w:tabs>
      <w:ind w:left="119" w:right="119"/>
    </w:pPr>
    <w:rPr>
      <w:sz w:val="20"/>
    </w:rPr>
  </w:style>
  <w:style w:type="paragraph" w:customStyle="1" w:styleId="MarginIcons">
    <w:name w:val="Margin Icons"/>
    <w:basedOn w:val="BodyText"/>
    <w:rsid w:val="00150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0BA"/>
    <w:rPr>
      <w:rFonts w:ascii="Courier New" w:hAnsi="Courier New"/>
    </w:rPr>
  </w:style>
  <w:style w:type="paragraph" w:customStyle="1" w:styleId="NoteBullet">
    <w:name w:val="Note Bullet"/>
    <w:basedOn w:val="Note"/>
    <w:rsid w:val="001500BA"/>
    <w:pPr>
      <w:tabs>
        <w:tab w:val="clear" w:pos="680"/>
      </w:tabs>
      <w:spacing w:before="60" w:after="60"/>
    </w:pPr>
  </w:style>
  <w:style w:type="paragraph" w:customStyle="1" w:styleId="SubHeading2">
    <w:name w:val="SubHeading2"/>
    <w:basedOn w:val="HeadingBase"/>
    <w:rsid w:val="001500BA"/>
    <w:pPr>
      <w:spacing w:before="240" w:after="60"/>
    </w:pPr>
    <w:rPr>
      <w:sz w:val="20"/>
    </w:rPr>
  </w:style>
  <w:style w:type="paragraph" w:customStyle="1" w:styleId="SubHeading1">
    <w:name w:val="SubHeading1"/>
    <w:basedOn w:val="HeadingBase"/>
    <w:rsid w:val="001500BA"/>
    <w:pPr>
      <w:spacing w:before="240" w:after="60"/>
    </w:pPr>
    <w:rPr>
      <w:color w:val="918585"/>
      <w:sz w:val="22"/>
    </w:rPr>
  </w:style>
  <w:style w:type="paragraph" w:customStyle="1" w:styleId="SideHeading">
    <w:name w:val="Side Heading"/>
    <w:basedOn w:val="HeadingBase"/>
    <w:rsid w:val="00150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0BA"/>
    <w:pPr>
      <w:numPr>
        <w:numId w:val="12"/>
      </w:numPr>
    </w:pPr>
  </w:style>
  <w:style w:type="paragraph" w:styleId="PlainText">
    <w:name w:val="Plain Text"/>
    <w:basedOn w:val="Normal"/>
    <w:link w:val="PlainTextChar"/>
    <w:rsid w:val="001500BA"/>
    <w:rPr>
      <w:sz w:val="20"/>
    </w:rPr>
  </w:style>
  <w:style w:type="character" w:customStyle="1" w:styleId="PlainTextChar">
    <w:name w:val="Plain Text Char"/>
    <w:basedOn w:val="DefaultParagraphFont"/>
    <w:link w:val="PlainText"/>
    <w:rsid w:val="001500BA"/>
    <w:rPr>
      <w:rFonts w:ascii="Courier New" w:eastAsia="Times New Roman" w:hAnsi="Courier New" w:cs="Times New Roman"/>
      <w:sz w:val="20"/>
      <w:szCs w:val="20"/>
      <w:lang w:eastAsia="en-US"/>
    </w:rPr>
  </w:style>
  <w:style w:type="character" w:customStyle="1" w:styleId="MenuOption">
    <w:name w:val="Menu Option"/>
    <w:basedOn w:val="DefaultParagraphFont"/>
    <w:rsid w:val="001500BA"/>
    <w:rPr>
      <w:b/>
      <w:smallCaps/>
    </w:rPr>
  </w:style>
  <w:style w:type="paragraph" w:customStyle="1" w:styleId="TableListNumber">
    <w:name w:val="Table List Number"/>
    <w:basedOn w:val="ListNumber"/>
    <w:rsid w:val="001500BA"/>
    <w:pPr>
      <w:numPr>
        <w:numId w:val="0"/>
      </w:numPr>
    </w:pPr>
  </w:style>
  <w:style w:type="paragraph" w:styleId="TOC4">
    <w:name w:val="toc 4"/>
    <w:basedOn w:val="TOCBase"/>
    <w:next w:val="Normal"/>
    <w:semiHidden/>
    <w:rsid w:val="001500BA"/>
    <w:pPr>
      <w:tabs>
        <w:tab w:val="right" w:leader="dot" w:pos="9071"/>
      </w:tabs>
      <w:ind w:left="1701"/>
    </w:pPr>
  </w:style>
  <w:style w:type="paragraph" w:customStyle="1" w:styleId="ListAlpha">
    <w:name w:val="List Alpha"/>
    <w:basedOn w:val="List"/>
    <w:rsid w:val="001500BA"/>
    <w:pPr>
      <w:numPr>
        <w:numId w:val="9"/>
      </w:numPr>
    </w:pPr>
  </w:style>
  <w:style w:type="paragraph" w:customStyle="1" w:styleId="ListAlpha2">
    <w:name w:val="List Alpha 2"/>
    <w:basedOn w:val="List2"/>
    <w:rsid w:val="001500BA"/>
    <w:pPr>
      <w:numPr>
        <w:numId w:val="8"/>
      </w:numPr>
    </w:pPr>
  </w:style>
  <w:style w:type="paragraph" w:styleId="List2">
    <w:name w:val="List 2"/>
    <w:basedOn w:val="BodyText"/>
    <w:rsid w:val="001500BA"/>
    <w:pPr>
      <w:tabs>
        <w:tab w:val="left" w:pos="680"/>
      </w:tabs>
      <w:spacing w:before="60" w:after="60"/>
      <w:ind w:left="680" w:hanging="340"/>
    </w:pPr>
  </w:style>
  <w:style w:type="paragraph" w:styleId="List3">
    <w:name w:val="List 3"/>
    <w:basedOn w:val="BodyText"/>
    <w:rsid w:val="001500BA"/>
    <w:pPr>
      <w:tabs>
        <w:tab w:val="left" w:pos="1021"/>
      </w:tabs>
      <w:spacing w:before="60" w:after="60"/>
      <w:ind w:left="1020" w:hanging="340"/>
    </w:pPr>
  </w:style>
  <w:style w:type="paragraph" w:styleId="List4">
    <w:name w:val="List 4"/>
    <w:basedOn w:val="BodyText"/>
    <w:rsid w:val="001500BA"/>
    <w:pPr>
      <w:tabs>
        <w:tab w:val="left" w:pos="1361"/>
      </w:tabs>
      <w:spacing w:before="60" w:after="60"/>
      <w:ind w:left="1361" w:hanging="340"/>
    </w:pPr>
  </w:style>
  <w:style w:type="paragraph" w:styleId="List5">
    <w:name w:val="List 5"/>
    <w:basedOn w:val="BodyText"/>
    <w:rsid w:val="001500BA"/>
    <w:pPr>
      <w:tabs>
        <w:tab w:val="left" w:pos="1701"/>
      </w:tabs>
      <w:spacing w:before="60" w:after="60"/>
      <w:ind w:left="1701" w:hanging="340"/>
    </w:pPr>
  </w:style>
  <w:style w:type="paragraph" w:styleId="ListBullet3">
    <w:name w:val="List Bullet 3"/>
    <w:basedOn w:val="List3"/>
    <w:rsid w:val="001500BA"/>
    <w:pPr>
      <w:numPr>
        <w:numId w:val="15"/>
      </w:numPr>
      <w:tabs>
        <w:tab w:val="clear" w:pos="1021"/>
      </w:tabs>
      <w:ind w:left="1037" w:hanging="357"/>
    </w:pPr>
  </w:style>
  <w:style w:type="paragraph" w:styleId="ListBullet4">
    <w:name w:val="List Bullet 4"/>
    <w:basedOn w:val="List4"/>
    <w:rsid w:val="001500BA"/>
    <w:pPr>
      <w:numPr>
        <w:numId w:val="3"/>
      </w:numPr>
    </w:pPr>
  </w:style>
  <w:style w:type="paragraph" w:styleId="ListBullet5">
    <w:name w:val="List Bullet 5"/>
    <w:basedOn w:val="List5"/>
    <w:rsid w:val="001500BA"/>
    <w:pPr>
      <w:numPr>
        <w:numId w:val="4"/>
      </w:numPr>
    </w:pPr>
  </w:style>
  <w:style w:type="paragraph" w:styleId="ListContinue2">
    <w:name w:val="List Continue 2"/>
    <w:basedOn w:val="List2"/>
    <w:rsid w:val="001500BA"/>
    <w:pPr>
      <w:ind w:firstLine="0"/>
    </w:pPr>
  </w:style>
  <w:style w:type="paragraph" w:styleId="ListContinue3">
    <w:name w:val="List Continue 3"/>
    <w:basedOn w:val="List3"/>
    <w:rsid w:val="001500BA"/>
    <w:pPr>
      <w:ind w:left="1021" w:firstLine="0"/>
    </w:pPr>
  </w:style>
  <w:style w:type="paragraph" w:styleId="ListContinue4">
    <w:name w:val="List Continue 4"/>
    <w:basedOn w:val="List4"/>
    <w:rsid w:val="001500BA"/>
    <w:pPr>
      <w:ind w:firstLine="0"/>
    </w:pPr>
  </w:style>
  <w:style w:type="paragraph" w:styleId="ListContinue5">
    <w:name w:val="List Continue 5"/>
    <w:basedOn w:val="List5"/>
    <w:rsid w:val="001500BA"/>
    <w:pPr>
      <w:ind w:firstLine="0"/>
    </w:pPr>
  </w:style>
  <w:style w:type="paragraph" w:styleId="ListNumber3">
    <w:name w:val="List Number 3"/>
    <w:basedOn w:val="List3"/>
    <w:rsid w:val="001500BA"/>
    <w:pPr>
      <w:numPr>
        <w:numId w:val="5"/>
      </w:numPr>
    </w:pPr>
  </w:style>
  <w:style w:type="paragraph" w:styleId="ListNumber4">
    <w:name w:val="List Number 4"/>
    <w:basedOn w:val="List4"/>
    <w:rsid w:val="001500BA"/>
    <w:pPr>
      <w:numPr>
        <w:numId w:val="6"/>
      </w:numPr>
    </w:pPr>
  </w:style>
  <w:style w:type="paragraph" w:styleId="ListNumber5">
    <w:name w:val="List Number 5"/>
    <w:basedOn w:val="List5"/>
    <w:rsid w:val="001500BA"/>
    <w:pPr>
      <w:numPr>
        <w:numId w:val="7"/>
      </w:numPr>
    </w:pPr>
  </w:style>
  <w:style w:type="paragraph" w:styleId="BlockText">
    <w:name w:val="Block Text"/>
    <w:basedOn w:val="Normal"/>
    <w:rsid w:val="001500BA"/>
    <w:pPr>
      <w:spacing w:after="120"/>
      <w:ind w:left="1440" w:right="1440"/>
    </w:pPr>
  </w:style>
  <w:style w:type="character" w:customStyle="1" w:styleId="Subscript">
    <w:name w:val="Subscript"/>
    <w:basedOn w:val="DefaultParagraphFont"/>
    <w:rsid w:val="001500BA"/>
    <w:rPr>
      <w:sz w:val="16"/>
      <w:vertAlign w:val="subscript"/>
    </w:rPr>
  </w:style>
  <w:style w:type="character" w:customStyle="1" w:styleId="Superscript">
    <w:name w:val="Superscript"/>
    <w:basedOn w:val="DefaultParagraphFont"/>
    <w:rsid w:val="001500BA"/>
    <w:rPr>
      <w:sz w:val="16"/>
      <w:vertAlign w:val="superscript"/>
    </w:rPr>
  </w:style>
  <w:style w:type="character" w:customStyle="1" w:styleId="Symbols">
    <w:name w:val="Symbols"/>
    <w:basedOn w:val="DefaultParagraphFont"/>
    <w:rsid w:val="001500BA"/>
    <w:rPr>
      <w:rFonts w:ascii="Symbol" w:hAnsi="Symbol"/>
    </w:rPr>
  </w:style>
  <w:style w:type="character" w:customStyle="1" w:styleId="MenuOptions">
    <w:name w:val="Menu Options"/>
    <w:basedOn w:val="DefaultParagraphFont"/>
    <w:rsid w:val="001500BA"/>
    <w:rPr>
      <w:rFonts w:ascii="Arial Narrow" w:hAnsi="Arial Narrow"/>
      <w:smallCaps/>
    </w:rPr>
  </w:style>
  <w:style w:type="character" w:customStyle="1" w:styleId="Buttons">
    <w:name w:val="Buttons"/>
    <w:basedOn w:val="DefaultParagraphFont"/>
    <w:rsid w:val="001500BA"/>
    <w:rPr>
      <w:b/>
    </w:rPr>
  </w:style>
  <w:style w:type="character" w:customStyle="1" w:styleId="Underlined">
    <w:name w:val="Underlined"/>
    <w:basedOn w:val="DefaultParagraphFont"/>
    <w:rsid w:val="001500BA"/>
    <w:rPr>
      <w:u w:val="single"/>
    </w:rPr>
  </w:style>
  <w:style w:type="paragraph" w:customStyle="1" w:styleId="TableBodyTextRight">
    <w:name w:val="Table Body Text Right"/>
    <w:basedOn w:val="TableBodyText"/>
    <w:rsid w:val="001500BA"/>
    <w:pPr>
      <w:widowControl w:val="0"/>
      <w:autoSpaceDE w:val="0"/>
      <w:autoSpaceDN w:val="0"/>
      <w:adjustRightInd w:val="0"/>
      <w:jc w:val="right"/>
    </w:pPr>
    <w:rPr>
      <w:rFonts w:cs="Arial"/>
      <w:szCs w:val="18"/>
    </w:rPr>
  </w:style>
  <w:style w:type="paragraph" w:customStyle="1" w:styleId="CopyrightText">
    <w:name w:val="Copyright Text"/>
    <w:basedOn w:val="BodyText"/>
    <w:rsid w:val="001500BA"/>
    <w:rPr>
      <w:sz w:val="18"/>
    </w:rPr>
  </w:style>
  <w:style w:type="paragraph" w:customStyle="1" w:styleId="BodySmallRight">
    <w:name w:val="Body Small Right"/>
    <w:basedOn w:val="BodyTextRight"/>
    <w:rsid w:val="001500BA"/>
    <w:rPr>
      <w:sz w:val="18"/>
      <w:szCs w:val="18"/>
    </w:rPr>
  </w:style>
  <w:style w:type="paragraph" w:customStyle="1" w:styleId="MarginEdition">
    <w:name w:val="Margin Edition"/>
    <w:basedOn w:val="MarginNote"/>
    <w:rsid w:val="001500BA"/>
    <w:pPr>
      <w:spacing w:before="0" w:after="0"/>
    </w:pPr>
    <w:rPr>
      <w:rFonts w:ascii="Times New Roman" w:hAnsi="Times New Roman"/>
      <w:color w:val="999999"/>
    </w:rPr>
  </w:style>
  <w:style w:type="paragraph" w:customStyle="1" w:styleId="Spacer">
    <w:name w:val="Spacer"/>
    <w:basedOn w:val="Normal"/>
    <w:rsid w:val="001500BA"/>
    <w:rPr>
      <w:sz w:val="2"/>
      <w:szCs w:val="2"/>
    </w:rPr>
  </w:style>
  <w:style w:type="character" w:customStyle="1" w:styleId="Small">
    <w:name w:val="Small"/>
    <w:basedOn w:val="DefaultParagraphFont"/>
    <w:rsid w:val="001500BA"/>
    <w:rPr>
      <w:sz w:val="16"/>
    </w:rPr>
  </w:style>
  <w:style w:type="paragraph" w:customStyle="1" w:styleId="WideTable">
    <w:name w:val="Wide Table"/>
    <w:basedOn w:val="Normal"/>
    <w:rsid w:val="001500BA"/>
    <w:pPr>
      <w:ind w:left="-1418"/>
    </w:pPr>
    <w:rPr>
      <w:sz w:val="2"/>
      <w:szCs w:val="2"/>
    </w:rPr>
  </w:style>
  <w:style w:type="character" w:styleId="PageNumber">
    <w:name w:val="page number"/>
    <w:basedOn w:val="DefaultParagraphFont"/>
    <w:rsid w:val="001500BA"/>
  </w:style>
  <w:style w:type="paragraph" w:styleId="Quote">
    <w:name w:val="Quote"/>
    <w:basedOn w:val="Heading1"/>
    <w:link w:val="QuoteChar"/>
    <w:qFormat/>
    <w:rsid w:val="001500BA"/>
    <w:rPr>
      <w:b w:val="0"/>
      <w:sz w:val="72"/>
      <w:szCs w:val="72"/>
      <w:lang w:val="en-NZ"/>
    </w:rPr>
  </w:style>
  <w:style w:type="character" w:customStyle="1" w:styleId="QuoteChar">
    <w:name w:val="Quote Char"/>
    <w:basedOn w:val="DefaultParagraphFont"/>
    <w:link w:val="Quote"/>
    <w:rsid w:val="00150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0BA"/>
    <w:pPr>
      <w:pageBreakBefore/>
    </w:pPr>
  </w:style>
  <w:style w:type="paragraph" w:customStyle="1" w:styleId="Border">
    <w:name w:val="Border"/>
    <w:basedOn w:val="Normal"/>
    <w:qFormat/>
    <w:rsid w:val="00150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0BA"/>
    <w:rPr>
      <w:b/>
      <w:bCs/>
      <w:i/>
      <w:iCs/>
      <w:color w:val="auto"/>
    </w:rPr>
  </w:style>
  <w:style w:type="paragraph" w:styleId="IntenseQuote">
    <w:name w:val="Intense Quote"/>
    <w:basedOn w:val="Normal"/>
    <w:next w:val="Normal"/>
    <w:link w:val="IntenseQuoteChar"/>
    <w:uiPriority w:val="30"/>
    <w:qFormat/>
    <w:rsid w:val="00150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0BA"/>
    <w:rPr>
      <w:smallCaps/>
      <w:color w:val="auto"/>
      <w:u w:val="single"/>
    </w:rPr>
  </w:style>
  <w:style w:type="character" w:styleId="IntenseReference">
    <w:name w:val="Intense Reference"/>
    <w:basedOn w:val="DefaultParagraphFont"/>
    <w:uiPriority w:val="32"/>
    <w:qFormat/>
    <w:rsid w:val="001500BA"/>
    <w:rPr>
      <w:b/>
      <w:bCs/>
      <w:smallCaps/>
      <w:color w:val="auto"/>
      <w:spacing w:val="5"/>
      <w:u w:val="single"/>
    </w:rPr>
  </w:style>
  <w:style w:type="paragraph" w:customStyle="1" w:styleId="2ColumnHeading">
    <w:name w:val="2Column Heading"/>
    <w:basedOn w:val="BodyText"/>
    <w:qFormat/>
    <w:rsid w:val="001500BA"/>
    <w:pPr>
      <w:spacing w:after="60"/>
      <w:ind w:left="-2268"/>
    </w:pPr>
    <w:rPr>
      <w:b/>
    </w:rPr>
  </w:style>
  <w:style w:type="paragraph" w:customStyle="1" w:styleId="Heading1TOC">
    <w:name w:val="Heading1 TOC"/>
    <w:basedOn w:val="Normal"/>
    <w:qFormat/>
    <w:rsid w:val="001500BA"/>
    <w:pPr>
      <w:spacing w:before="240" w:after="120"/>
    </w:pPr>
    <w:rPr>
      <w:rFonts w:ascii="Times New Roman" w:hAnsi="Times New Roman"/>
      <w:b/>
      <w:sz w:val="32"/>
    </w:rPr>
  </w:style>
  <w:style w:type="paragraph" w:customStyle="1" w:styleId="Heading2TOC">
    <w:name w:val="Heading2 TOC"/>
    <w:basedOn w:val="Normal"/>
    <w:qFormat/>
    <w:rsid w:val="001500BA"/>
    <w:pPr>
      <w:spacing w:before="240" w:after="60"/>
    </w:pPr>
    <w:rPr>
      <w:rFonts w:ascii="Times New Roman" w:hAnsi="Times New Roman"/>
      <w:b/>
      <w:sz w:val="28"/>
    </w:rPr>
  </w:style>
  <w:style w:type="character" w:customStyle="1" w:styleId="Underline">
    <w:name w:val="Underline"/>
    <w:basedOn w:val="DefaultParagraphFont"/>
    <w:qFormat/>
    <w:rsid w:val="001500BA"/>
    <w:rPr>
      <w:u w:val="single"/>
    </w:rPr>
  </w:style>
  <w:style w:type="character" w:customStyle="1" w:styleId="BoldandItalics">
    <w:name w:val="Bold and Italics"/>
    <w:qFormat/>
    <w:rsid w:val="001500BA"/>
    <w:rPr>
      <w:b/>
      <w:i/>
      <w:u w:val="none"/>
    </w:rPr>
  </w:style>
  <w:style w:type="paragraph" w:styleId="BalloonText">
    <w:name w:val="Balloon Text"/>
    <w:basedOn w:val="Normal"/>
    <w:link w:val="BalloonTextChar"/>
    <w:rsid w:val="001500BA"/>
    <w:rPr>
      <w:rFonts w:ascii="Tahoma" w:hAnsi="Tahoma" w:cs="Tahoma"/>
      <w:sz w:val="16"/>
      <w:szCs w:val="16"/>
    </w:rPr>
  </w:style>
  <w:style w:type="character" w:customStyle="1" w:styleId="BalloonTextChar">
    <w:name w:val="Balloon Text Char"/>
    <w:basedOn w:val="DefaultParagraphFont"/>
    <w:link w:val="BalloonText"/>
    <w:rsid w:val="00150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0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0BA"/>
    <w:rPr>
      <w:b/>
      <w:color w:val="660033"/>
      <w:spacing w:val="0"/>
    </w:rPr>
  </w:style>
  <w:style w:type="paragraph" w:customStyle="1" w:styleId="Nameditemlist">
    <w:name w:val="Named item list"/>
    <w:basedOn w:val="BodyText"/>
    <w:qFormat/>
    <w:rsid w:val="001500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2279</Words>
  <Characters>14325</Characters>
  <Application>Microsoft Office Word</Application>
  <DocSecurity>0</DocSecurity>
  <Lines>600</Lines>
  <Paragraphs>257</Paragraphs>
  <ScaleCrop>false</ScaleCrop>
  <Company>Author-it Software Corporation Ltd.</Company>
  <LinksUpToDate>false</LinksUpToDate>
  <CharactersWithSpaces>16447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UEENEEG189A Install and maintain emergency lighting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2013-08-14T01:13:00Z</dcterms:created>
  <dcterms:modified xsi:type="dcterms:W3CDTF">2013-08-14T01:13:00Z</dcterms:modified>
</cp:coreProperties>
</file>