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FE2" w:rsidP="00A95FE2">
      <w:pPr>
        <w:pStyle w:val="Title"/>
      </w:pPr>
      <w:r>
        <w:fldChar w:fldCharType="begin"/>
      </w:r>
      <w:r>
        <w:instrText xml:space="preserve"> TITLE   \* MERGEFORMAT </w:instrText>
      </w:r>
      <w:r>
        <w:fldChar w:fldCharType="separate"/>
      </w:r>
      <w:r>
        <w:t>UEENEEG188A Prepare quotations for the supply of effective and efficient lighting products for lighting projects</w:t>
      </w:r>
      <w:r>
        <w:fldChar w:fldCharType="end"/>
      </w:r>
    </w:p>
    <w:p w:rsidR="00A95FE2" w:rsidP="00A95FE2">
      <w:pPr>
        <w:pStyle w:val="Version"/>
        <w:sectPr w:rsidSect="00F753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5344" w:rsidP="00F75344">
      <w:pPr>
        <w:pStyle w:val="SuperHeading"/>
      </w:pPr>
      <w:r w:rsidRPr="00F75344">
        <w:t>UEENEEG188A Prepare quotations for the supply of effective and efficient lighting products for lighting projects</w:t>
      </w:r>
    </w:p>
    <w:p w:rsidR="00000000" w:rsidRPr="00F75344" w:rsidP="00F75344">
      <w:pPr>
        <w:pStyle w:val="Heading1"/>
      </w:pPr>
      <w:bookmarkStart w:id="1" w:name="O_586601"/>
      <w:bookmarkEnd w:id="1"/>
      <w:r w:rsidRPr="00F75344">
        <w:t>Modification History</w:t>
      </w:r>
    </w:p>
    <w:p w:rsidR="00000000" w:rsidRPr="00F75344" w:rsidP="00F75344">
      <w:pPr>
        <w:pStyle w:val="BodyText"/>
      </w:pPr>
      <w:r w:rsidRPr="00F75344">
        <w:t>Not applicable.</w:t>
      </w:r>
    </w:p>
    <w:p w:rsidR="00000000" w:rsidRPr="00F75344" w:rsidP="00F75344">
      <w:pPr>
        <w:pStyle w:val="AllowPageBreak"/>
      </w:pPr>
    </w:p>
    <w:p w:rsidR="00000000" w:rsidRPr="00F75344" w:rsidP="00F75344">
      <w:pPr>
        <w:pStyle w:val="Heading1"/>
      </w:pPr>
      <w:bookmarkStart w:id="2" w:name="O_586600"/>
      <w:bookmarkEnd w:id="2"/>
      <w:r w:rsidRPr="00F75344">
        <w:t>Unit Descriptor</w:t>
      </w:r>
    </w:p>
    <w:tbl>
      <w:tblPr>
        <w:tblW w:w="0" w:type="auto"/>
        <w:tblLayout w:type="fixed"/>
        <w:tblCellMar>
          <w:left w:w="62" w:type="dxa"/>
          <w:right w:w="62" w:type="dxa"/>
        </w:tblCellMar>
        <w:tblLook w:val="0000"/>
      </w:tblPr>
      <w:tblGrid>
        <w:gridCol w:w="2700"/>
        <w:gridCol w:w="5760"/>
      </w:tblGrid>
      <w:tr w:rsidTr="00A95F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rPr>
                <w:rStyle w:val="SpecialBold"/>
              </w:rPr>
              <w:t>1)</w:t>
            </w:r>
            <w:r w:rsidRPr="00F75344">
              <w:t xml:space="preserve"> </w:t>
            </w:r>
            <w:r w:rsidRPr="00F75344">
              <w:rPr>
                <w:rStyle w:val="SpecialBold"/>
              </w:rPr>
              <w:t>Scope:</w:t>
            </w:r>
          </w:p>
        </w:tc>
      </w:tr>
      <w:tr w:rsidTr="00A95F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7534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rPr>
                <w:rStyle w:val="SpecialBold"/>
              </w:rPr>
              <w:t>1.1) Descriptor</w:t>
            </w:r>
          </w:p>
        </w:tc>
      </w:tr>
      <w:tr w:rsidTr="00A95F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t>This unit covers preparing quotations for supply of effective and efficient lighting products based on given specifications and/or material schedules. It encompasses knowledge of lighting and ancillary components, their application and parameters, complian</w:t>
            </w:r>
            <w:r w:rsidRPr="00F75344">
              <w:t xml:space="preserve">ce requirements, installations conditions, interpreting manufacturer’s technical data, job specifications and equipment schedules and documenting quotations accurately. </w:t>
            </w:r>
          </w:p>
        </w:tc>
      </w:tr>
    </w:tbl>
    <w:p w:rsidR="00000000" w:rsidRPr="00F75344" w:rsidP="00F75344">
      <w:pPr>
        <w:pStyle w:val="BodyText"/>
      </w:pPr>
    </w:p>
    <w:p w:rsidR="00000000" w:rsidRPr="00F75344" w:rsidP="00F75344">
      <w:pPr>
        <w:pStyle w:val="AllowPageBreak"/>
      </w:pPr>
    </w:p>
    <w:p w:rsidR="00000000" w:rsidRPr="00F75344" w:rsidP="00F75344">
      <w:pPr>
        <w:pStyle w:val="Heading1"/>
      </w:pPr>
      <w:bookmarkStart w:id="3" w:name="O_586599"/>
      <w:bookmarkEnd w:id="3"/>
      <w:r w:rsidRPr="00F75344">
        <w:t>Application of the Unit</w:t>
      </w:r>
    </w:p>
    <w:tbl>
      <w:tblPr>
        <w:tblW w:w="0" w:type="auto"/>
        <w:tblLayout w:type="fixed"/>
        <w:tblCellMar>
          <w:left w:w="62" w:type="dxa"/>
          <w:right w:w="62" w:type="dxa"/>
        </w:tblCellMar>
        <w:tblLook w:val="0000"/>
      </w:tblPr>
      <w:tblGrid>
        <w:gridCol w:w="2672"/>
        <w:gridCol w:w="5699"/>
      </w:tblGrid>
      <w:tr w:rsidTr="00A95FE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rPr>
                <w:rStyle w:val="SpecialBold"/>
              </w:rPr>
              <w:t>2)</w:t>
            </w:r>
          </w:p>
        </w:tc>
      </w:tr>
      <w:tr w:rsidTr="00A95FE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t>This unit</w:t>
            </w:r>
            <w:r w:rsidRPr="00F75344">
              <w:t xml:space="preserve"> is intended to complement the other application units relating to the design of lighting installations.</w:t>
            </w:r>
          </w:p>
        </w:tc>
      </w:tr>
    </w:tbl>
    <w:p w:rsidR="00000000" w:rsidRPr="00F75344" w:rsidP="00F75344">
      <w:pPr>
        <w:pStyle w:val="BodyText"/>
      </w:pPr>
    </w:p>
    <w:p w:rsidR="00000000" w:rsidRPr="00F75344" w:rsidP="00F75344">
      <w:pPr>
        <w:pStyle w:val="AllowPageBreak"/>
      </w:pPr>
    </w:p>
    <w:p w:rsidR="00000000" w:rsidRPr="00F75344" w:rsidP="00F75344">
      <w:pPr>
        <w:pStyle w:val="Heading1"/>
      </w:pPr>
      <w:bookmarkStart w:id="4" w:name="O_586598"/>
      <w:bookmarkEnd w:id="4"/>
      <w:r w:rsidRPr="00F75344">
        <w:t>Licensing/Regulatory Information</w:t>
      </w:r>
    </w:p>
    <w:tbl>
      <w:tblPr>
        <w:tblW w:w="0" w:type="auto"/>
        <w:tblLayout w:type="fixed"/>
        <w:tblCellMar>
          <w:left w:w="62" w:type="dxa"/>
          <w:right w:w="62" w:type="dxa"/>
        </w:tblCellMar>
        <w:tblLook w:val="0000"/>
      </w:tblPr>
      <w:tblGrid>
        <w:gridCol w:w="2700"/>
        <w:gridCol w:w="5760"/>
      </w:tblGrid>
      <w:tr w:rsidTr="00A95F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rPr>
                <w:rStyle w:val="SpecialBold"/>
              </w:rPr>
              <w:t xml:space="preserve">3) </w:t>
            </w:r>
          </w:p>
        </w:tc>
      </w:tr>
      <w:tr w:rsidTr="00A95F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t xml:space="preserve">The skills and knowledge described in this unit do not require a license </w:t>
            </w:r>
            <w:r w:rsidRPr="00F75344">
              <w:t>to practice in the workplace. However, practice in this unit is subject to regulations directly related to occupational health and safety and where applicable contracts of training such as apprenticeships.</w:t>
            </w:r>
          </w:p>
        </w:tc>
      </w:tr>
    </w:tbl>
    <w:p w:rsidR="00000000" w:rsidRPr="00F75344" w:rsidP="00F75344">
      <w:pPr>
        <w:pStyle w:val="BodyText"/>
      </w:pPr>
    </w:p>
    <w:p w:rsidR="00000000" w:rsidRPr="00F75344" w:rsidP="00F75344">
      <w:pPr>
        <w:pStyle w:val="AllowPageBreak"/>
      </w:pPr>
    </w:p>
    <w:p w:rsidR="00000000" w:rsidRPr="00F75344" w:rsidP="00F75344">
      <w:pPr>
        <w:pStyle w:val="Heading1"/>
      </w:pPr>
      <w:bookmarkStart w:id="5" w:name="O_586597"/>
      <w:bookmarkEnd w:id="5"/>
      <w:r w:rsidRPr="00F75344">
        <w:t>Pre-Requisites</w:t>
      </w:r>
    </w:p>
    <w:tbl>
      <w:tblPr>
        <w:tblW w:w="0" w:type="auto"/>
        <w:tblLayout w:type="fixed"/>
        <w:tblCellMar>
          <w:left w:w="62" w:type="dxa"/>
          <w:right w:w="62" w:type="dxa"/>
        </w:tblCellMar>
        <w:tblLook w:val="0000"/>
      </w:tblPr>
      <w:tblGrid>
        <w:gridCol w:w="2700"/>
        <w:gridCol w:w="1440"/>
        <w:gridCol w:w="4320"/>
      </w:tblGrid>
      <w:tr w:rsidTr="00A95F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rPr>
                <w:rStyle w:val="SpecialBold"/>
              </w:rPr>
              <w:t xml:space="preserve">4) </w:t>
            </w:r>
          </w:p>
        </w:tc>
      </w:tr>
      <w:tr w:rsidTr="00A95F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rPr>
                <w:rStyle w:val="SpecialBold"/>
              </w:rPr>
              <w:t>4.1)</w:t>
            </w:r>
          </w:p>
        </w:tc>
      </w:tr>
      <w:tr w:rsidTr="00A95F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Granting competency in this unit shall be made only after competency in the following unit(s) has/have been confirmed.</w:t>
            </w:r>
          </w:p>
        </w:tc>
      </w:tr>
      <w:tr w:rsidTr="00A95FE2">
        <w:tblPrEx>
          <w:tblW w:w="0" w:type="auto"/>
          <w:tblLayout w:type="fixed"/>
          <w:tblCellMar>
            <w:left w:w="62" w:type="dxa"/>
            <w:right w:w="62" w:type="dxa"/>
          </w:tblCellMar>
          <w:tblLook w:val="0000"/>
        </w:tblPrEx>
        <w:trPr>
          <w:trHeight w:val="21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UEENEEG184A</w:t>
            </w:r>
          </w:p>
        </w:tc>
        <w:tc>
          <w:tcPr>
            <w:tcW w:w="432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Provide photometric data for illumination system design</w:t>
            </w:r>
          </w:p>
        </w:tc>
      </w:tr>
      <w:tr w:rsidTr="00A95FE2">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UEENEG185A</w:t>
            </w:r>
          </w:p>
        </w:tc>
        <w:tc>
          <w:tcPr>
            <w:tcW w:w="432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t xml:space="preserve">Select light sources and luminaries for given locations and designs. </w:t>
            </w:r>
          </w:p>
        </w:tc>
      </w:tr>
    </w:tbl>
    <w:p w:rsidR="00000000" w:rsidRPr="00F75344" w:rsidP="00F7534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95FE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rPr>
                <w:rStyle w:val="SpecialBold"/>
              </w:rPr>
              <w:t xml:space="preserve">4.2) </w:t>
            </w:r>
          </w:p>
        </w:tc>
      </w:tr>
      <w:tr w:rsidTr="00A95F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Participants are best equipped to achieve competency in this unit if they have reading, writing and numeracy skills indicated by the following scales. Description of each scale is given in Volume 2, Part 3 ‘Literacy and Numeracy’</w:t>
            </w:r>
          </w:p>
        </w:tc>
      </w:tr>
      <w:tr w:rsidTr="00A95F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Reading</w:t>
            </w:r>
          </w:p>
        </w:tc>
        <w:tc>
          <w:tcPr>
            <w:tcW w:w="81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4</w:t>
            </w:r>
          </w:p>
        </w:tc>
        <w:tc>
          <w:tcPr>
            <w:tcW w:w="99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Writing</w:t>
            </w:r>
          </w:p>
        </w:tc>
        <w:tc>
          <w:tcPr>
            <w:tcW w:w="90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4</w:t>
            </w:r>
          </w:p>
        </w:tc>
        <w:tc>
          <w:tcPr>
            <w:tcW w:w="126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Numeracy</w:t>
            </w:r>
          </w:p>
        </w:tc>
        <w:tc>
          <w:tcPr>
            <w:tcW w:w="72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t>4</w:t>
            </w:r>
          </w:p>
        </w:tc>
      </w:tr>
    </w:tbl>
    <w:p w:rsidR="00000000" w:rsidRPr="00F75344" w:rsidP="00F75344">
      <w:pPr>
        <w:pStyle w:val="BodyText"/>
      </w:pPr>
    </w:p>
    <w:p w:rsidR="00000000" w:rsidRPr="00F75344" w:rsidP="00F75344">
      <w:pPr>
        <w:pStyle w:val="AllowPageBreak"/>
      </w:pPr>
    </w:p>
    <w:p w:rsidR="00000000" w:rsidRPr="00F75344" w:rsidP="00F75344">
      <w:pPr>
        <w:pStyle w:val="Heading1"/>
      </w:pPr>
      <w:bookmarkStart w:id="6" w:name="O_586596"/>
      <w:bookmarkEnd w:id="6"/>
      <w:r w:rsidRPr="00F75344">
        <w:t>Employability Skills Information</w:t>
      </w:r>
    </w:p>
    <w:tbl>
      <w:tblPr>
        <w:tblW w:w="0" w:type="auto"/>
        <w:tblLayout w:type="fixed"/>
        <w:tblCellMar>
          <w:left w:w="62" w:type="dxa"/>
          <w:right w:w="62" w:type="dxa"/>
        </w:tblCellMar>
        <w:tblLook w:val="0000"/>
      </w:tblPr>
      <w:tblGrid>
        <w:gridCol w:w="2700"/>
        <w:gridCol w:w="5760"/>
      </w:tblGrid>
      <w:tr w:rsidTr="00A95FE2">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rPr>
                <w:rStyle w:val="SpecialBold"/>
              </w:rPr>
              <w:t xml:space="preserve">5) </w:t>
            </w:r>
          </w:p>
        </w:tc>
      </w:tr>
      <w:tr w:rsidTr="00A95F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t xml:space="preserve">The required outcomes described in this unit of competency contain applicable facets of Employability Skills. The Employability Skills Summary </w:t>
            </w:r>
            <w:r w:rsidRPr="00F75344">
              <w:t>of the qualification in which this unit of competency is packaged will assist in identifying Employability Skill requirements.</w:t>
            </w:r>
          </w:p>
        </w:tc>
      </w:tr>
    </w:tbl>
    <w:p w:rsidR="00000000" w:rsidRPr="00F75344" w:rsidP="00F75344">
      <w:pPr>
        <w:pStyle w:val="BodyText"/>
      </w:pPr>
    </w:p>
    <w:p w:rsidR="00000000" w:rsidRPr="00F75344" w:rsidP="00F75344">
      <w:pPr>
        <w:pStyle w:val="AllowPageBreak"/>
      </w:pPr>
    </w:p>
    <w:p w:rsidR="00000000" w:rsidRPr="00F75344" w:rsidP="00F75344">
      <w:pPr>
        <w:pStyle w:val="Heading1"/>
      </w:pPr>
      <w:bookmarkStart w:id="7" w:name="O_586595"/>
      <w:bookmarkEnd w:id="7"/>
      <w:r w:rsidRPr="00F75344">
        <w:t>Elements and Performance Criteria Pre-Content</w:t>
      </w:r>
    </w:p>
    <w:tbl>
      <w:tblPr>
        <w:tblW w:w="0" w:type="auto"/>
        <w:tblLayout w:type="fixed"/>
        <w:tblCellMar>
          <w:left w:w="62" w:type="dxa"/>
          <w:right w:w="62" w:type="dxa"/>
        </w:tblCellMar>
        <w:tblLook w:val="0000"/>
      </w:tblPr>
      <w:tblGrid>
        <w:gridCol w:w="2700"/>
        <w:gridCol w:w="5760"/>
      </w:tblGrid>
      <w:tr w:rsidTr="00A95F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rPr>
                <w:rStyle w:val="SpecialBold"/>
              </w:rPr>
              <w:t>6)</w:t>
            </w:r>
            <w:r w:rsidRPr="00F75344">
              <w:t xml:space="preserve"> Elements describe the essential outcomes of a competency stan</w:t>
            </w:r>
            <w:r w:rsidRPr="00F75344">
              <w:t>dard unit</w:t>
            </w:r>
          </w:p>
        </w:tc>
        <w:tc>
          <w:tcPr>
            <w:tcW w:w="576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t>Performance Criteria describe the required performance needed to demonstrate achievement of the element. Assessment of performance is to be consistent with the Evidence Guide.</w:t>
            </w:r>
          </w:p>
        </w:tc>
      </w:tr>
    </w:tbl>
    <w:p w:rsidR="00000000" w:rsidRPr="00F75344" w:rsidP="00F75344">
      <w:pPr>
        <w:pStyle w:val="BodyText"/>
      </w:pPr>
    </w:p>
    <w:p w:rsidR="00000000" w:rsidRPr="00F75344" w:rsidP="00F75344">
      <w:pPr>
        <w:pStyle w:val="AllowPageBreak"/>
      </w:pPr>
    </w:p>
    <w:p w:rsidR="00000000" w:rsidRPr="00F75344" w:rsidP="00F75344">
      <w:pPr>
        <w:pStyle w:val="Heading1"/>
      </w:pPr>
      <w:bookmarkStart w:id="8" w:name="O_586594"/>
      <w:bookmarkEnd w:id="8"/>
      <w:r w:rsidRPr="00F7534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95FE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rPr>
                <w:rStyle w:val="SpecialBold"/>
              </w:rPr>
              <w:t>PERFORMANCE CRITERIA</w:t>
            </w:r>
          </w:p>
        </w:tc>
      </w:tr>
      <w:tr w:rsidTr="00A95F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1</w:t>
            </w:r>
          </w:p>
        </w:tc>
        <w:tc>
          <w:tcPr>
            <w:tcW w:w="2296" w:type="dxa"/>
            <w:vMerge w:val="restart"/>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Establish the extent of lighting products to be supplies.</w:t>
            </w:r>
          </w:p>
        </w:tc>
        <w:tc>
          <w:tcPr>
            <w:tcW w:w="90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1.1</w:t>
            </w:r>
          </w:p>
        </w:tc>
        <w:tc>
          <w:tcPr>
            <w:tcW w:w="486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OHS procedures for a given work area are identified, obtained and understood</w:t>
            </w:r>
          </w:p>
        </w:tc>
      </w:tr>
      <w:tr w:rsidTr="00A95F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1.2</w:t>
            </w:r>
          </w:p>
        </w:tc>
        <w:tc>
          <w:tcPr>
            <w:tcW w:w="486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Established OHS risk control measures and procedures are followed</w:t>
            </w:r>
          </w:p>
        </w:tc>
      </w:tr>
      <w:tr w:rsidTr="00A95F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1.3</w:t>
            </w:r>
          </w:p>
        </w:tc>
        <w:tc>
          <w:tcPr>
            <w:tcW w:w="486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The scope of lighting products required is determined from job specifications and discussions with customer and/or other appropriate person(s)</w:t>
            </w:r>
          </w:p>
        </w:tc>
      </w:tr>
      <w:tr w:rsidTr="00A95F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1.4</w:t>
            </w:r>
          </w:p>
        </w:tc>
        <w:tc>
          <w:tcPr>
            <w:tcW w:w="486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The level of service on which a quotation is to be given is documented as a job specification and agreemen</w:t>
            </w:r>
            <w:r w:rsidRPr="00F75344">
              <w:t>t sought with customer or other appropriate person(s)</w:t>
            </w:r>
          </w:p>
        </w:tc>
      </w:tr>
      <w:tr w:rsidTr="00A95F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1.5</w:t>
            </w:r>
          </w:p>
        </w:tc>
        <w:tc>
          <w:tcPr>
            <w:tcW w:w="486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OHS and other regulatory and compliance requirements are incorporated in the work on which the quotation is based.</w:t>
            </w:r>
          </w:p>
        </w:tc>
      </w:tr>
      <w:tr w:rsidTr="00A95F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1.6</w:t>
            </w:r>
          </w:p>
        </w:tc>
        <w:tc>
          <w:tcPr>
            <w:tcW w:w="486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Timelines for the submission of the quotation are established with the customer and/or other appropriate person.</w:t>
            </w:r>
          </w:p>
        </w:tc>
      </w:tr>
      <w:tr w:rsidTr="00A95F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2</w:t>
            </w:r>
          </w:p>
        </w:tc>
        <w:tc>
          <w:tcPr>
            <w:tcW w:w="2296" w:type="dxa"/>
            <w:vMerge w:val="restart"/>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Develop quotations.</w:t>
            </w:r>
          </w:p>
        </w:tc>
        <w:tc>
          <w:tcPr>
            <w:tcW w:w="90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2.1</w:t>
            </w:r>
          </w:p>
        </w:tc>
        <w:tc>
          <w:tcPr>
            <w:tcW w:w="486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Lighting products and related material take-offs are performed accurately and checked against job specification.</w:t>
            </w:r>
          </w:p>
        </w:tc>
      </w:tr>
      <w:tr w:rsidTr="00A95F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2.2</w:t>
            </w:r>
          </w:p>
        </w:tc>
        <w:tc>
          <w:tcPr>
            <w:tcW w:w="486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 xml:space="preserve">Lighting products are selected to meet performance requirements of a formal job specification  </w:t>
            </w:r>
          </w:p>
        </w:tc>
      </w:tr>
      <w:tr w:rsidTr="00A95F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2.3</w:t>
            </w:r>
          </w:p>
        </w:tc>
        <w:tc>
          <w:tcPr>
            <w:tcW w:w="486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 xml:space="preserve">Calculations are applied to selecting the type and quantity of lighting products to be included in the quotation. </w:t>
            </w:r>
          </w:p>
        </w:tc>
      </w:tr>
      <w:tr w:rsidTr="00A95F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2.4</w:t>
            </w:r>
          </w:p>
        </w:tc>
        <w:tc>
          <w:tcPr>
            <w:tcW w:w="486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Item costs are determined from, enterprise costing policy and procedures.</w:t>
            </w:r>
          </w:p>
        </w:tc>
      </w:tr>
      <w:tr w:rsidTr="00A95F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2.5</w:t>
            </w:r>
          </w:p>
        </w:tc>
        <w:tc>
          <w:tcPr>
            <w:tcW w:w="486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Quotations are checked for accuracy in costing and against job specification</w:t>
            </w:r>
          </w:p>
        </w:tc>
      </w:tr>
      <w:tr w:rsidTr="00A95F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3</w:t>
            </w:r>
          </w:p>
        </w:tc>
        <w:tc>
          <w:tcPr>
            <w:tcW w:w="2296" w:type="dxa"/>
            <w:vMerge w:val="restart"/>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Document and submit quotation.</w:t>
            </w:r>
          </w:p>
        </w:tc>
        <w:tc>
          <w:tcPr>
            <w:tcW w:w="90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3.1</w:t>
            </w:r>
          </w:p>
        </w:tc>
        <w:tc>
          <w:tcPr>
            <w:tcW w:w="486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Quotation is documented in accordance with established policies and procedures</w:t>
            </w:r>
          </w:p>
        </w:tc>
      </w:tr>
      <w:tr w:rsidTr="00A95F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3.2</w:t>
            </w:r>
          </w:p>
        </w:tc>
        <w:tc>
          <w:tcPr>
            <w:tcW w:w="486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t>Quotation is submitted to customer within by an agreed date</w:t>
            </w:r>
          </w:p>
        </w:tc>
      </w:tr>
    </w:tbl>
    <w:p w:rsidR="00000000" w:rsidRPr="00F75344" w:rsidP="00F75344">
      <w:pPr>
        <w:pStyle w:val="BodyText"/>
      </w:pPr>
    </w:p>
    <w:p w:rsidR="00000000" w:rsidRPr="00F75344" w:rsidP="00F75344">
      <w:pPr>
        <w:pStyle w:val="AllowPageBreak"/>
      </w:pPr>
    </w:p>
    <w:p w:rsidR="00000000" w:rsidRPr="00F75344" w:rsidP="00F75344">
      <w:pPr>
        <w:pStyle w:val="Heading1"/>
      </w:pPr>
      <w:bookmarkStart w:id="9" w:name="O_586593"/>
      <w:bookmarkEnd w:id="9"/>
      <w:r w:rsidRPr="00F75344">
        <w:t>Required Skills and Knowledge</w:t>
      </w:r>
    </w:p>
    <w:tbl>
      <w:tblPr>
        <w:tblW w:w="0" w:type="auto"/>
        <w:tblLayout w:type="fixed"/>
        <w:tblCellMar>
          <w:left w:w="62" w:type="dxa"/>
          <w:right w:w="62" w:type="dxa"/>
        </w:tblCellMar>
        <w:tblLook w:val="0000"/>
      </w:tblPr>
      <w:tblGrid>
        <w:gridCol w:w="8460"/>
      </w:tblGrid>
      <w:tr w:rsidTr="00A95FE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rPr>
                <w:rStyle w:val="SpecialBold"/>
              </w:rPr>
              <w:t>REQUIRED SKILLS AND KNOWLEDGE</w:t>
            </w:r>
          </w:p>
        </w:tc>
      </w:tr>
      <w:tr w:rsidTr="00A95FE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rPr>
                <w:rStyle w:val="SpecialBold"/>
              </w:rPr>
              <w:t>8)</w:t>
            </w:r>
            <w:r w:rsidRPr="00F75344">
              <w:t xml:space="preserve"> This describes the essential skills and knowledge and their level, required for this unit.</w:t>
            </w:r>
          </w:p>
          <w:p w:rsidR="00000000" w:rsidRPr="00F75344" w:rsidP="00F75344">
            <w:pPr>
              <w:pStyle w:val="BodyText"/>
            </w:pPr>
            <w:r w:rsidRPr="00F75344">
              <w:t>Evidence shall show that knowledge has been acquired of preparing quotations for the supply of products for lighting projects</w:t>
            </w:r>
          </w:p>
          <w:p w:rsidR="00000000" w:rsidRPr="00F75344" w:rsidP="00F75344">
            <w:pPr>
              <w:pStyle w:val="BodyText"/>
            </w:pPr>
            <w:r w:rsidRPr="00F75344">
              <w:t>All knowledge and skills detailed in t</w:t>
            </w:r>
            <w:r w:rsidRPr="00F75344">
              <w:t>his unit should be contextualised to current industry practices and technologies.</w:t>
            </w:r>
          </w:p>
          <w:p w:rsidR="00000000" w:rsidRPr="00F75344" w:rsidP="00F75344">
            <w:pPr>
              <w:pStyle w:val="BodyText"/>
            </w:pPr>
            <w:r w:rsidRPr="00F75344">
              <w:rPr>
                <w:rStyle w:val="SpecialBold"/>
              </w:rPr>
              <w:t>KS01-EG188A                       Lighting products — quotation preparation</w:t>
            </w:r>
          </w:p>
          <w:p w:rsidR="00000000" w:rsidRPr="00F75344" w:rsidP="00F75344">
            <w:pPr>
              <w:pStyle w:val="BodyText"/>
            </w:pPr>
            <w:r w:rsidRPr="00F75344">
              <w:t>Evidence shall show an understanding of quotation preparation for lighting products to an extent i</w:t>
            </w:r>
            <w:r w:rsidRPr="00F75344">
              <w:t>ndicated by the following aspects:</w:t>
            </w:r>
          </w:p>
          <w:p w:rsidR="00000000" w:rsidRPr="00F75344" w:rsidP="00F75344">
            <w:pPr>
              <w:pStyle w:val="BodyText"/>
            </w:pPr>
            <w:r w:rsidRPr="00F75344">
              <w:t>T1</w:t>
            </w:r>
            <w:r w:rsidRPr="00F75344">
              <w:tab/>
              <w:t>Knowledge of lighting products</w:t>
            </w:r>
          </w:p>
          <w:p w:rsidR="00000000" w:rsidRPr="00F75344" w:rsidP="00F75344">
            <w:pPr>
              <w:pStyle w:val="BodyText"/>
            </w:pPr>
            <w:r w:rsidRPr="00F75344">
              <w:t>T2</w:t>
            </w:r>
            <w:r w:rsidRPr="00F75344">
              <w:tab/>
              <w:t>Illumination principles</w:t>
            </w:r>
          </w:p>
          <w:p w:rsidR="00000000" w:rsidRPr="00F75344" w:rsidP="00F75344">
            <w:pPr>
              <w:pStyle w:val="BodyText"/>
            </w:pPr>
            <w:r w:rsidRPr="00F75344">
              <w:t>T3</w:t>
            </w:r>
            <w:r w:rsidRPr="00F75344">
              <w:tab/>
              <w:t>Lighting applications</w:t>
            </w:r>
          </w:p>
          <w:p w:rsidR="00000000" w:rsidRPr="00F75344" w:rsidP="00F75344">
            <w:pPr>
              <w:pStyle w:val="BodyText"/>
            </w:pPr>
            <w:r w:rsidRPr="00F75344">
              <w:t>T4</w:t>
            </w:r>
            <w:r w:rsidRPr="00F75344">
              <w:tab/>
              <w:t>Lighting product parameters</w:t>
            </w:r>
          </w:p>
          <w:p w:rsidR="00000000" w:rsidRPr="00F75344" w:rsidP="00F75344">
            <w:pPr>
              <w:pStyle w:val="BodyText"/>
            </w:pPr>
            <w:r w:rsidRPr="00F75344">
              <w:t>T5</w:t>
            </w:r>
            <w:r w:rsidRPr="00F75344">
              <w:tab/>
              <w:t>Compliance requirements</w:t>
            </w:r>
          </w:p>
          <w:p w:rsidR="00000000" w:rsidRPr="00F75344" w:rsidP="00F75344">
            <w:pPr>
              <w:pStyle w:val="BodyText"/>
            </w:pPr>
            <w:r w:rsidRPr="00F75344">
              <w:t>T6</w:t>
            </w:r>
            <w:r w:rsidRPr="00F75344">
              <w:tab/>
              <w:t>Installation conditions</w:t>
            </w:r>
          </w:p>
          <w:p w:rsidR="00000000" w:rsidRPr="00F75344" w:rsidP="00F75344">
            <w:pPr>
              <w:pStyle w:val="BodyText"/>
            </w:pPr>
            <w:r w:rsidRPr="00F75344">
              <w:t>T7</w:t>
            </w:r>
            <w:r w:rsidRPr="00F75344">
              <w:tab/>
              <w:t>Interpreting manufacturers technical data,</w:t>
            </w:r>
          </w:p>
          <w:p w:rsidR="00000000" w:rsidRPr="00F75344" w:rsidP="00F75344">
            <w:pPr>
              <w:pStyle w:val="BodyText"/>
            </w:pPr>
            <w:r w:rsidRPr="00F75344">
              <w:t>T8</w:t>
            </w:r>
            <w:r w:rsidRPr="00F75344">
              <w:tab/>
            </w:r>
            <w:r w:rsidRPr="00F75344">
              <w:t>Interpreting job specifications</w:t>
            </w:r>
          </w:p>
          <w:p w:rsidR="00000000" w:rsidRPr="00F75344" w:rsidP="00F75344">
            <w:pPr>
              <w:pStyle w:val="BodyText"/>
            </w:pPr>
            <w:r w:rsidRPr="00F75344">
              <w:t>T9</w:t>
            </w:r>
            <w:r w:rsidRPr="00F75344">
              <w:tab/>
              <w:t>Interpreting equipment schedules</w:t>
            </w:r>
          </w:p>
          <w:p w:rsidR="00000000" w:rsidRPr="00F75344" w:rsidP="00F75344">
            <w:pPr>
              <w:pStyle w:val="BodyText"/>
            </w:pPr>
            <w:r w:rsidRPr="00F75344">
              <w:t>T10</w:t>
            </w:r>
            <w:r w:rsidRPr="00F75344">
              <w:tab/>
              <w:t>Documenting quotations</w:t>
            </w:r>
          </w:p>
          <w:p w:rsidR="00000000" w:rsidRPr="00F75344" w:rsidP="00F75344">
            <w:pPr>
              <w:pStyle w:val="BodyText"/>
            </w:pPr>
            <w:r w:rsidRPr="00F75344">
              <w:t>T11</w:t>
            </w:r>
            <w:r w:rsidRPr="00F75344">
              <w:tab/>
              <w:t>Use of computer program for quoting purposes</w:t>
            </w:r>
          </w:p>
        </w:tc>
      </w:tr>
    </w:tbl>
    <w:p w:rsidR="00000000" w:rsidRPr="00F75344" w:rsidP="00F75344">
      <w:pPr>
        <w:pStyle w:val="BodyText"/>
      </w:pPr>
    </w:p>
    <w:p w:rsidR="00000000" w:rsidRPr="00F75344" w:rsidP="00F75344">
      <w:pPr>
        <w:pStyle w:val="AllowPageBreak"/>
      </w:pPr>
    </w:p>
    <w:p w:rsidR="00000000" w:rsidRPr="00F75344" w:rsidP="00F75344">
      <w:pPr>
        <w:pStyle w:val="Heading1"/>
      </w:pPr>
      <w:bookmarkStart w:id="10" w:name="O_586592"/>
      <w:bookmarkEnd w:id="10"/>
      <w:r w:rsidRPr="00F75344">
        <w:t>Evidence Guide</w:t>
      </w:r>
    </w:p>
    <w:tbl>
      <w:tblPr>
        <w:tblW w:w="0" w:type="auto"/>
        <w:tblLayout w:type="fixed"/>
        <w:tblCellMar>
          <w:left w:w="62" w:type="dxa"/>
          <w:right w:w="62" w:type="dxa"/>
        </w:tblCellMar>
        <w:tblLook w:val="0000"/>
      </w:tblPr>
      <w:tblGrid>
        <w:gridCol w:w="8460"/>
      </w:tblGrid>
      <w:tr w:rsidTr="00A95FE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rPr>
                <w:rStyle w:val="SpecialBold"/>
              </w:rPr>
              <w:t>EVIDENCE GUIDE</w:t>
            </w:r>
          </w:p>
        </w:tc>
      </w:tr>
      <w:tr w:rsidTr="00A95FE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rPr>
                <w:rStyle w:val="SpecialBold"/>
              </w:rPr>
              <w:t>9)</w:t>
            </w:r>
            <w:r w:rsidRPr="00F75344">
              <w:t xml:space="preserve"> This provides essential advice for assessment of the unit. </w:t>
            </w:r>
            <w:r w:rsidRPr="00F75344">
              <w:t>It must be read in conjunction with the performance criteria and the range statement of the unit and the Training Package Assessment Guidelines.</w:t>
            </w:r>
          </w:p>
          <w:p w:rsidR="00000000" w:rsidRPr="00F75344" w:rsidP="00F75344">
            <w:pPr>
              <w:pStyle w:val="BodyText"/>
            </w:pPr>
            <w:r w:rsidRPr="00F75344">
              <w:t>The Evidence Guide forms an integral part of this unit. It must be used in conjunction with all parts of the un</w:t>
            </w:r>
            <w:r w:rsidRPr="00F75344">
              <w:t>it and performed in accordance with the Assessment Guidelines of this Training Package.</w:t>
            </w:r>
          </w:p>
        </w:tc>
      </w:tr>
    </w:tbl>
    <w:p w:rsidR="00000000" w:rsidRPr="00F75344" w:rsidP="00F75344">
      <w:pPr>
        <w:pStyle w:val="BodyText"/>
      </w:pPr>
    </w:p>
    <w:tbl>
      <w:tblPr>
        <w:tblW w:w="0" w:type="auto"/>
        <w:tblLayout w:type="fixed"/>
        <w:tblCellMar>
          <w:left w:w="62" w:type="dxa"/>
          <w:right w:w="62" w:type="dxa"/>
        </w:tblCellMar>
        <w:tblLook w:val="0000"/>
      </w:tblPr>
      <w:tblGrid>
        <w:gridCol w:w="1890"/>
        <w:gridCol w:w="6570"/>
      </w:tblGrid>
      <w:tr w:rsidTr="00A95FE2">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rPr>
                <w:rStyle w:val="SpecialBold"/>
              </w:rPr>
              <w:t>9.1)</w:t>
            </w:r>
          </w:p>
        </w:tc>
      </w:tr>
      <w:tr w:rsidTr="00A95FE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t>Longitudinal competency development approaches to assessment, such as Profiling, require data to be reliably gathered in a form that can be consistently interpreted over time. This approach is best utilised in Apprenticeship programs and reduces assessment</w:t>
            </w:r>
            <w:r w:rsidRPr="00F75344">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F75344">
              <w:t>ncy in a realistically simulated work environment. It is recognised that, in some circumstances, assessment in part or full can occur outside the workplace. However, it must be in accordance with industry and regulatory policy.</w:t>
            </w:r>
          </w:p>
          <w:p w:rsidR="00000000" w:rsidRPr="00F75344" w:rsidP="00F75344">
            <w:pPr>
              <w:pStyle w:val="BodyText"/>
            </w:pPr>
            <w:r w:rsidRPr="00F75344">
              <w:t>Methods chosen for a particu</w:t>
            </w:r>
            <w:r w:rsidRPr="00F75344">
              <w:t>lar assessment will be influenced by various factors. These include the extent of the assessment, the most effective locations for the assessment activities to take place, access to physical resources, additional safety measures that may be required and th</w:t>
            </w:r>
            <w:r w:rsidRPr="00F75344">
              <w:t>e critical nature of the competencies being assessed.</w:t>
            </w:r>
          </w:p>
          <w:p w:rsidR="00000000" w:rsidRPr="00F75344" w:rsidP="00F75344">
            <w:pPr>
              <w:pStyle w:val="BodyText"/>
            </w:pPr>
            <w:r w:rsidRPr="00F75344">
              <w:t>The critical safety nature of working with electricity, electrical equipment, gas or any other hazardous substance/material carries risk in deeming a person competent. Sources of evidence need to be ‘ri</w:t>
            </w:r>
            <w:r w:rsidRPr="00F75344">
              <w:t>ch’ in nature to minimise error in judgment.</w:t>
            </w:r>
          </w:p>
          <w:p w:rsidR="00000000" w:rsidRPr="00F75344" w:rsidP="00F75344">
            <w:pPr>
              <w:pStyle w:val="BodyText"/>
            </w:pPr>
            <w:r w:rsidRPr="00F75344">
              <w:t>Activities associated with normal everyday work have a bearing on the decision as to how much and how detailed the data gathered will contribute to its ‘richness’. Some skills are more critical to safety and ope</w:t>
            </w:r>
            <w:r w:rsidRPr="00F75344">
              <w:t>rational requirements while the same skills may be more or less frequently practised. These points are raised for the assessors to consider when choosing an assessment method and developing assessment instruments. Sample assessment instruments are included</w:t>
            </w:r>
            <w:r w:rsidRPr="00F75344">
              <w:t xml:space="preserve"> for Assessors in the Assessment Guidelines of this Training Package.</w:t>
            </w:r>
          </w:p>
        </w:tc>
      </w:tr>
    </w:tbl>
    <w:p w:rsidR="00000000" w:rsidRPr="00F75344" w:rsidP="00F75344">
      <w:pPr>
        <w:pStyle w:val="BodyText"/>
      </w:pPr>
    </w:p>
    <w:tbl>
      <w:tblPr>
        <w:tblW w:w="0" w:type="auto"/>
        <w:tblLayout w:type="fixed"/>
        <w:tblCellMar>
          <w:left w:w="62" w:type="dxa"/>
          <w:right w:w="62" w:type="dxa"/>
        </w:tblCellMar>
        <w:tblLook w:val="0000"/>
      </w:tblPr>
      <w:tblGrid>
        <w:gridCol w:w="1890"/>
        <w:gridCol w:w="6570"/>
      </w:tblGrid>
      <w:tr w:rsidTr="00A95FE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rPr>
                <w:rStyle w:val="SpecialBold"/>
              </w:rPr>
              <w:t>9.2)</w:t>
            </w:r>
          </w:p>
        </w:tc>
      </w:tr>
      <w:tr w:rsidTr="00A95FE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t>Before the critical aspects of evidence are considered all prerequisites must be met.</w:t>
            </w:r>
          </w:p>
          <w:p w:rsidR="00000000" w:rsidRPr="00F75344" w:rsidP="00F75344">
            <w:pPr>
              <w:pStyle w:val="BodyText"/>
            </w:pPr>
            <w:r w:rsidRPr="00F75344">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F75344" w:rsidP="00F75344">
            <w:pPr>
              <w:pStyle w:val="ListBullet"/>
            </w:pPr>
            <w:r w:rsidRPr="00F75344">
              <w:t>A representative body of performance criteria demonstrated within the timeframes typically expected of the discipline, work function and industrial environment. In particular this shall incorporate evidence that shows a candidate is able to:</w:t>
            </w:r>
          </w:p>
          <w:p w:rsidR="00000000" w:rsidRPr="00F75344" w:rsidP="00F75344">
            <w:pPr>
              <w:pStyle w:val="ListBullet2"/>
            </w:pPr>
            <w:r w:rsidRPr="00F75344">
              <w:t>Implement Oc</w:t>
            </w:r>
            <w:r w:rsidRPr="00F75344">
              <w:t>cupational Health and Safety workplace procedures and practices, including the use of risk control measures as specified in the performance criteria and range statement</w:t>
            </w:r>
          </w:p>
          <w:p w:rsidR="00000000" w:rsidRPr="00F75344" w:rsidP="00F75344">
            <w:pPr>
              <w:pStyle w:val="ListBullet2"/>
            </w:pPr>
            <w:r w:rsidRPr="00F75344">
              <w:t>Apply sustainable energy principles and practices as specified in the performance criteria and range statement</w:t>
            </w:r>
          </w:p>
          <w:p w:rsidR="00000000" w:rsidRPr="00F75344" w:rsidP="00F75344">
            <w:pPr>
              <w:pStyle w:val="ListBullet2"/>
            </w:pPr>
            <w:r w:rsidRPr="00F75344">
              <w:t>Demonstrate an understanding of the essential knowledge and associated skills as described in this unit.  It may be required by some jurisdiction</w:t>
            </w:r>
            <w:r w:rsidRPr="00F75344">
              <w:t>s that RTOs provide a percentile graded result for the purpose of regulatory or licensing requirements.</w:t>
            </w:r>
          </w:p>
          <w:p w:rsidR="00000000" w:rsidRPr="00F75344" w:rsidP="00F75344">
            <w:pPr>
              <w:pStyle w:val="ListBullet2"/>
            </w:pPr>
            <w:r w:rsidRPr="00F75344">
              <w:t>Demonstrate an appropriate level of skills enabling employment</w:t>
            </w:r>
          </w:p>
          <w:p w:rsidR="00000000" w:rsidRPr="00F75344" w:rsidP="00F75344">
            <w:pPr>
              <w:pStyle w:val="ListBullet2"/>
            </w:pPr>
            <w:r w:rsidRPr="00F75344">
              <w:t>Conduct work observing the relevant Anti Discrimination legislation, regulations, polices</w:t>
            </w:r>
            <w:r w:rsidRPr="00F75344">
              <w:t xml:space="preserve"> and workplace procedures</w:t>
            </w:r>
          </w:p>
          <w:p w:rsidR="00000000" w:rsidRPr="00F75344" w:rsidP="00F75344">
            <w:pPr>
              <w:pStyle w:val="ListBullet"/>
            </w:pPr>
            <w:r w:rsidRPr="00F75344">
              <w:t>Demonstrated consistent performance across a representative range of contexts from the prescribed items below:</w:t>
            </w:r>
          </w:p>
          <w:p w:rsidR="00000000" w:rsidRPr="00F75344" w:rsidP="00F75344">
            <w:pPr>
              <w:pStyle w:val="ListBullet2"/>
            </w:pPr>
            <w:r w:rsidRPr="00F75344">
              <w:t>Preparing quotations for the supply of products for lighting projects as described in 8) and including:</w:t>
            </w:r>
          </w:p>
          <w:p w:rsidR="00000000" w:rsidRPr="00F75344" w:rsidP="00F75344">
            <w:pPr>
              <w:pStyle w:val="BodyText"/>
            </w:pPr>
            <w:r w:rsidRPr="00F75344">
              <w:t>A</w:t>
            </w:r>
            <w:r w:rsidRPr="00F75344">
              <w:tab/>
              <w:t>Determining</w:t>
            </w:r>
            <w:r w:rsidRPr="00F75344">
              <w:t xml:space="preserve"> the scope of lighting products required from job specifications and discussions with customer and/or other appropriate person(s</w:t>
            </w:r>
          </w:p>
          <w:p w:rsidR="00000000" w:rsidRPr="00F75344" w:rsidP="00F75344">
            <w:pPr>
              <w:pStyle w:val="BodyText"/>
            </w:pPr>
            <w:r w:rsidRPr="00F75344">
              <w:t>B</w:t>
            </w:r>
            <w:r w:rsidRPr="00F75344">
              <w:tab/>
              <w:t xml:space="preserve">Documenting the compliance requirements and level of service on which the quotation is to be given </w:t>
            </w:r>
          </w:p>
          <w:p w:rsidR="00000000" w:rsidRPr="00F75344" w:rsidP="00F75344">
            <w:pPr>
              <w:pStyle w:val="BodyText"/>
            </w:pPr>
            <w:r w:rsidRPr="00F75344">
              <w:t>C</w:t>
            </w:r>
            <w:r w:rsidRPr="00F75344">
              <w:tab/>
              <w:t xml:space="preserve">Establishing timelines </w:t>
            </w:r>
            <w:r w:rsidRPr="00F75344">
              <w:t>for submission of the quotation</w:t>
            </w:r>
          </w:p>
          <w:p w:rsidR="00000000" w:rsidRPr="00F75344" w:rsidP="00F75344">
            <w:pPr>
              <w:pStyle w:val="BodyText"/>
            </w:pPr>
            <w:r w:rsidRPr="00F75344">
              <w:t>D</w:t>
            </w:r>
            <w:r w:rsidRPr="00F75344">
              <w:tab/>
              <w:t>Performing material take-offs accurately</w:t>
            </w:r>
          </w:p>
          <w:p w:rsidR="00000000" w:rsidRPr="00F75344" w:rsidP="00F75344">
            <w:pPr>
              <w:pStyle w:val="BodyText"/>
            </w:pPr>
            <w:r w:rsidRPr="00F75344">
              <w:t>E</w:t>
            </w:r>
            <w:r w:rsidRPr="00F75344">
              <w:tab/>
              <w:t>Applying calculation to selecting appropriate type and quantity of lighting products</w:t>
            </w:r>
          </w:p>
          <w:p w:rsidR="00000000" w:rsidRPr="00F75344" w:rsidP="00F75344">
            <w:pPr>
              <w:pStyle w:val="BodyText"/>
            </w:pPr>
            <w:r w:rsidRPr="00F75344">
              <w:t>F</w:t>
            </w:r>
            <w:r w:rsidRPr="00F75344">
              <w:tab/>
              <w:t>Determined item costs from enterprise costing policy and procedures.</w:t>
            </w:r>
          </w:p>
          <w:p w:rsidR="00000000" w:rsidRPr="00F75344" w:rsidP="00F75344">
            <w:pPr>
              <w:pStyle w:val="BodyText"/>
            </w:pPr>
            <w:r w:rsidRPr="00F75344">
              <w:t>G</w:t>
            </w:r>
            <w:r w:rsidRPr="00F75344">
              <w:tab/>
            </w:r>
            <w:r w:rsidRPr="00F75344">
              <w:t>Check quotation against item costs and job specifications.</w:t>
            </w:r>
          </w:p>
          <w:p w:rsidR="00000000" w:rsidRPr="00F75344" w:rsidP="00F75344">
            <w:pPr>
              <w:pStyle w:val="BodyText"/>
            </w:pPr>
            <w:r w:rsidRPr="00F75344">
              <w:t>H</w:t>
            </w:r>
            <w:r w:rsidRPr="00F75344">
              <w:tab/>
              <w:t>Documenting quotation accurately and submitting it on time.</w:t>
            </w:r>
          </w:p>
          <w:p w:rsidR="00000000" w:rsidRPr="00F75344" w:rsidP="00F75344">
            <w:pPr>
              <w:pStyle w:val="BodyText"/>
            </w:pPr>
            <w:r w:rsidRPr="00F75344">
              <w:t>I</w:t>
            </w:r>
            <w:r w:rsidRPr="00F75344">
              <w:tab/>
              <w:t>Dealing with unplanned events</w:t>
            </w:r>
          </w:p>
        </w:tc>
      </w:tr>
    </w:tbl>
    <w:p w:rsidR="00000000" w:rsidRPr="00F75344" w:rsidP="00F75344">
      <w:pPr>
        <w:pStyle w:val="BodyText"/>
      </w:pPr>
    </w:p>
    <w:tbl>
      <w:tblPr>
        <w:tblW w:w="0" w:type="auto"/>
        <w:tblLayout w:type="fixed"/>
        <w:tblCellMar>
          <w:left w:w="62" w:type="dxa"/>
          <w:right w:w="62" w:type="dxa"/>
        </w:tblCellMar>
        <w:tblLook w:val="0000"/>
      </w:tblPr>
      <w:tblGrid>
        <w:gridCol w:w="1890"/>
        <w:gridCol w:w="6570"/>
      </w:tblGrid>
      <w:tr w:rsidTr="00A95FE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rPr>
                <w:rStyle w:val="SpecialBold"/>
              </w:rPr>
              <w:t>9.3)</w:t>
            </w:r>
          </w:p>
        </w:tc>
      </w:tr>
      <w:tr w:rsidTr="00A95FE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t>This unit should be assessed as it relates to</w:t>
            </w:r>
            <w:r w:rsidRPr="00F75344">
              <w:t xml:space="preserve"> normal work practice using procedures, information and resources typical of a workplace. This should include:</w:t>
            </w:r>
          </w:p>
          <w:p w:rsidR="00000000" w:rsidRPr="00F75344" w:rsidP="00F75344">
            <w:pPr>
              <w:pStyle w:val="BodyText"/>
            </w:pPr>
            <w:r w:rsidRPr="00F75344">
              <w:t>OHS policy and work procedures and instructions.</w:t>
            </w:r>
          </w:p>
          <w:p w:rsidR="00000000" w:rsidRPr="00F75344" w:rsidP="00F75344">
            <w:pPr>
              <w:pStyle w:val="BodyText"/>
            </w:pPr>
            <w:r w:rsidRPr="00F75344">
              <w:t>Suitable work environment, facilities, equipment and materials to undertake actual work as presc</w:t>
            </w:r>
            <w:r w:rsidRPr="00F75344">
              <w:t>ribed in this unit.</w:t>
            </w:r>
          </w:p>
          <w:p w:rsidR="00000000" w:rsidRPr="00F75344" w:rsidP="00F75344">
            <w:pPr>
              <w:pStyle w:val="BodyText"/>
            </w:pPr>
            <w:r w:rsidRPr="00F75344">
              <w:t>These should be used in the formal learning/assessment environment.</w:t>
            </w:r>
          </w:p>
          <w:p w:rsidR="00000000" w:rsidRPr="00F75344" w:rsidP="00F75344">
            <w:pPr>
              <w:pStyle w:val="BodyText"/>
            </w:pPr>
            <w:r w:rsidRPr="00F75344">
              <w:t>Note:</w:t>
            </w:r>
          </w:p>
          <w:p w:rsidR="00000000" w:rsidRPr="00F75344" w:rsidP="00F75344">
            <w:pPr>
              <w:pStyle w:val="BodyText"/>
            </w:pPr>
            <w:r w:rsidRPr="00F75344">
              <w:t xml:space="preserve">Where simulation is considered a suitable strategy for assessment, conditions for assessment must be authentic and as far as possible reproduce and replicate the </w:t>
            </w:r>
            <w:r w:rsidRPr="00F75344">
              <w:t>workplace and be consistent with the approved industry simulation policy.</w:t>
            </w:r>
          </w:p>
          <w:p w:rsidR="00000000" w:rsidRPr="00F75344" w:rsidP="00F75344">
            <w:pPr>
              <w:pStyle w:val="BodyText"/>
            </w:pPr>
            <w:r w:rsidRPr="00F75344">
              <w:t>The resources used for assessment should reflect current industry practices in relation to prepare quotations for the supply of effective and efficient lighting products for lighting</w:t>
            </w:r>
            <w:r w:rsidRPr="00F75344">
              <w:t xml:space="preserve"> projects.</w:t>
            </w:r>
          </w:p>
        </w:tc>
      </w:tr>
    </w:tbl>
    <w:p w:rsidR="00000000" w:rsidRPr="00F75344" w:rsidP="00F75344">
      <w:pPr>
        <w:pStyle w:val="BodyText"/>
      </w:pPr>
    </w:p>
    <w:tbl>
      <w:tblPr>
        <w:tblW w:w="0" w:type="auto"/>
        <w:tblLayout w:type="fixed"/>
        <w:tblCellMar>
          <w:left w:w="62" w:type="dxa"/>
          <w:right w:w="62" w:type="dxa"/>
        </w:tblCellMar>
        <w:tblLook w:val="0000"/>
      </w:tblPr>
      <w:tblGrid>
        <w:gridCol w:w="1890"/>
        <w:gridCol w:w="6570"/>
      </w:tblGrid>
      <w:tr w:rsidTr="00A95FE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rPr>
                <w:rStyle w:val="SpecialBold"/>
              </w:rPr>
              <w:t>9.4)</w:t>
            </w:r>
          </w:p>
        </w:tc>
      </w:tr>
      <w:tr w:rsidTr="00A95FE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t>This unit shall be assessed by methods given in Volume 1, Part 3 ‘Assessment Guidelines’.</w:t>
            </w:r>
          </w:p>
          <w:p w:rsidR="00000000" w:rsidRPr="00F75344" w:rsidP="00F75344">
            <w:pPr>
              <w:pStyle w:val="BodyText"/>
            </w:pPr>
            <w:r w:rsidRPr="00F75344">
              <w:t xml:space="preserve">Note: </w:t>
            </w:r>
          </w:p>
          <w:p w:rsidR="00000000" w:rsidRPr="00F75344" w:rsidP="00F75344">
            <w:pPr>
              <w:pStyle w:val="BodyText"/>
            </w:pPr>
            <w:r w:rsidRPr="00F75344">
              <w:t>Competent p</w:t>
            </w:r>
            <w:r w:rsidRPr="00F75344">
              <w:t>erformance with inherent safe working practices is expected in the Industry to which this unit applies. This requires that the specified essential knowledge and associated skills are assessed in a structured environment which is primarily intended for lear</w:t>
            </w:r>
            <w:r w:rsidRPr="00F75344">
              <w:t>ning/assessment and incorporates all necessary equipment and facilities for learners to develop and demonstrate the essential knowledge and skills described in this unit.</w:t>
            </w:r>
          </w:p>
        </w:tc>
      </w:tr>
    </w:tbl>
    <w:p w:rsidR="00000000" w:rsidRPr="00F75344" w:rsidP="00F75344">
      <w:pPr>
        <w:pStyle w:val="BodyText"/>
      </w:pPr>
    </w:p>
    <w:tbl>
      <w:tblPr>
        <w:tblW w:w="0" w:type="auto"/>
        <w:tblLayout w:type="fixed"/>
        <w:tblCellMar>
          <w:left w:w="62" w:type="dxa"/>
          <w:right w:w="62" w:type="dxa"/>
        </w:tblCellMar>
        <w:tblLook w:val="0000"/>
      </w:tblPr>
      <w:tblGrid>
        <w:gridCol w:w="1890"/>
        <w:gridCol w:w="6570"/>
      </w:tblGrid>
      <w:tr w:rsidTr="00A95FE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rPr>
                <w:rStyle w:val="SpecialBold"/>
              </w:rPr>
              <w:t>9.5)</w:t>
            </w:r>
          </w:p>
        </w:tc>
      </w:tr>
      <w:tr w:rsidTr="00A95FE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t>There are no concurr</w:t>
            </w:r>
            <w:r w:rsidRPr="00F75344">
              <w:t>ent assessment recommendations for this unit.</w:t>
            </w:r>
          </w:p>
        </w:tc>
      </w:tr>
    </w:tbl>
    <w:p w:rsidR="00000000" w:rsidRPr="00F75344" w:rsidP="00F75344">
      <w:pPr>
        <w:pStyle w:val="BodyText"/>
      </w:pPr>
    </w:p>
    <w:p w:rsidR="00000000" w:rsidRPr="00F75344" w:rsidP="00F75344">
      <w:pPr>
        <w:pStyle w:val="AllowPageBreak"/>
      </w:pPr>
    </w:p>
    <w:p w:rsidR="00000000" w:rsidRPr="00F75344" w:rsidP="00F75344">
      <w:pPr>
        <w:pStyle w:val="Heading1"/>
      </w:pPr>
      <w:bookmarkStart w:id="11" w:name="O_586591"/>
      <w:bookmarkEnd w:id="11"/>
      <w:r w:rsidRPr="00F75344">
        <w:t>Range Statement</w:t>
      </w:r>
    </w:p>
    <w:tbl>
      <w:tblPr>
        <w:tblW w:w="0" w:type="auto"/>
        <w:tblLayout w:type="fixed"/>
        <w:tblCellMar>
          <w:left w:w="62" w:type="dxa"/>
          <w:right w:w="62" w:type="dxa"/>
        </w:tblCellMar>
        <w:tblLook w:val="0000"/>
      </w:tblPr>
      <w:tblGrid>
        <w:gridCol w:w="920"/>
        <w:gridCol w:w="4165"/>
        <w:gridCol w:w="3375"/>
      </w:tblGrid>
      <w:tr w:rsidTr="00A95FE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rPr>
                <w:rStyle w:val="SpecialBold"/>
              </w:rPr>
              <w:t>RANGE STATEMENT</w:t>
            </w:r>
          </w:p>
        </w:tc>
      </w:tr>
      <w:tr w:rsidTr="00A95FE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rPr>
                <w:rStyle w:val="SpecialBold"/>
              </w:rPr>
              <w:t>10)</w:t>
            </w:r>
            <w:r w:rsidRPr="00F75344">
              <w:t xml:space="preserve"> This relates to the unit as a whole providing the range of contexts and conditions to which the </w:t>
            </w:r>
            <w:r w:rsidRPr="00F75344">
              <w:t>performance criteria apply. It allows for different work environments and situations that will affect performance.</w:t>
            </w:r>
          </w:p>
        </w:tc>
      </w:tr>
      <w:tr w:rsidTr="00A95FE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t>This unit shall be demonstrated in preparing quotation for the supply of lighting products with a quotation value in excess of $10,000 including at least three of the following :</w:t>
            </w:r>
          </w:p>
        </w:tc>
      </w:tr>
      <w:tr w:rsidTr="00A95FE2">
        <w:tblPrEx>
          <w:tblW w:w="0" w:type="auto"/>
          <w:tblLayout w:type="fixed"/>
          <w:tblCellMar>
            <w:left w:w="62" w:type="dxa"/>
            <w:right w:w="62" w:type="dxa"/>
          </w:tblCellMar>
          <w:tblLook w:val="0000"/>
        </w:tblPrEx>
        <w:trPr>
          <w:gridAfter w:val="1"/>
          <w:wAfter w:w="3375" w:type="dxa"/>
        </w:trPr>
        <w:tc>
          <w:tcPr>
            <w:tcW w:w="92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t>Group A</w:t>
            </w:r>
          </w:p>
          <w:p w:rsidR="00000000" w:rsidP="00F75344">
            <w:pPr>
              <w:pStyle w:val="BodyText"/>
              <w:rPr>
                <w:lang w:val="en-NZ"/>
              </w:rPr>
            </w:pPr>
            <w:r w:rsidRPr="00F75344">
              <w:t>At least three of the listed types on at least three occasions</w:t>
            </w:r>
          </w:p>
        </w:tc>
        <w:tc>
          <w:tcPr>
            <w:tcW w:w="4165"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t>Lum</w:t>
            </w:r>
            <w:r w:rsidRPr="00F75344">
              <w:t>inaries types</w:t>
            </w:r>
          </w:p>
          <w:p w:rsidR="00000000" w:rsidRPr="00F75344" w:rsidP="00F75344">
            <w:pPr>
              <w:pStyle w:val="BodyText"/>
            </w:pPr>
            <w:r w:rsidRPr="00F75344">
              <w:t>High efficiency troffer fitting</w:t>
            </w:r>
          </w:p>
          <w:p w:rsidR="00000000" w:rsidRPr="00F75344" w:rsidP="00F75344">
            <w:pPr>
              <w:pStyle w:val="BodyText"/>
            </w:pPr>
            <w:r w:rsidRPr="00F75344">
              <w:t>High bay fittings</w:t>
            </w:r>
          </w:p>
          <w:p w:rsidR="00000000" w:rsidRPr="00F75344" w:rsidP="00F75344">
            <w:pPr>
              <w:pStyle w:val="BodyText"/>
            </w:pPr>
            <w:r w:rsidRPr="00F75344">
              <w:t>Compact floodlamps</w:t>
            </w:r>
          </w:p>
          <w:p w:rsidR="00000000" w:rsidRPr="00F75344" w:rsidP="00F75344">
            <w:pPr>
              <w:pStyle w:val="BodyText"/>
            </w:pPr>
            <w:r w:rsidRPr="00F75344">
              <w:t>Energy efficient halogen downlights</w:t>
            </w:r>
          </w:p>
          <w:p w:rsidR="00000000" w:rsidRPr="00F75344" w:rsidP="00F75344">
            <w:pPr>
              <w:pStyle w:val="BodyText"/>
            </w:pPr>
            <w:r w:rsidRPr="00F75344">
              <w:t>Compact fluorescent downlights</w:t>
            </w:r>
          </w:p>
          <w:p w:rsidR="00000000" w:rsidRPr="00F75344" w:rsidP="00F75344">
            <w:pPr>
              <w:pStyle w:val="BodyText"/>
            </w:pPr>
            <w:r w:rsidRPr="00F75344">
              <w:t>Diffused fluorescent fittings</w:t>
            </w:r>
          </w:p>
          <w:p w:rsidR="00000000" w:rsidP="00F75344">
            <w:pPr>
              <w:pStyle w:val="BodyText"/>
              <w:rPr>
                <w:lang w:val="en-NZ"/>
              </w:rPr>
            </w:pPr>
            <w:r w:rsidRPr="00F75344">
              <w:t>Note: a combination of the above luminaries types may be included in the quo</w:t>
            </w:r>
            <w:r w:rsidRPr="00F75344">
              <w:t>tations for a given installation</w:t>
            </w:r>
          </w:p>
        </w:tc>
      </w:tr>
      <w:tr w:rsidTr="00A95FE2">
        <w:tblPrEx>
          <w:tblW w:w="0" w:type="auto"/>
          <w:tblLayout w:type="fixed"/>
          <w:tblCellMar>
            <w:left w:w="62" w:type="dxa"/>
            <w:right w:w="62" w:type="dxa"/>
          </w:tblCellMar>
          <w:tblLook w:val="0000"/>
        </w:tblPrEx>
        <w:trPr>
          <w:gridAfter w:val="1"/>
          <w:wAfter w:w="3375" w:type="dxa"/>
        </w:trPr>
        <w:tc>
          <w:tcPr>
            <w:tcW w:w="92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t>Group B</w:t>
            </w:r>
          </w:p>
          <w:p w:rsidR="00000000" w:rsidP="00F75344">
            <w:pPr>
              <w:pStyle w:val="BodyText"/>
              <w:rPr>
                <w:lang w:val="en-NZ"/>
              </w:rPr>
            </w:pPr>
            <w:r w:rsidRPr="00F75344">
              <w:t>At least two</w:t>
            </w:r>
          </w:p>
        </w:tc>
        <w:tc>
          <w:tcPr>
            <w:tcW w:w="4165"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t>Applications</w:t>
            </w:r>
          </w:p>
          <w:p w:rsidR="00000000" w:rsidRPr="00F75344" w:rsidP="00F75344">
            <w:pPr>
              <w:pStyle w:val="BodyText"/>
            </w:pPr>
            <w:r w:rsidRPr="00F75344">
              <w:t>Large residential lighting design</w:t>
            </w:r>
          </w:p>
          <w:p w:rsidR="00000000" w:rsidRPr="00F75344" w:rsidP="00F75344">
            <w:pPr>
              <w:pStyle w:val="BodyText"/>
            </w:pPr>
            <w:r w:rsidRPr="00F75344">
              <w:t>Store/shop lighting</w:t>
            </w:r>
          </w:p>
          <w:p w:rsidR="00000000" w:rsidRPr="00F75344" w:rsidP="00F75344">
            <w:pPr>
              <w:pStyle w:val="BodyText"/>
            </w:pPr>
            <w:r w:rsidRPr="00F75344">
              <w:t>Shopping centre general lighting</w:t>
            </w:r>
          </w:p>
          <w:p w:rsidR="00000000" w:rsidRPr="00F75344" w:rsidP="00F75344">
            <w:pPr>
              <w:pStyle w:val="BodyText"/>
            </w:pPr>
            <w:r w:rsidRPr="00F75344">
              <w:t>Security lighting</w:t>
            </w:r>
          </w:p>
          <w:p w:rsidR="00000000" w:rsidP="00F75344">
            <w:pPr>
              <w:pStyle w:val="BodyText"/>
              <w:rPr>
                <w:lang w:val="en-NZ"/>
              </w:rPr>
            </w:pPr>
            <w:r w:rsidRPr="00F75344">
              <w:t>Car park lighting</w:t>
            </w:r>
          </w:p>
        </w:tc>
      </w:tr>
      <w:tr w:rsidTr="00A95FE2">
        <w:tblPrEx>
          <w:tblW w:w="0" w:type="auto"/>
          <w:tblLayout w:type="fixed"/>
          <w:tblCellMar>
            <w:left w:w="62" w:type="dxa"/>
            <w:right w:w="62" w:type="dxa"/>
          </w:tblCellMar>
          <w:tblLook w:val="0000"/>
        </w:tblPrEx>
        <w:trPr>
          <w:gridAfter w:val="1"/>
          <w:wAfter w:w="3375" w:type="dxa"/>
        </w:trPr>
        <w:tc>
          <w:tcPr>
            <w:tcW w:w="5085" w:type="dxa"/>
            <w:gridSpan w:val="2"/>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t>Generic terms used thr</w:t>
            </w:r>
            <w:r w:rsidRPr="00F75344">
              <w:t>oughout this Vocational Standard shall be regarded as part of the Range Statement in which competency is demonstrated. The definition of these and other terms that apply are given in Volume 2, Part 2.1.</w:t>
            </w:r>
          </w:p>
        </w:tc>
      </w:tr>
    </w:tbl>
    <w:p w:rsidR="00000000" w:rsidRPr="00F75344" w:rsidP="00F75344">
      <w:pPr>
        <w:pStyle w:val="BodyText"/>
      </w:pPr>
    </w:p>
    <w:p w:rsidR="00000000" w:rsidRPr="00F75344" w:rsidP="00F75344">
      <w:pPr>
        <w:pStyle w:val="AllowPageBreak"/>
      </w:pPr>
    </w:p>
    <w:p w:rsidR="00000000" w:rsidRPr="00F75344" w:rsidP="00F75344">
      <w:pPr>
        <w:pStyle w:val="Heading1"/>
      </w:pPr>
      <w:bookmarkStart w:id="12" w:name="O_586590"/>
      <w:bookmarkEnd w:id="12"/>
      <w:r w:rsidRPr="00F75344">
        <w:t>Unit Sector(s)</w:t>
      </w:r>
    </w:p>
    <w:p w:rsidR="00000000" w:rsidRPr="00F75344" w:rsidP="00F75344">
      <w:pPr>
        <w:pStyle w:val="BodyText"/>
      </w:pPr>
      <w:r w:rsidRPr="00F75344">
        <w:t>Not applicable.</w:t>
      </w:r>
    </w:p>
    <w:p w:rsidR="00000000" w:rsidRPr="00F75344" w:rsidP="00F75344">
      <w:pPr>
        <w:pStyle w:val="AllowPageBreak"/>
      </w:pPr>
    </w:p>
    <w:p w:rsidR="00000000" w:rsidRPr="00F75344" w:rsidP="00F75344">
      <w:pPr>
        <w:pStyle w:val="Heading1"/>
      </w:pPr>
      <w:bookmarkStart w:id="13" w:name="O_586589"/>
      <w:bookmarkEnd w:id="13"/>
      <w:r w:rsidRPr="00F75344">
        <w:t>Competency Field</w:t>
      </w:r>
    </w:p>
    <w:tbl>
      <w:tblPr>
        <w:tblW w:w="0" w:type="auto"/>
        <w:tblLayout w:type="fixed"/>
        <w:tblCellMar>
          <w:left w:w="62" w:type="dxa"/>
          <w:right w:w="62" w:type="dxa"/>
        </w:tblCellMar>
        <w:tblLook w:val="0000"/>
      </w:tblPr>
      <w:tblGrid>
        <w:gridCol w:w="2700"/>
        <w:gridCol w:w="5760"/>
      </w:tblGrid>
      <w:tr w:rsidTr="00A95F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75344">
            <w:pPr>
              <w:pStyle w:val="BodyText"/>
              <w:rPr>
                <w:lang w:val="en-NZ"/>
              </w:rPr>
            </w:pPr>
            <w:r w:rsidRPr="00F75344">
              <w:rPr>
                <w:rStyle w:val="SpecialBold"/>
              </w:rPr>
              <w:t xml:space="preserve">11) </w:t>
            </w:r>
          </w:p>
        </w:tc>
      </w:tr>
      <w:tr w:rsidTr="00A95F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5344" w:rsidP="00F75344">
            <w:pPr>
              <w:pStyle w:val="BodyText"/>
            </w:pPr>
            <w:r w:rsidRPr="00F75344">
              <w:t>Electrical</w:t>
            </w:r>
          </w:p>
        </w:tc>
      </w:tr>
    </w:tbl>
    <w:p w:rsidR="00000000" w:rsidRPr="00F75344" w:rsidP="00F75344">
      <w:pPr>
        <w:pStyle w:val="BodyText"/>
      </w:pPr>
    </w:p>
    <w:p w:rsidR="00000000" w:rsidRPr="00F75344" w:rsidP="00F75344"/>
    <w:sectPr w:rsidSect="00F753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3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344" w:rsidRPr="00A95FE2" w:rsidP="00A95F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3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FE2" w:rsidP="00F753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95FE2" w:rsidP="00F7534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95FE2" w:rsidP="00F753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3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344" w:rsidRPr="00A95FE2" w:rsidP="00A95F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3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FE2" w:rsidRPr="002D2AF8" w:rsidP="00F75344">
    <w:pPr>
      <w:pStyle w:val="Header"/>
      <w:framePr w:wrap="around"/>
    </w:pPr>
    <w:r>
      <w:fldChar w:fldCharType="begin"/>
    </w:r>
    <w:r>
      <w:instrText xml:space="preserve"> TITLE   \* MERGEFORMAT </w:instrText>
    </w:r>
    <w:r>
      <w:fldChar w:fldCharType="separate"/>
    </w:r>
    <w:r>
      <w:t>UEENEEG188A Prepare quotations for the supply of effective and efficient lighting products for lighting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95FE2" w:rsidP="00F753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AE9F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B69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4A30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3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344"/>
    <w:pPr>
      <w:spacing w:before="360" w:after="60"/>
      <w:outlineLvl w:val="0"/>
    </w:pPr>
    <w:rPr>
      <w:sz w:val="32"/>
    </w:rPr>
  </w:style>
  <w:style w:type="paragraph" w:styleId="Heading2">
    <w:name w:val="heading 2"/>
    <w:basedOn w:val="HeadingBase"/>
    <w:next w:val="BodyText"/>
    <w:link w:val="Heading2Char"/>
    <w:qFormat/>
    <w:rsid w:val="00F75344"/>
    <w:pPr>
      <w:keepLines/>
      <w:spacing w:before="240" w:after="120"/>
      <w:outlineLvl w:val="1"/>
    </w:pPr>
    <w:rPr>
      <w:sz w:val="28"/>
      <w:szCs w:val="40"/>
    </w:rPr>
  </w:style>
  <w:style w:type="paragraph" w:styleId="Heading3">
    <w:name w:val="heading 3"/>
    <w:basedOn w:val="HeadingBase"/>
    <w:next w:val="BodyText"/>
    <w:link w:val="Heading3Char"/>
    <w:qFormat/>
    <w:rsid w:val="00F75344"/>
    <w:pPr>
      <w:spacing w:before="180" w:after="120"/>
      <w:outlineLvl w:val="2"/>
    </w:pPr>
    <w:rPr>
      <w:spacing w:val="-10"/>
      <w:kern w:val="32"/>
    </w:rPr>
  </w:style>
  <w:style w:type="paragraph" w:styleId="Heading4">
    <w:name w:val="heading 4"/>
    <w:basedOn w:val="HeadingBase"/>
    <w:next w:val="BodyText"/>
    <w:link w:val="Heading4Char"/>
    <w:qFormat/>
    <w:rsid w:val="00F75344"/>
    <w:pPr>
      <w:spacing w:before="160" w:after="120"/>
      <w:outlineLvl w:val="3"/>
    </w:pPr>
    <w:rPr>
      <w:sz w:val="22"/>
    </w:rPr>
  </w:style>
  <w:style w:type="paragraph" w:styleId="Heading5">
    <w:name w:val="heading 5"/>
    <w:basedOn w:val="HeadingBase"/>
    <w:next w:val="Normal"/>
    <w:link w:val="Heading5Char"/>
    <w:qFormat/>
    <w:rsid w:val="00F75344"/>
    <w:pPr>
      <w:spacing w:before="80"/>
      <w:outlineLvl w:val="4"/>
    </w:pPr>
    <w:rPr>
      <w:color w:val="918585"/>
      <w:sz w:val="20"/>
    </w:rPr>
  </w:style>
  <w:style w:type="paragraph" w:styleId="Heading6">
    <w:name w:val="heading 6"/>
    <w:basedOn w:val="HeadingBase"/>
    <w:next w:val="Normal"/>
    <w:link w:val="Heading6Char"/>
    <w:qFormat/>
    <w:rsid w:val="00F75344"/>
    <w:pPr>
      <w:spacing w:before="60"/>
      <w:outlineLvl w:val="5"/>
    </w:pPr>
    <w:rPr>
      <w:color w:val="918585"/>
      <w:sz w:val="20"/>
    </w:rPr>
  </w:style>
  <w:style w:type="paragraph" w:styleId="Heading7">
    <w:name w:val="heading 7"/>
    <w:basedOn w:val="Normal"/>
    <w:next w:val="Normal"/>
    <w:link w:val="Heading7Char"/>
    <w:qFormat/>
    <w:rsid w:val="00F75344"/>
    <w:pPr>
      <w:ind w:left="720"/>
      <w:outlineLvl w:val="6"/>
    </w:pPr>
    <w:rPr>
      <w:i/>
    </w:rPr>
  </w:style>
  <w:style w:type="paragraph" w:styleId="Heading8">
    <w:name w:val="heading 8"/>
    <w:basedOn w:val="Normal"/>
    <w:next w:val="Normal"/>
    <w:link w:val="Heading8Char"/>
    <w:qFormat/>
    <w:rsid w:val="00F75344"/>
    <w:pPr>
      <w:ind w:left="720"/>
      <w:outlineLvl w:val="7"/>
    </w:pPr>
    <w:rPr>
      <w:i/>
    </w:rPr>
  </w:style>
  <w:style w:type="paragraph" w:styleId="Heading9">
    <w:name w:val="heading 9"/>
    <w:basedOn w:val="Normal"/>
    <w:next w:val="Normal"/>
    <w:link w:val="Heading9Char"/>
    <w:qFormat/>
    <w:rsid w:val="00F75344"/>
    <w:pPr>
      <w:ind w:left="720"/>
      <w:outlineLvl w:val="8"/>
    </w:pPr>
    <w:rPr>
      <w:i/>
    </w:rPr>
  </w:style>
  <w:style w:type="character" w:default="1" w:styleId="DefaultParagraphFont">
    <w:name w:val="Default Paragraph Font"/>
    <w:uiPriority w:val="1"/>
    <w:unhideWhenUsed/>
    <w:rsid w:val="00F753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344"/>
  </w:style>
  <w:style w:type="character" w:customStyle="1" w:styleId="Heading1Char">
    <w:name w:val="Heading 1 Char"/>
    <w:basedOn w:val="DefaultParagraphFont"/>
    <w:link w:val="Heading1"/>
    <w:rsid w:val="00F75344"/>
    <w:rPr>
      <w:rFonts w:ascii="Times New Roman" w:eastAsia="Times New Roman" w:hAnsi="Times New Roman" w:cs="Times New Roman"/>
      <w:b/>
      <w:sz w:val="32"/>
      <w:szCs w:val="20"/>
      <w:lang w:eastAsia="en-US"/>
    </w:rPr>
  </w:style>
  <w:style w:type="paragraph" w:styleId="BodyText">
    <w:name w:val="Body Text"/>
    <w:basedOn w:val="Normal"/>
    <w:link w:val="BodyTextChar"/>
    <w:rsid w:val="00F753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5344"/>
    <w:rPr>
      <w:rFonts w:ascii="Times New Roman" w:eastAsia="Times New Roman" w:hAnsi="Times New Roman" w:cs="Times New Roman"/>
      <w:sz w:val="24"/>
      <w:lang w:eastAsia="en-US"/>
    </w:rPr>
  </w:style>
  <w:style w:type="paragraph" w:styleId="ListBullet">
    <w:name w:val="List Bullet"/>
    <w:basedOn w:val="List"/>
    <w:rsid w:val="00F75344"/>
    <w:pPr>
      <w:numPr>
        <w:numId w:val="13"/>
      </w:numPr>
      <w:tabs>
        <w:tab w:val="clear" w:pos="340"/>
      </w:tabs>
      <w:spacing w:before="40" w:after="40"/>
    </w:pPr>
  </w:style>
  <w:style w:type="character" w:customStyle="1" w:styleId="SpecialBold">
    <w:name w:val="Special Bold"/>
    <w:basedOn w:val="DefaultParagraphFont"/>
    <w:rsid w:val="00F75344"/>
    <w:rPr>
      <w:b/>
      <w:spacing w:val="0"/>
    </w:rPr>
  </w:style>
  <w:style w:type="paragraph" w:styleId="ListBullet2">
    <w:name w:val="List Bullet 2"/>
    <w:basedOn w:val="List2"/>
    <w:rsid w:val="00F75344"/>
    <w:pPr>
      <w:numPr>
        <w:numId w:val="14"/>
      </w:numPr>
      <w:tabs>
        <w:tab w:val="clear" w:pos="680"/>
      </w:tabs>
    </w:pPr>
  </w:style>
  <w:style w:type="paragraph" w:customStyle="1" w:styleId="SuperHeading">
    <w:name w:val="SuperHeading"/>
    <w:basedOn w:val="Normal"/>
    <w:rsid w:val="00F75344"/>
    <w:pPr>
      <w:spacing w:before="240" w:after="120"/>
      <w:outlineLvl w:val="0"/>
    </w:pPr>
    <w:rPr>
      <w:rFonts w:ascii="Times New Roman" w:hAnsi="Times New Roman"/>
      <w:b/>
      <w:sz w:val="32"/>
    </w:rPr>
  </w:style>
  <w:style w:type="paragraph" w:customStyle="1" w:styleId="AllowPageBreak">
    <w:name w:val="AllowPageBreak"/>
    <w:rsid w:val="00F753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53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3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3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3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3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3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3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344"/>
    <w:rPr>
      <w:rFonts w:ascii="Courier New" w:eastAsia="Times New Roman" w:hAnsi="Courier New" w:cs="Times New Roman"/>
      <w:i/>
      <w:szCs w:val="20"/>
      <w:lang w:eastAsia="en-US"/>
    </w:rPr>
  </w:style>
  <w:style w:type="paragraph" w:customStyle="1" w:styleId="HeadingBase">
    <w:name w:val="Heading Base"/>
    <w:rsid w:val="00F753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344"/>
    <w:pPr>
      <w:tabs>
        <w:tab w:val="right" w:leader="dot" w:pos="9072"/>
      </w:tabs>
      <w:ind w:left="567"/>
    </w:pPr>
    <w:rPr>
      <w:szCs w:val="22"/>
    </w:rPr>
  </w:style>
  <w:style w:type="paragraph" w:customStyle="1" w:styleId="TOCBase">
    <w:name w:val="TOC Base"/>
    <w:rsid w:val="00F753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344"/>
    <w:pPr>
      <w:tabs>
        <w:tab w:val="right" w:leader="dot" w:pos="9072"/>
      </w:tabs>
      <w:spacing w:before="40" w:after="40"/>
      <w:ind w:left="284"/>
    </w:pPr>
    <w:rPr>
      <w:rFonts w:ascii="Times New Roman" w:hAnsi="Times New Roman"/>
    </w:rPr>
  </w:style>
  <w:style w:type="paragraph" w:styleId="TOC1">
    <w:name w:val="toc 1"/>
    <w:basedOn w:val="TOCBase"/>
    <w:next w:val="Normal"/>
    <w:rsid w:val="00F753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53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344"/>
    <w:rPr>
      <w:rFonts w:ascii="Times New Roman" w:eastAsia="Times New Roman" w:hAnsi="Times New Roman" w:cs="Times New Roman"/>
      <w:sz w:val="16"/>
      <w:lang w:eastAsia="en-US"/>
    </w:rPr>
  </w:style>
  <w:style w:type="paragraph" w:styleId="Title">
    <w:name w:val="Title"/>
    <w:basedOn w:val="HeadingBase"/>
    <w:link w:val="TitleChar"/>
    <w:qFormat/>
    <w:rsid w:val="00F75344"/>
    <w:pPr>
      <w:spacing w:before="5040"/>
      <w:jc w:val="center"/>
    </w:pPr>
    <w:rPr>
      <w:sz w:val="48"/>
      <w:szCs w:val="72"/>
      <w:lang w:val="en-US"/>
    </w:rPr>
  </w:style>
  <w:style w:type="character" w:customStyle="1" w:styleId="TitleChar">
    <w:name w:val="Title Char"/>
    <w:basedOn w:val="DefaultParagraphFont"/>
    <w:link w:val="Title"/>
    <w:rsid w:val="00F753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344"/>
    <w:pPr>
      <w:tabs>
        <w:tab w:val="left" w:pos="3600"/>
        <w:tab w:val="left" w:pos="3958"/>
      </w:tabs>
    </w:pPr>
  </w:style>
  <w:style w:type="paragraph" w:styleId="List">
    <w:name w:val="List"/>
    <w:basedOn w:val="BodyText"/>
    <w:next w:val="BodyText"/>
    <w:rsid w:val="00F75344"/>
    <w:pPr>
      <w:tabs>
        <w:tab w:val="left" w:pos="340"/>
      </w:tabs>
      <w:spacing w:before="60" w:after="60"/>
      <w:ind w:left="340" w:hanging="340"/>
    </w:pPr>
  </w:style>
  <w:style w:type="paragraph" w:customStyle="1" w:styleId="Note">
    <w:name w:val="Note"/>
    <w:basedOn w:val="BodyText"/>
    <w:rsid w:val="00F753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344"/>
    <w:pPr>
      <w:framePr w:wrap="auto" w:hAnchor="text" w:y="6049"/>
    </w:pPr>
    <w:rPr>
      <w:color w:val="000000"/>
      <w:sz w:val="40"/>
    </w:rPr>
  </w:style>
  <w:style w:type="paragraph" w:customStyle="1" w:styleId="TOCTitle">
    <w:name w:val="TOCTitle"/>
    <w:basedOn w:val="Heading1"/>
    <w:rsid w:val="00F75344"/>
    <w:pPr>
      <w:spacing w:after="240"/>
      <w:jc w:val="center"/>
      <w:outlineLvl w:val="9"/>
    </w:pPr>
    <w:rPr>
      <w:caps/>
    </w:rPr>
  </w:style>
  <w:style w:type="paragraph" w:customStyle="1" w:styleId="Version">
    <w:name w:val="Version"/>
    <w:rsid w:val="00F753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5344"/>
    <w:pPr>
      <w:keepNext w:val="0"/>
      <w:tabs>
        <w:tab w:val="right" w:pos="4176"/>
      </w:tabs>
      <w:ind w:left="198" w:hanging="198"/>
    </w:pPr>
    <w:rPr>
      <w:rFonts w:ascii="Garamond" w:hAnsi="Garamond"/>
    </w:rPr>
  </w:style>
  <w:style w:type="paragraph" w:styleId="IndexHeading">
    <w:name w:val="index heading"/>
    <w:basedOn w:val="Normal"/>
    <w:next w:val="Index1"/>
    <w:semiHidden/>
    <w:rsid w:val="00F75344"/>
    <w:pPr>
      <w:spacing w:before="120" w:after="120"/>
    </w:pPr>
    <w:rPr>
      <w:rFonts w:ascii="Arial" w:hAnsi="Arial"/>
      <w:b/>
      <w:color w:val="918585"/>
      <w:sz w:val="24"/>
    </w:rPr>
  </w:style>
  <w:style w:type="paragraph" w:styleId="Header">
    <w:name w:val="header"/>
    <w:basedOn w:val="Normal"/>
    <w:link w:val="HeaderChar"/>
    <w:rsid w:val="00F753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344"/>
    <w:rPr>
      <w:rFonts w:ascii="Times New Roman" w:eastAsia="Times New Roman" w:hAnsi="Times New Roman" w:cs="Times New Roman"/>
      <w:sz w:val="16"/>
      <w:szCs w:val="20"/>
      <w:lang w:val="en-GB" w:eastAsia="en-US"/>
    </w:rPr>
  </w:style>
  <w:style w:type="paragraph" w:customStyle="1" w:styleId="Chapter">
    <w:name w:val="Chapter"/>
    <w:basedOn w:val="Normal"/>
    <w:rsid w:val="00F75344"/>
    <w:pPr>
      <w:spacing w:before="240"/>
    </w:pPr>
    <w:rPr>
      <w:rFonts w:ascii="Times New Roman" w:hAnsi="Times New Roman"/>
      <w:smallCaps/>
      <w:spacing w:val="80"/>
      <w:sz w:val="28"/>
    </w:rPr>
  </w:style>
  <w:style w:type="paragraph" w:customStyle="1" w:styleId="InChapter">
    <w:name w:val="InChapter"/>
    <w:basedOn w:val="Heading3"/>
    <w:rsid w:val="00F75344"/>
    <w:pPr>
      <w:spacing w:after="240"/>
      <w:outlineLvl w:val="9"/>
    </w:pPr>
    <w:rPr>
      <w:noProof/>
    </w:rPr>
  </w:style>
  <w:style w:type="paragraph" w:styleId="Index2">
    <w:name w:val="index 2"/>
    <w:basedOn w:val="Normal"/>
    <w:next w:val="Normal"/>
    <w:semiHidden/>
    <w:rsid w:val="00F75344"/>
    <w:pPr>
      <w:tabs>
        <w:tab w:val="right" w:pos="4176"/>
      </w:tabs>
      <w:ind w:left="568" w:hanging="284"/>
    </w:pPr>
    <w:rPr>
      <w:rFonts w:ascii="Garamond" w:hAnsi="Garamond"/>
    </w:rPr>
  </w:style>
  <w:style w:type="paragraph" w:customStyle="1" w:styleId="Byline">
    <w:name w:val="Byline"/>
    <w:rsid w:val="00F753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344"/>
    <w:pPr>
      <w:tabs>
        <w:tab w:val="clear" w:pos="3600"/>
        <w:tab w:val="clear" w:pos="3958"/>
      </w:tabs>
      <w:jc w:val="right"/>
    </w:pPr>
  </w:style>
  <w:style w:type="character" w:styleId="Emphasis">
    <w:name w:val="Emphasis"/>
    <w:basedOn w:val="DefaultParagraphFont"/>
    <w:qFormat/>
    <w:rsid w:val="00F75344"/>
    <w:rPr>
      <w:i/>
    </w:rPr>
  </w:style>
  <w:style w:type="paragraph" w:styleId="Caption">
    <w:name w:val="caption"/>
    <w:basedOn w:val="BodyText"/>
    <w:next w:val="Normal"/>
    <w:qFormat/>
    <w:rsid w:val="00F75344"/>
    <w:pPr>
      <w:framePr w:w="2268" w:hSpace="181" w:vSpace="181" w:wrap="around" w:vAnchor="text" w:hAnchor="page" w:x="1135" w:y="285" w:anchorLock="1"/>
    </w:pPr>
    <w:rPr>
      <w:i/>
    </w:rPr>
  </w:style>
  <w:style w:type="paragraph" w:customStyle="1" w:styleId="MiniTOCTitle">
    <w:name w:val="MiniTOCTitle"/>
    <w:basedOn w:val="Heading4"/>
    <w:rsid w:val="00F75344"/>
    <w:pPr>
      <w:spacing w:before="240"/>
      <w:outlineLvl w:val="9"/>
    </w:pPr>
    <w:rPr>
      <w:noProof/>
      <w:sz w:val="24"/>
    </w:rPr>
  </w:style>
  <w:style w:type="paragraph" w:customStyle="1" w:styleId="MiniTOCItem">
    <w:name w:val="MiniTOCItem"/>
    <w:basedOn w:val="ListBullet"/>
    <w:rsid w:val="00F75344"/>
    <w:pPr>
      <w:numPr>
        <w:numId w:val="0"/>
      </w:numPr>
      <w:tabs>
        <w:tab w:val="right" w:leader="dot" w:pos="6521"/>
      </w:tabs>
      <w:spacing w:before="0" w:after="0"/>
    </w:pPr>
  </w:style>
  <w:style w:type="paragraph" w:customStyle="1" w:styleId="TOFTitle">
    <w:name w:val="TOFTitle"/>
    <w:basedOn w:val="TOCTitle"/>
    <w:rsid w:val="00F75344"/>
  </w:style>
  <w:style w:type="paragraph" w:styleId="TableofFigures">
    <w:name w:val="table of figures"/>
    <w:basedOn w:val="Normal"/>
    <w:next w:val="Normal"/>
    <w:semiHidden/>
    <w:rsid w:val="00F75344"/>
    <w:pPr>
      <w:tabs>
        <w:tab w:val="right" w:leader="dot" w:pos="9072"/>
      </w:tabs>
      <w:ind w:left="970" w:hanging="403"/>
    </w:pPr>
    <w:rPr>
      <w:rFonts w:ascii="Times New Roman" w:hAnsi="Times New Roman"/>
      <w:b/>
    </w:rPr>
  </w:style>
  <w:style w:type="paragraph" w:styleId="ListNumber">
    <w:name w:val="List Number"/>
    <w:basedOn w:val="List"/>
    <w:rsid w:val="00F75344"/>
    <w:pPr>
      <w:numPr>
        <w:numId w:val="11"/>
      </w:numPr>
    </w:pPr>
  </w:style>
  <w:style w:type="character" w:customStyle="1" w:styleId="WingdingSymbols">
    <w:name w:val="Wingding Symbols"/>
    <w:rsid w:val="00F75344"/>
    <w:rPr>
      <w:rFonts w:ascii="Wingdings" w:hAnsi="Wingdings"/>
    </w:rPr>
  </w:style>
  <w:style w:type="paragraph" w:customStyle="1" w:styleId="TableHeading">
    <w:name w:val="Table Heading"/>
    <w:basedOn w:val="HeadingBase"/>
    <w:rsid w:val="00F75344"/>
    <w:pPr>
      <w:keepLines/>
      <w:pBdr>
        <w:bottom w:val="single" w:sz="6" w:space="1" w:color="918585"/>
      </w:pBdr>
      <w:spacing w:before="240"/>
    </w:pPr>
  </w:style>
  <w:style w:type="character" w:customStyle="1" w:styleId="HotSpot">
    <w:name w:val="HotSpot"/>
    <w:rsid w:val="00F75344"/>
    <w:rPr>
      <w:color w:val="0033CC"/>
      <w:u w:val="none"/>
    </w:rPr>
  </w:style>
  <w:style w:type="paragraph" w:customStyle="1" w:styleId="BodyTextRight">
    <w:name w:val="Body Text Right"/>
    <w:basedOn w:val="BodyText"/>
    <w:rsid w:val="00F75344"/>
    <w:pPr>
      <w:spacing w:before="0" w:after="0"/>
      <w:jc w:val="right"/>
    </w:pPr>
  </w:style>
  <w:style w:type="paragraph" w:styleId="Index3">
    <w:name w:val="index 3"/>
    <w:basedOn w:val="ListNumber2"/>
    <w:next w:val="Normal"/>
    <w:semiHidden/>
    <w:rsid w:val="00F75344"/>
    <w:pPr>
      <w:numPr>
        <w:numId w:val="0"/>
      </w:numPr>
      <w:tabs>
        <w:tab w:val="right" w:leader="dot" w:pos="4176"/>
      </w:tabs>
    </w:pPr>
  </w:style>
  <w:style w:type="paragraph" w:styleId="ListNumber2">
    <w:name w:val="List Number 2"/>
    <w:basedOn w:val="List2"/>
    <w:rsid w:val="00F75344"/>
    <w:pPr>
      <w:numPr>
        <w:numId w:val="10"/>
      </w:numPr>
      <w:tabs>
        <w:tab w:val="clear" w:pos="1060"/>
      </w:tabs>
    </w:pPr>
  </w:style>
  <w:style w:type="paragraph" w:customStyle="1" w:styleId="MarginNote">
    <w:name w:val="Margin Note"/>
    <w:basedOn w:val="BodyText"/>
    <w:rsid w:val="00F753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3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3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344"/>
    <w:rPr>
      <w:sz w:val="32"/>
    </w:rPr>
  </w:style>
  <w:style w:type="paragraph" w:customStyle="1" w:styleId="HeadingProcedure">
    <w:name w:val="Heading Procedure"/>
    <w:basedOn w:val="HeadingBase"/>
    <w:next w:val="Normal"/>
    <w:rsid w:val="00F75344"/>
    <w:pPr>
      <w:tabs>
        <w:tab w:val="left" w:pos="0"/>
      </w:tabs>
      <w:spacing w:before="120" w:after="60"/>
    </w:pPr>
    <w:rPr>
      <w:i/>
      <w:color w:val="918585"/>
      <w:sz w:val="22"/>
    </w:rPr>
  </w:style>
  <w:style w:type="paragraph" w:customStyle="1" w:styleId="TableBodyText">
    <w:name w:val="Table Body Text"/>
    <w:basedOn w:val="BodyText"/>
    <w:rsid w:val="00F75344"/>
    <w:pPr>
      <w:spacing w:before="60" w:after="60"/>
    </w:pPr>
  </w:style>
  <w:style w:type="paragraph" w:styleId="ListContinue">
    <w:name w:val="List Continue"/>
    <w:basedOn w:val="List"/>
    <w:rsid w:val="00F75344"/>
    <w:pPr>
      <w:ind w:firstLine="0"/>
    </w:pPr>
  </w:style>
  <w:style w:type="paragraph" w:customStyle="1" w:styleId="ListNote">
    <w:name w:val="List Note"/>
    <w:basedOn w:val="List"/>
    <w:rsid w:val="00F75344"/>
    <w:pPr>
      <w:pBdr>
        <w:top w:val="single" w:sz="6" w:space="2" w:color="918585"/>
        <w:bottom w:val="single" w:sz="6" w:space="2" w:color="918585"/>
      </w:pBdr>
      <w:tabs>
        <w:tab w:val="left" w:pos="1021"/>
      </w:tabs>
      <w:ind w:firstLine="0"/>
    </w:pPr>
  </w:style>
  <w:style w:type="paragraph" w:customStyle="1" w:styleId="Warning">
    <w:name w:val="Warning"/>
    <w:basedOn w:val="BodyText"/>
    <w:rsid w:val="00F75344"/>
    <w:pPr>
      <w:shd w:val="clear" w:color="auto" w:fill="D9D9D9"/>
      <w:tabs>
        <w:tab w:val="left" w:pos="992"/>
      </w:tabs>
      <w:ind w:left="119" w:right="119"/>
    </w:pPr>
    <w:rPr>
      <w:sz w:val="20"/>
    </w:rPr>
  </w:style>
  <w:style w:type="paragraph" w:customStyle="1" w:styleId="MarginIcons">
    <w:name w:val="Margin Icons"/>
    <w:basedOn w:val="BodyText"/>
    <w:rsid w:val="00F753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344"/>
    <w:rPr>
      <w:rFonts w:ascii="Courier New" w:hAnsi="Courier New"/>
    </w:rPr>
  </w:style>
  <w:style w:type="paragraph" w:customStyle="1" w:styleId="NoteBullet">
    <w:name w:val="Note Bullet"/>
    <w:basedOn w:val="Note"/>
    <w:rsid w:val="00F75344"/>
    <w:pPr>
      <w:tabs>
        <w:tab w:val="clear" w:pos="680"/>
      </w:tabs>
      <w:spacing w:before="60" w:after="60"/>
    </w:pPr>
  </w:style>
  <w:style w:type="paragraph" w:customStyle="1" w:styleId="SubHeading2">
    <w:name w:val="SubHeading2"/>
    <w:basedOn w:val="HeadingBase"/>
    <w:rsid w:val="00F75344"/>
    <w:pPr>
      <w:spacing w:before="240" w:after="60"/>
    </w:pPr>
    <w:rPr>
      <w:sz w:val="20"/>
    </w:rPr>
  </w:style>
  <w:style w:type="paragraph" w:customStyle="1" w:styleId="SubHeading1">
    <w:name w:val="SubHeading1"/>
    <w:basedOn w:val="HeadingBase"/>
    <w:rsid w:val="00F75344"/>
    <w:pPr>
      <w:spacing w:before="240" w:after="60"/>
    </w:pPr>
    <w:rPr>
      <w:color w:val="918585"/>
      <w:sz w:val="22"/>
    </w:rPr>
  </w:style>
  <w:style w:type="paragraph" w:customStyle="1" w:styleId="SideHeading">
    <w:name w:val="Side Heading"/>
    <w:basedOn w:val="HeadingBase"/>
    <w:rsid w:val="00F753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344"/>
    <w:pPr>
      <w:numPr>
        <w:numId w:val="12"/>
      </w:numPr>
    </w:pPr>
  </w:style>
  <w:style w:type="paragraph" w:styleId="PlainText">
    <w:name w:val="Plain Text"/>
    <w:basedOn w:val="Normal"/>
    <w:link w:val="PlainTextChar"/>
    <w:rsid w:val="00F75344"/>
    <w:rPr>
      <w:sz w:val="20"/>
    </w:rPr>
  </w:style>
  <w:style w:type="character" w:customStyle="1" w:styleId="PlainTextChar">
    <w:name w:val="Plain Text Char"/>
    <w:basedOn w:val="DefaultParagraphFont"/>
    <w:link w:val="PlainText"/>
    <w:rsid w:val="00F75344"/>
    <w:rPr>
      <w:rFonts w:ascii="Courier New" w:eastAsia="Times New Roman" w:hAnsi="Courier New" w:cs="Times New Roman"/>
      <w:sz w:val="20"/>
      <w:szCs w:val="20"/>
      <w:lang w:eastAsia="en-US"/>
    </w:rPr>
  </w:style>
  <w:style w:type="character" w:customStyle="1" w:styleId="MenuOption">
    <w:name w:val="Menu Option"/>
    <w:basedOn w:val="DefaultParagraphFont"/>
    <w:rsid w:val="00F75344"/>
    <w:rPr>
      <w:b/>
      <w:smallCaps/>
    </w:rPr>
  </w:style>
  <w:style w:type="paragraph" w:customStyle="1" w:styleId="TableListNumber">
    <w:name w:val="Table List Number"/>
    <w:basedOn w:val="ListNumber"/>
    <w:rsid w:val="00F75344"/>
    <w:pPr>
      <w:numPr>
        <w:numId w:val="0"/>
      </w:numPr>
    </w:pPr>
  </w:style>
  <w:style w:type="paragraph" w:styleId="TOC4">
    <w:name w:val="toc 4"/>
    <w:basedOn w:val="TOCBase"/>
    <w:next w:val="Normal"/>
    <w:semiHidden/>
    <w:rsid w:val="00F75344"/>
    <w:pPr>
      <w:tabs>
        <w:tab w:val="right" w:leader="dot" w:pos="9071"/>
      </w:tabs>
      <w:ind w:left="1701"/>
    </w:pPr>
  </w:style>
  <w:style w:type="paragraph" w:customStyle="1" w:styleId="ListAlpha">
    <w:name w:val="List Alpha"/>
    <w:basedOn w:val="List"/>
    <w:rsid w:val="00F75344"/>
    <w:pPr>
      <w:numPr>
        <w:numId w:val="9"/>
      </w:numPr>
    </w:pPr>
  </w:style>
  <w:style w:type="paragraph" w:customStyle="1" w:styleId="ListAlpha2">
    <w:name w:val="List Alpha 2"/>
    <w:basedOn w:val="List2"/>
    <w:rsid w:val="00F75344"/>
    <w:pPr>
      <w:numPr>
        <w:numId w:val="8"/>
      </w:numPr>
    </w:pPr>
  </w:style>
  <w:style w:type="paragraph" w:styleId="List2">
    <w:name w:val="List 2"/>
    <w:basedOn w:val="BodyText"/>
    <w:rsid w:val="00F75344"/>
    <w:pPr>
      <w:tabs>
        <w:tab w:val="left" w:pos="680"/>
      </w:tabs>
      <w:spacing w:before="60" w:after="60"/>
      <w:ind w:left="680" w:hanging="340"/>
    </w:pPr>
  </w:style>
  <w:style w:type="paragraph" w:styleId="List3">
    <w:name w:val="List 3"/>
    <w:basedOn w:val="BodyText"/>
    <w:rsid w:val="00F75344"/>
    <w:pPr>
      <w:tabs>
        <w:tab w:val="left" w:pos="1021"/>
      </w:tabs>
      <w:spacing w:before="60" w:after="60"/>
      <w:ind w:left="1020" w:hanging="340"/>
    </w:pPr>
  </w:style>
  <w:style w:type="paragraph" w:styleId="List4">
    <w:name w:val="List 4"/>
    <w:basedOn w:val="BodyText"/>
    <w:rsid w:val="00F75344"/>
    <w:pPr>
      <w:tabs>
        <w:tab w:val="left" w:pos="1361"/>
      </w:tabs>
      <w:spacing w:before="60" w:after="60"/>
      <w:ind w:left="1361" w:hanging="340"/>
    </w:pPr>
  </w:style>
  <w:style w:type="paragraph" w:styleId="List5">
    <w:name w:val="List 5"/>
    <w:basedOn w:val="BodyText"/>
    <w:rsid w:val="00F75344"/>
    <w:pPr>
      <w:tabs>
        <w:tab w:val="left" w:pos="1701"/>
      </w:tabs>
      <w:spacing w:before="60" w:after="60"/>
      <w:ind w:left="1701" w:hanging="340"/>
    </w:pPr>
  </w:style>
  <w:style w:type="paragraph" w:styleId="ListBullet3">
    <w:name w:val="List Bullet 3"/>
    <w:basedOn w:val="List3"/>
    <w:rsid w:val="00F75344"/>
    <w:pPr>
      <w:numPr>
        <w:numId w:val="15"/>
      </w:numPr>
      <w:tabs>
        <w:tab w:val="clear" w:pos="1021"/>
      </w:tabs>
      <w:ind w:left="1037" w:hanging="357"/>
    </w:pPr>
  </w:style>
  <w:style w:type="paragraph" w:styleId="ListBullet4">
    <w:name w:val="List Bullet 4"/>
    <w:basedOn w:val="List4"/>
    <w:rsid w:val="00F75344"/>
    <w:pPr>
      <w:numPr>
        <w:numId w:val="3"/>
      </w:numPr>
    </w:pPr>
  </w:style>
  <w:style w:type="paragraph" w:styleId="ListBullet5">
    <w:name w:val="List Bullet 5"/>
    <w:basedOn w:val="List5"/>
    <w:rsid w:val="00F75344"/>
    <w:pPr>
      <w:numPr>
        <w:numId w:val="4"/>
      </w:numPr>
    </w:pPr>
  </w:style>
  <w:style w:type="paragraph" w:styleId="ListContinue2">
    <w:name w:val="List Continue 2"/>
    <w:basedOn w:val="List2"/>
    <w:rsid w:val="00F75344"/>
    <w:pPr>
      <w:ind w:firstLine="0"/>
    </w:pPr>
  </w:style>
  <w:style w:type="paragraph" w:styleId="ListContinue3">
    <w:name w:val="List Continue 3"/>
    <w:basedOn w:val="List3"/>
    <w:rsid w:val="00F75344"/>
    <w:pPr>
      <w:ind w:left="1021" w:firstLine="0"/>
    </w:pPr>
  </w:style>
  <w:style w:type="paragraph" w:styleId="ListContinue4">
    <w:name w:val="List Continue 4"/>
    <w:basedOn w:val="List4"/>
    <w:rsid w:val="00F75344"/>
    <w:pPr>
      <w:ind w:firstLine="0"/>
    </w:pPr>
  </w:style>
  <w:style w:type="paragraph" w:styleId="ListContinue5">
    <w:name w:val="List Continue 5"/>
    <w:basedOn w:val="List5"/>
    <w:rsid w:val="00F75344"/>
    <w:pPr>
      <w:ind w:firstLine="0"/>
    </w:pPr>
  </w:style>
  <w:style w:type="paragraph" w:styleId="ListNumber3">
    <w:name w:val="List Number 3"/>
    <w:basedOn w:val="List3"/>
    <w:rsid w:val="00F75344"/>
    <w:pPr>
      <w:numPr>
        <w:numId w:val="5"/>
      </w:numPr>
    </w:pPr>
  </w:style>
  <w:style w:type="paragraph" w:styleId="ListNumber4">
    <w:name w:val="List Number 4"/>
    <w:basedOn w:val="List4"/>
    <w:rsid w:val="00F75344"/>
    <w:pPr>
      <w:numPr>
        <w:numId w:val="6"/>
      </w:numPr>
    </w:pPr>
  </w:style>
  <w:style w:type="paragraph" w:styleId="ListNumber5">
    <w:name w:val="List Number 5"/>
    <w:basedOn w:val="List5"/>
    <w:rsid w:val="00F75344"/>
    <w:pPr>
      <w:numPr>
        <w:numId w:val="7"/>
      </w:numPr>
    </w:pPr>
  </w:style>
  <w:style w:type="paragraph" w:styleId="BlockText">
    <w:name w:val="Block Text"/>
    <w:basedOn w:val="Normal"/>
    <w:rsid w:val="00F75344"/>
    <w:pPr>
      <w:spacing w:after="120"/>
      <w:ind w:left="1440" w:right="1440"/>
    </w:pPr>
  </w:style>
  <w:style w:type="character" w:customStyle="1" w:styleId="Subscript">
    <w:name w:val="Subscript"/>
    <w:basedOn w:val="DefaultParagraphFont"/>
    <w:rsid w:val="00F75344"/>
    <w:rPr>
      <w:sz w:val="16"/>
      <w:vertAlign w:val="subscript"/>
    </w:rPr>
  </w:style>
  <w:style w:type="character" w:customStyle="1" w:styleId="Superscript">
    <w:name w:val="Superscript"/>
    <w:basedOn w:val="DefaultParagraphFont"/>
    <w:rsid w:val="00F75344"/>
    <w:rPr>
      <w:sz w:val="16"/>
      <w:vertAlign w:val="superscript"/>
    </w:rPr>
  </w:style>
  <w:style w:type="character" w:customStyle="1" w:styleId="Symbols">
    <w:name w:val="Symbols"/>
    <w:basedOn w:val="DefaultParagraphFont"/>
    <w:rsid w:val="00F75344"/>
    <w:rPr>
      <w:rFonts w:ascii="Symbol" w:hAnsi="Symbol"/>
    </w:rPr>
  </w:style>
  <w:style w:type="character" w:customStyle="1" w:styleId="MenuOptions">
    <w:name w:val="Menu Options"/>
    <w:basedOn w:val="DefaultParagraphFont"/>
    <w:rsid w:val="00F75344"/>
    <w:rPr>
      <w:rFonts w:ascii="Arial Narrow" w:hAnsi="Arial Narrow"/>
      <w:smallCaps/>
    </w:rPr>
  </w:style>
  <w:style w:type="character" w:customStyle="1" w:styleId="Buttons">
    <w:name w:val="Buttons"/>
    <w:basedOn w:val="DefaultParagraphFont"/>
    <w:rsid w:val="00F75344"/>
    <w:rPr>
      <w:b/>
    </w:rPr>
  </w:style>
  <w:style w:type="character" w:customStyle="1" w:styleId="Underlined">
    <w:name w:val="Underlined"/>
    <w:basedOn w:val="DefaultParagraphFont"/>
    <w:rsid w:val="00F75344"/>
    <w:rPr>
      <w:u w:val="single"/>
    </w:rPr>
  </w:style>
  <w:style w:type="paragraph" w:customStyle="1" w:styleId="TableBodyTextRight">
    <w:name w:val="Table Body Text Right"/>
    <w:basedOn w:val="TableBodyText"/>
    <w:rsid w:val="00F75344"/>
    <w:pPr>
      <w:widowControl w:val="0"/>
      <w:autoSpaceDE w:val="0"/>
      <w:autoSpaceDN w:val="0"/>
      <w:adjustRightInd w:val="0"/>
      <w:jc w:val="right"/>
    </w:pPr>
    <w:rPr>
      <w:rFonts w:cs="Arial"/>
      <w:szCs w:val="18"/>
    </w:rPr>
  </w:style>
  <w:style w:type="paragraph" w:customStyle="1" w:styleId="CopyrightText">
    <w:name w:val="Copyright Text"/>
    <w:basedOn w:val="BodyText"/>
    <w:rsid w:val="00F75344"/>
    <w:rPr>
      <w:sz w:val="18"/>
    </w:rPr>
  </w:style>
  <w:style w:type="paragraph" w:customStyle="1" w:styleId="BodySmallRight">
    <w:name w:val="Body Small Right"/>
    <w:basedOn w:val="BodyTextRight"/>
    <w:rsid w:val="00F75344"/>
    <w:rPr>
      <w:sz w:val="18"/>
      <w:szCs w:val="18"/>
    </w:rPr>
  </w:style>
  <w:style w:type="paragraph" w:customStyle="1" w:styleId="MarginEdition">
    <w:name w:val="Margin Edition"/>
    <w:basedOn w:val="MarginNote"/>
    <w:rsid w:val="00F75344"/>
    <w:pPr>
      <w:spacing w:before="0" w:after="0"/>
    </w:pPr>
    <w:rPr>
      <w:rFonts w:ascii="Times New Roman" w:hAnsi="Times New Roman"/>
      <w:color w:val="999999"/>
    </w:rPr>
  </w:style>
  <w:style w:type="paragraph" w:customStyle="1" w:styleId="Spacer">
    <w:name w:val="Spacer"/>
    <w:basedOn w:val="Normal"/>
    <w:rsid w:val="00F75344"/>
    <w:rPr>
      <w:sz w:val="2"/>
      <w:szCs w:val="2"/>
    </w:rPr>
  </w:style>
  <w:style w:type="character" w:customStyle="1" w:styleId="Small">
    <w:name w:val="Small"/>
    <w:basedOn w:val="DefaultParagraphFont"/>
    <w:rsid w:val="00F75344"/>
    <w:rPr>
      <w:sz w:val="16"/>
    </w:rPr>
  </w:style>
  <w:style w:type="paragraph" w:customStyle="1" w:styleId="WideTable">
    <w:name w:val="Wide Table"/>
    <w:basedOn w:val="Normal"/>
    <w:rsid w:val="00F75344"/>
    <w:pPr>
      <w:ind w:left="-1418"/>
    </w:pPr>
    <w:rPr>
      <w:sz w:val="2"/>
      <w:szCs w:val="2"/>
    </w:rPr>
  </w:style>
  <w:style w:type="character" w:styleId="PageNumber">
    <w:name w:val="page number"/>
    <w:basedOn w:val="DefaultParagraphFont"/>
    <w:rsid w:val="00F75344"/>
  </w:style>
  <w:style w:type="paragraph" w:styleId="Quote">
    <w:name w:val="Quote"/>
    <w:basedOn w:val="Heading1"/>
    <w:link w:val="QuoteChar"/>
    <w:qFormat/>
    <w:rsid w:val="00F75344"/>
    <w:rPr>
      <w:b w:val="0"/>
      <w:sz w:val="72"/>
      <w:szCs w:val="72"/>
      <w:lang w:val="en-NZ"/>
    </w:rPr>
  </w:style>
  <w:style w:type="character" w:customStyle="1" w:styleId="QuoteChar">
    <w:name w:val="Quote Char"/>
    <w:basedOn w:val="DefaultParagraphFont"/>
    <w:link w:val="Quote"/>
    <w:rsid w:val="00F753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344"/>
    <w:pPr>
      <w:pageBreakBefore/>
    </w:pPr>
  </w:style>
  <w:style w:type="paragraph" w:customStyle="1" w:styleId="Border">
    <w:name w:val="Border"/>
    <w:basedOn w:val="Normal"/>
    <w:qFormat/>
    <w:rsid w:val="00F753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344"/>
    <w:rPr>
      <w:b/>
      <w:bCs/>
      <w:i/>
      <w:iCs/>
      <w:color w:val="auto"/>
    </w:rPr>
  </w:style>
  <w:style w:type="paragraph" w:styleId="IntenseQuote">
    <w:name w:val="Intense Quote"/>
    <w:basedOn w:val="Normal"/>
    <w:next w:val="Normal"/>
    <w:link w:val="IntenseQuoteChar"/>
    <w:uiPriority w:val="30"/>
    <w:qFormat/>
    <w:rsid w:val="00F753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3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344"/>
    <w:rPr>
      <w:smallCaps/>
      <w:color w:val="auto"/>
      <w:u w:val="single"/>
    </w:rPr>
  </w:style>
  <w:style w:type="character" w:styleId="IntenseReference">
    <w:name w:val="Intense Reference"/>
    <w:basedOn w:val="DefaultParagraphFont"/>
    <w:uiPriority w:val="32"/>
    <w:qFormat/>
    <w:rsid w:val="00F75344"/>
    <w:rPr>
      <w:b/>
      <w:bCs/>
      <w:smallCaps/>
      <w:color w:val="auto"/>
      <w:spacing w:val="5"/>
      <w:u w:val="single"/>
    </w:rPr>
  </w:style>
  <w:style w:type="paragraph" w:customStyle="1" w:styleId="2ColumnHeading">
    <w:name w:val="2Column Heading"/>
    <w:basedOn w:val="BodyText"/>
    <w:qFormat/>
    <w:rsid w:val="00F75344"/>
    <w:pPr>
      <w:spacing w:after="60"/>
      <w:ind w:left="-2268"/>
    </w:pPr>
    <w:rPr>
      <w:b/>
    </w:rPr>
  </w:style>
  <w:style w:type="paragraph" w:customStyle="1" w:styleId="Heading1TOC">
    <w:name w:val="Heading1 TOC"/>
    <w:basedOn w:val="Normal"/>
    <w:qFormat/>
    <w:rsid w:val="00F75344"/>
    <w:pPr>
      <w:spacing w:before="240" w:after="120"/>
    </w:pPr>
    <w:rPr>
      <w:rFonts w:ascii="Times New Roman" w:hAnsi="Times New Roman"/>
      <w:b/>
      <w:sz w:val="32"/>
    </w:rPr>
  </w:style>
  <w:style w:type="paragraph" w:customStyle="1" w:styleId="Heading2TOC">
    <w:name w:val="Heading2 TOC"/>
    <w:basedOn w:val="Normal"/>
    <w:qFormat/>
    <w:rsid w:val="00F75344"/>
    <w:pPr>
      <w:spacing w:before="240" w:after="60"/>
    </w:pPr>
    <w:rPr>
      <w:rFonts w:ascii="Times New Roman" w:hAnsi="Times New Roman"/>
      <w:b/>
      <w:sz w:val="28"/>
    </w:rPr>
  </w:style>
  <w:style w:type="character" w:customStyle="1" w:styleId="Underline">
    <w:name w:val="Underline"/>
    <w:basedOn w:val="DefaultParagraphFont"/>
    <w:qFormat/>
    <w:rsid w:val="00F75344"/>
    <w:rPr>
      <w:u w:val="single"/>
    </w:rPr>
  </w:style>
  <w:style w:type="character" w:customStyle="1" w:styleId="BoldandItalics">
    <w:name w:val="Bold and Italics"/>
    <w:qFormat/>
    <w:rsid w:val="00F75344"/>
    <w:rPr>
      <w:b/>
      <w:i/>
      <w:u w:val="none"/>
    </w:rPr>
  </w:style>
  <w:style w:type="paragraph" w:styleId="BalloonText">
    <w:name w:val="Balloon Text"/>
    <w:basedOn w:val="Normal"/>
    <w:link w:val="BalloonTextChar"/>
    <w:rsid w:val="00F75344"/>
    <w:rPr>
      <w:rFonts w:ascii="Tahoma" w:hAnsi="Tahoma" w:cs="Tahoma"/>
      <w:sz w:val="16"/>
      <w:szCs w:val="16"/>
    </w:rPr>
  </w:style>
  <w:style w:type="character" w:customStyle="1" w:styleId="BalloonTextChar">
    <w:name w:val="Balloon Text Char"/>
    <w:basedOn w:val="DefaultParagraphFont"/>
    <w:link w:val="BalloonText"/>
    <w:rsid w:val="00F753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3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53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344"/>
    <w:rPr>
      <w:b/>
      <w:color w:val="660033"/>
      <w:spacing w:val="0"/>
    </w:rPr>
  </w:style>
  <w:style w:type="paragraph" w:customStyle="1" w:styleId="Nameditemlist">
    <w:name w:val="Named item list"/>
    <w:basedOn w:val="BodyText"/>
    <w:qFormat/>
    <w:rsid w:val="00F753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1775</Words>
  <Characters>10591</Characters>
  <Application>Microsoft Office Word</Application>
  <DocSecurity>0</DocSecurity>
  <Lines>413</Lines>
  <Paragraphs>174</Paragraphs>
  <ScaleCrop>false</ScaleCrop>
  <Company>Author-it Software Corporation Ltd.</Company>
  <LinksUpToDate>false</LinksUpToDate>
  <CharactersWithSpaces>12238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UEENEEG188A Prepare quotations for the supply of effective and efficient lighting products for lighting projects</dc:title>
  <dc:subject>Approved</dc:subject>
  <dc:creator>E-OZ Training Standards</dc:creator>
  <cp:keywords>Release: 2</cp:keywords>
  <dc:description>Review Date: 12 April 2008</dc:description>
  <cp:lastModifiedBy>TPCMS</cp:lastModifiedBy>
  <cp:revision>3</cp:revision>
  <dcterms:created xsi:type="dcterms:W3CDTF">2013-08-14T07:15:00Z</dcterms:created>
  <dcterms:modified xsi:type="dcterms:W3CDTF">2013-08-14T07:15:00Z</dcterms:modified>
</cp:coreProperties>
</file>