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6331" w:rsidP="00996331">
      <w:pPr>
        <w:pStyle w:val="Title"/>
      </w:pPr>
      <w:r>
        <w:fldChar w:fldCharType="begin"/>
      </w:r>
      <w:r>
        <w:instrText xml:space="preserve"> TITLE   \* MERGEFORMAT </w:instrText>
      </w:r>
      <w:r>
        <w:fldChar w:fldCharType="separate"/>
      </w:r>
      <w:r>
        <w:t>UEENEEG185A Select effective and efficient light sources and luminaries for given locations and designs</w:t>
      </w:r>
      <w:r>
        <w:fldChar w:fldCharType="end"/>
      </w:r>
    </w:p>
    <w:p w:rsidR="00996331" w:rsidP="00996331">
      <w:pPr>
        <w:pStyle w:val="Version"/>
        <w:sectPr w:rsidSect="00A87F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87F69" w:rsidP="00A87F69">
      <w:pPr>
        <w:pStyle w:val="SuperHeading"/>
      </w:pPr>
      <w:r w:rsidRPr="00A87F69">
        <w:t>UEENEEG185A Select effective and efficient light sources and luminaries for given locations and designs</w:t>
      </w:r>
    </w:p>
    <w:p w:rsidR="00000000" w:rsidRPr="00A87F69" w:rsidP="00A87F69">
      <w:pPr>
        <w:pStyle w:val="Heading1"/>
      </w:pPr>
      <w:bookmarkStart w:id="1" w:name="O_586559"/>
      <w:bookmarkEnd w:id="1"/>
      <w:r w:rsidRPr="00A87F69">
        <w:t>Modification History</w:t>
      </w:r>
    </w:p>
    <w:p w:rsidR="00000000" w:rsidRPr="00A87F69" w:rsidP="00A87F69">
      <w:pPr>
        <w:pStyle w:val="BodyText"/>
      </w:pPr>
      <w:r w:rsidRPr="00A87F69">
        <w:t>Not applicable.</w:t>
      </w:r>
    </w:p>
    <w:p w:rsidR="00000000" w:rsidRPr="00A87F69" w:rsidP="00A87F69">
      <w:pPr>
        <w:pStyle w:val="AllowPageBreak"/>
      </w:pPr>
    </w:p>
    <w:p w:rsidR="00000000" w:rsidRPr="00A87F69" w:rsidP="00A87F69">
      <w:pPr>
        <w:pStyle w:val="Heading1"/>
      </w:pPr>
      <w:bookmarkStart w:id="2" w:name="O_586558"/>
      <w:bookmarkEnd w:id="2"/>
      <w:r w:rsidRPr="00A87F69">
        <w:t>Unit Descriptor</w:t>
      </w:r>
    </w:p>
    <w:tbl>
      <w:tblPr>
        <w:tblW w:w="0" w:type="auto"/>
        <w:tblLayout w:type="fixed"/>
        <w:tblCellMar>
          <w:left w:w="62" w:type="dxa"/>
          <w:right w:w="62" w:type="dxa"/>
        </w:tblCellMar>
        <w:tblLook w:val="0000"/>
      </w:tblPr>
      <w:tblGrid>
        <w:gridCol w:w="2700"/>
        <w:gridCol w:w="5760"/>
      </w:tblGrid>
      <w:tr w:rsidTr="0099633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87F69" w:rsidP="00A87F69">
            <w:pPr>
              <w:pStyle w:val="BodyText"/>
            </w:pPr>
            <w:r w:rsidRPr="00A87F6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87F69">
            <w:pPr>
              <w:pStyle w:val="BodyText"/>
              <w:rPr>
                <w:lang w:val="en-NZ"/>
              </w:rPr>
            </w:pPr>
            <w:r w:rsidRPr="00A87F69">
              <w:rPr>
                <w:rStyle w:val="SpecialBold"/>
              </w:rPr>
              <w:t>1)</w:t>
            </w:r>
            <w:r w:rsidRPr="00A87F69">
              <w:t xml:space="preserve"> </w:t>
            </w:r>
            <w:r w:rsidRPr="00A87F69">
              <w:rPr>
                <w:rStyle w:val="SpecialBold"/>
              </w:rPr>
              <w:t>Scope:</w:t>
            </w:r>
          </w:p>
        </w:tc>
      </w:tr>
      <w:tr w:rsidTr="00996331">
        <w:tblPrEx>
          <w:tblW w:w="0" w:type="auto"/>
          <w:tblLayout w:type="fixed"/>
          <w:tblCellMar>
            <w:left w:w="62" w:type="dxa"/>
            <w:right w:w="62" w:type="dxa"/>
          </w:tblCellMar>
          <w:tblLook w:val="0000"/>
        </w:tblPrEx>
        <w:trPr>
          <w:trHeight w:val="241"/>
        </w:trPr>
        <w:tc>
          <w:tcPr>
            <w:tcW w:w="2700" w:type="dxa"/>
            <w:tcBorders>
              <w:top w:val="nil"/>
              <w:left w:val="nil"/>
              <w:bottom w:val="nil"/>
              <w:right w:val="nil"/>
            </w:tcBorders>
            <w:tcMar>
              <w:top w:w="0" w:type="dxa"/>
              <w:left w:w="62" w:type="dxa"/>
              <w:bottom w:w="0" w:type="dxa"/>
              <w:right w:w="62" w:type="dxa"/>
            </w:tcMar>
          </w:tcPr>
          <w:p w:rsidR="00000000" w:rsidRPr="00A87F6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87F69">
            <w:pPr>
              <w:pStyle w:val="BodyText"/>
              <w:rPr>
                <w:lang w:val="en-NZ"/>
              </w:rPr>
            </w:pPr>
            <w:r w:rsidRPr="00A87F69">
              <w:rPr>
                <w:rStyle w:val="SpecialBold"/>
              </w:rPr>
              <w:t>1.1) Descriptor</w:t>
            </w:r>
          </w:p>
        </w:tc>
      </w:tr>
      <w:tr w:rsidTr="009963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87F69" w:rsidP="00A87F69">
            <w:pPr>
              <w:pStyle w:val="BodyText"/>
            </w:pPr>
            <w:r w:rsidRPr="00A87F69">
              <w:t xml:space="preserve">This unit covers the selecting effective and efficient light sources and luminaries for a given location and lighting design. It encompasses, applying knowledge of light sources and luminaries and given lighting design parameters, complying with standards </w:t>
            </w:r>
            <w:r w:rsidRPr="00A87F69">
              <w:t>and documenting justification for the selections made.</w:t>
            </w:r>
          </w:p>
        </w:tc>
      </w:tr>
    </w:tbl>
    <w:p w:rsidR="00000000" w:rsidRPr="00A87F69" w:rsidP="00A87F69">
      <w:pPr>
        <w:pStyle w:val="BodyText"/>
      </w:pPr>
    </w:p>
    <w:p w:rsidR="00000000" w:rsidRPr="00A87F69" w:rsidP="00A87F69">
      <w:pPr>
        <w:pStyle w:val="AllowPageBreak"/>
      </w:pPr>
    </w:p>
    <w:p w:rsidR="00000000" w:rsidRPr="00A87F69" w:rsidP="00A87F69">
      <w:pPr>
        <w:pStyle w:val="Heading1"/>
      </w:pPr>
      <w:bookmarkStart w:id="3" w:name="O_586557"/>
      <w:bookmarkEnd w:id="3"/>
      <w:r w:rsidRPr="00A87F69">
        <w:t>Application of the Unit</w:t>
      </w:r>
    </w:p>
    <w:tbl>
      <w:tblPr>
        <w:tblW w:w="0" w:type="auto"/>
        <w:tblLayout w:type="fixed"/>
        <w:tblCellMar>
          <w:left w:w="62" w:type="dxa"/>
          <w:right w:w="62" w:type="dxa"/>
        </w:tblCellMar>
        <w:tblLook w:val="0000"/>
      </w:tblPr>
      <w:tblGrid>
        <w:gridCol w:w="2672"/>
        <w:gridCol w:w="5699"/>
      </w:tblGrid>
      <w:tr w:rsidTr="0099633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A87F69" w:rsidP="00A87F69">
            <w:pPr>
              <w:pStyle w:val="BodyText"/>
            </w:pPr>
            <w:r w:rsidRPr="00A87F69">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A87F69">
            <w:pPr>
              <w:pStyle w:val="BodyText"/>
              <w:rPr>
                <w:lang w:val="en-NZ"/>
              </w:rPr>
            </w:pPr>
            <w:r w:rsidRPr="00A87F69">
              <w:rPr>
                <w:rStyle w:val="SpecialBold"/>
              </w:rPr>
              <w:t>2)</w:t>
            </w:r>
          </w:p>
        </w:tc>
      </w:tr>
      <w:tr w:rsidTr="0099633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A87F69" w:rsidP="00A87F69">
            <w:pPr>
              <w:pStyle w:val="BodyText"/>
            </w:pPr>
            <w:r w:rsidRPr="00A87F69">
              <w:t>This competency standard unit, together with its pre-requisite provides the foundation for specific application competencies in a number of areas.</w:t>
            </w:r>
          </w:p>
        </w:tc>
      </w:tr>
    </w:tbl>
    <w:p w:rsidR="00000000" w:rsidRPr="00A87F69" w:rsidP="00A87F69">
      <w:pPr>
        <w:pStyle w:val="BodyText"/>
      </w:pPr>
    </w:p>
    <w:p w:rsidR="00000000" w:rsidRPr="00A87F69" w:rsidP="00A87F69">
      <w:pPr>
        <w:pStyle w:val="AllowPageBreak"/>
      </w:pPr>
    </w:p>
    <w:p w:rsidR="00000000" w:rsidRPr="00A87F69" w:rsidP="00A87F69">
      <w:pPr>
        <w:pStyle w:val="Heading1"/>
      </w:pPr>
      <w:bookmarkStart w:id="4" w:name="O_586556"/>
      <w:bookmarkEnd w:id="4"/>
      <w:r w:rsidRPr="00A87F69">
        <w:t>Licensing/Regulatory Information</w:t>
      </w:r>
    </w:p>
    <w:tbl>
      <w:tblPr>
        <w:tblW w:w="0" w:type="auto"/>
        <w:tblLayout w:type="fixed"/>
        <w:tblCellMar>
          <w:left w:w="62" w:type="dxa"/>
          <w:right w:w="62" w:type="dxa"/>
        </w:tblCellMar>
        <w:tblLook w:val="0000"/>
      </w:tblPr>
      <w:tblGrid>
        <w:gridCol w:w="2700"/>
        <w:gridCol w:w="5760"/>
      </w:tblGrid>
      <w:tr w:rsidTr="0099633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87F69" w:rsidP="00A87F69">
            <w:pPr>
              <w:pStyle w:val="BodyText"/>
            </w:pPr>
            <w:r w:rsidRPr="00A87F6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A87F69">
            <w:pPr>
              <w:pStyle w:val="BodyText"/>
              <w:rPr>
                <w:lang w:val="en-NZ"/>
              </w:rPr>
            </w:pPr>
            <w:r w:rsidRPr="00A87F69">
              <w:rPr>
                <w:rStyle w:val="SpecialBold"/>
              </w:rPr>
              <w:t xml:space="preserve">3) </w:t>
            </w:r>
          </w:p>
        </w:tc>
      </w:tr>
      <w:tr w:rsidTr="009963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87F69" w:rsidP="00A87F69">
            <w:pPr>
              <w:pStyle w:val="BodyText"/>
            </w:pPr>
            <w:r w:rsidRPr="00A87F69">
              <w:t>The skills and knowledge described in this unit do not require a license to practice in the workplace. However, practice in this unit is subject to regulations directly related to occupational health and safety and where applicable contracts of training su</w:t>
            </w:r>
            <w:r w:rsidRPr="00A87F69">
              <w:t>ch as apprenticeships.</w:t>
            </w:r>
          </w:p>
        </w:tc>
      </w:tr>
    </w:tbl>
    <w:p w:rsidR="00000000" w:rsidRPr="00A87F69" w:rsidP="00A87F69">
      <w:pPr>
        <w:pStyle w:val="BodyText"/>
      </w:pPr>
    </w:p>
    <w:p w:rsidR="00000000" w:rsidRPr="00A87F69" w:rsidP="00A87F69">
      <w:pPr>
        <w:pStyle w:val="AllowPageBreak"/>
      </w:pPr>
    </w:p>
    <w:p w:rsidR="00000000" w:rsidRPr="00A87F69" w:rsidP="00A87F69">
      <w:pPr>
        <w:pStyle w:val="Heading1"/>
      </w:pPr>
      <w:bookmarkStart w:id="5" w:name="O_586555"/>
      <w:bookmarkEnd w:id="5"/>
      <w:r w:rsidRPr="00A87F69">
        <w:t>Pre-Requisites</w:t>
      </w:r>
    </w:p>
    <w:tbl>
      <w:tblPr>
        <w:tblW w:w="0" w:type="auto"/>
        <w:tblLayout w:type="fixed"/>
        <w:tblCellMar>
          <w:left w:w="62" w:type="dxa"/>
          <w:right w:w="62" w:type="dxa"/>
        </w:tblCellMar>
        <w:tblLook w:val="0000"/>
      </w:tblPr>
      <w:tblGrid>
        <w:gridCol w:w="2700"/>
        <w:gridCol w:w="1440"/>
        <w:gridCol w:w="4320"/>
      </w:tblGrid>
      <w:tr w:rsidTr="0099633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87F69" w:rsidP="00A87F69">
            <w:pPr>
              <w:pStyle w:val="BodyText"/>
            </w:pPr>
            <w:r w:rsidRPr="00A87F69">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A87F69">
            <w:pPr>
              <w:pStyle w:val="BodyText"/>
              <w:rPr>
                <w:lang w:val="en-NZ"/>
              </w:rPr>
            </w:pPr>
            <w:r w:rsidRPr="00A87F69">
              <w:rPr>
                <w:rStyle w:val="SpecialBold"/>
              </w:rPr>
              <w:t xml:space="preserve">4) </w:t>
            </w:r>
          </w:p>
        </w:tc>
      </w:tr>
      <w:tr w:rsidTr="00996331">
        <w:tblPrEx>
          <w:tblW w:w="0" w:type="auto"/>
          <w:tblLayout w:type="fixed"/>
          <w:tblCellMar>
            <w:left w:w="62" w:type="dxa"/>
            <w:right w:w="62" w:type="dxa"/>
          </w:tblCellMar>
          <w:tblLook w:val="0000"/>
        </w:tblPrEx>
        <w:trPr>
          <w:trHeight w:val="346"/>
        </w:trPr>
        <w:tc>
          <w:tcPr>
            <w:tcW w:w="2700" w:type="dxa"/>
            <w:tcBorders>
              <w:top w:val="nil"/>
              <w:left w:val="nil"/>
              <w:bottom w:val="nil"/>
              <w:right w:val="nil"/>
            </w:tcBorders>
            <w:tcMar>
              <w:top w:w="0" w:type="dxa"/>
              <w:left w:w="62" w:type="dxa"/>
              <w:bottom w:w="0" w:type="dxa"/>
              <w:right w:w="62" w:type="dxa"/>
            </w:tcMar>
          </w:tcPr>
          <w:p w:rsidR="00000000" w:rsidRPr="00A87F69" w:rsidP="00A87F69">
            <w:pPr>
              <w:pStyle w:val="BodyText"/>
            </w:pPr>
            <w:r w:rsidRPr="00A87F69">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A87F69">
            <w:pPr>
              <w:pStyle w:val="BodyText"/>
              <w:rPr>
                <w:lang w:val="en-NZ"/>
              </w:rPr>
            </w:pPr>
            <w:r w:rsidRPr="00A87F69">
              <w:rPr>
                <w:rStyle w:val="SpecialBold"/>
              </w:rPr>
              <w:t>4.1)</w:t>
            </w:r>
          </w:p>
        </w:tc>
      </w:tr>
      <w:tr w:rsidTr="009963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A87F69">
            <w:pPr>
              <w:pStyle w:val="BodyText"/>
              <w:rPr>
                <w:lang w:val="en-NZ"/>
              </w:rPr>
            </w:pPr>
            <w:r w:rsidRPr="00A87F69">
              <w:t>Granting competency in this unit shall be made only after competency in the following unit(s) has/have been confirmed.</w:t>
            </w:r>
          </w:p>
        </w:tc>
      </w:tr>
      <w:tr w:rsidTr="00996331">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87F69">
            <w:pPr>
              <w:pStyle w:val="BodyText"/>
              <w:rPr>
                <w:lang w:val="en-NZ"/>
              </w:rPr>
            </w:pPr>
            <w:r w:rsidRPr="00A87F69">
              <w:t>UEENEEG184A</w:t>
            </w:r>
          </w:p>
        </w:tc>
        <w:tc>
          <w:tcPr>
            <w:tcW w:w="4320" w:type="dxa"/>
            <w:tcBorders>
              <w:top w:val="nil"/>
              <w:left w:val="nil"/>
              <w:bottom w:val="nil"/>
              <w:right w:val="nil"/>
            </w:tcBorders>
            <w:tcMar>
              <w:top w:w="0" w:type="dxa"/>
              <w:left w:w="62" w:type="dxa"/>
              <w:bottom w:w="0" w:type="dxa"/>
              <w:right w:w="62" w:type="dxa"/>
            </w:tcMar>
          </w:tcPr>
          <w:p w:rsidR="00000000" w:rsidRPr="00A87F69" w:rsidP="00A87F69">
            <w:pPr>
              <w:pStyle w:val="BodyText"/>
            </w:pPr>
            <w:r w:rsidRPr="00A87F69">
              <w:t>Provide photometric data for illumination system design</w:t>
            </w:r>
          </w:p>
        </w:tc>
      </w:tr>
    </w:tbl>
    <w:p w:rsidR="00000000" w:rsidRPr="00A87F69" w:rsidP="00A87F69">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996331">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A87F69" w:rsidP="00A87F69">
            <w:pPr>
              <w:pStyle w:val="BodyText"/>
            </w:pPr>
            <w:r w:rsidRPr="00A87F6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A87F69">
            <w:pPr>
              <w:pStyle w:val="BodyText"/>
              <w:rPr>
                <w:lang w:val="en-NZ"/>
              </w:rPr>
            </w:pPr>
            <w:r w:rsidRPr="00A87F69">
              <w:rPr>
                <w:rStyle w:val="SpecialBold"/>
              </w:rPr>
              <w:t xml:space="preserve">4.2) </w:t>
            </w:r>
          </w:p>
        </w:tc>
      </w:tr>
      <w:tr w:rsidTr="009963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A87F69">
            <w:pPr>
              <w:pStyle w:val="BodyText"/>
              <w:rPr>
                <w:lang w:val="en-NZ"/>
              </w:rPr>
            </w:pPr>
            <w:r w:rsidRPr="00A87F69">
              <w:t>Participants are best equipped to achieve competency in this unit if they have reading, writing and numeracy skills indicated by the following scales. Descr</w:t>
            </w:r>
            <w:r w:rsidRPr="00A87F69">
              <w:t>iption of each scale is given in Volume 2, Part 3 ‘Literacy and Numeracy’</w:t>
            </w:r>
          </w:p>
        </w:tc>
      </w:tr>
      <w:tr w:rsidTr="009963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87F69">
            <w:pPr>
              <w:pStyle w:val="BodyText"/>
              <w:rPr>
                <w:lang w:val="en-NZ"/>
              </w:rPr>
            </w:pPr>
            <w:r w:rsidRPr="00A87F69">
              <w:t>Reading</w:t>
            </w:r>
          </w:p>
        </w:tc>
        <w:tc>
          <w:tcPr>
            <w:tcW w:w="810" w:type="dxa"/>
            <w:tcBorders>
              <w:top w:val="nil"/>
              <w:left w:val="nil"/>
              <w:bottom w:val="nil"/>
              <w:right w:val="nil"/>
            </w:tcBorders>
            <w:tcMar>
              <w:top w:w="0" w:type="dxa"/>
              <w:left w:w="62" w:type="dxa"/>
              <w:bottom w:w="0" w:type="dxa"/>
              <w:right w:w="62" w:type="dxa"/>
            </w:tcMar>
          </w:tcPr>
          <w:p w:rsidR="00000000" w:rsidP="00A87F69">
            <w:pPr>
              <w:pStyle w:val="BodyText"/>
              <w:rPr>
                <w:lang w:val="en-NZ"/>
              </w:rPr>
            </w:pPr>
            <w:r w:rsidRPr="00A87F69">
              <w:t>5</w:t>
            </w:r>
          </w:p>
        </w:tc>
        <w:tc>
          <w:tcPr>
            <w:tcW w:w="990" w:type="dxa"/>
            <w:tcBorders>
              <w:top w:val="nil"/>
              <w:left w:val="nil"/>
              <w:bottom w:val="nil"/>
              <w:right w:val="nil"/>
            </w:tcBorders>
            <w:tcMar>
              <w:top w:w="0" w:type="dxa"/>
              <w:left w:w="62" w:type="dxa"/>
              <w:bottom w:w="0" w:type="dxa"/>
              <w:right w:w="62" w:type="dxa"/>
            </w:tcMar>
          </w:tcPr>
          <w:p w:rsidR="00000000" w:rsidP="00A87F69">
            <w:pPr>
              <w:pStyle w:val="BodyText"/>
              <w:rPr>
                <w:lang w:val="en-NZ"/>
              </w:rPr>
            </w:pPr>
            <w:r w:rsidRPr="00A87F69">
              <w:t>Writing</w:t>
            </w:r>
          </w:p>
        </w:tc>
        <w:tc>
          <w:tcPr>
            <w:tcW w:w="900" w:type="dxa"/>
            <w:tcBorders>
              <w:top w:val="nil"/>
              <w:left w:val="nil"/>
              <w:bottom w:val="nil"/>
              <w:right w:val="nil"/>
            </w:tcBorders>
            <w:tcMar>
              <w:top w:w="0" w:type="dxa"/>
              <w:left w:w="62" w:type="dxa"/>
              <w:bottom w:w="0" w:type="dxa"/>
              <w:right w:w="62" w:type="dxa"/>
            </w:tcMar>
          </w:tcPr>
          <w:p w:rsidR="00000000" w:rsidP="00A87F69">
            <w:pPr>
              <w:pStyle w:val="BodyText"/>
              <w:rPr>
                <w:lang w:val="en-NZ"/>
              </w:rPr>
            </w:pPr>
            <w:r w:rsidRPr="00A87F69">
              <w:t>5</w:t>
            </w:r>
          </w:p>
        </w:tc>
        <w:tc>
          <w:tcPr>
            <w:tcW w:w="1260" w:type="dxa"/>
            <w:tcBorders>
              <w:top w:val="nil"/>
              <w:left w:val="nil"/>
              <w:bottom w:val="nil"/>
              <w:right w:val="nil"/>
            </w:tcBorders>
            <w:tcMar>
              <w:top w:w="0" w:type="dxa"/>
              <w:left w:w="62" w:type="dxa"/>
              <w:bottom w:w="0" w:type="dxa"/>
              <w:right w:w="62" w:type="dxa"/>
            </w:tcMar>
          </w:tcPr>
          <w:p w:rsidR="00000000" w:rsidP="00A87F69">
            <w:pPr>
              <w:pStyle w:val="BodyText"/>
              <w:rPr>
                <w:lang w:val="en-NZ"/>
              </w:rPr>
            </w:pPr>
            <w:r w:rsidRPr="00A87F69">
              <w:t>Numeracy</w:t>
            </w:r>
          </w:p>
        </w:tc>
        <w:tc>
          <w:tcPr>
            <w:tcW w:w="720" w:type="dxa"/>
            <w:tcBorders>
              <w:top w:val="nil"/>
              <w:left w:val="nil"/>
              <w:bottom w:val="nil"/>
              <w:right w:val="nil"/>
            </w:tcBorders>
            <w:tcMar>
              <w:top w:w="0" w:type="dxa"/>
              <w:left w:w="62" w:type="dxa"/>
              <w:bottom w:w="0" w:type="dxa"/>
              <w:right w:w="62" w:type="dxa"/>
            </w:tcMar>
          </w:tcPr>
          <w:p w:rsidR="00000000" w:rsidRPr="00A87F69" w:rsidP="00A87F69">
            <w:pPr>
              <w:pStyle w:val="BodyText"/>
            </w:pPr>
            <w:r w:rsidRPr="00A87F69">
              <w:t>5</w:t>
            </w:r>
          </w:p>
        </w:tc>
      </w:tr>
    </w:tbl>
    <w:p w:rsidR="00000000" w:rsidRPr="00A87F69" w:rsidP="00A87F69">
      <w:pPr>
        <w:pStyle w:val="BodyText"/>
      </w:pPr>
    </w:p>
    <w:p w:rsidR="00000000" w:rsidRPr="00A87F69" w:rsidP="00A87F69">
      <w:pPr>
        <w:pStyle w:val="AllowPageBreak"/>
      </w:pPr>
    </w:p>
    <w:p w:rsidR="00000000" w:rsidRPr="00A87F69" w:rsidP="00A87F69">
      <w:pPr>
        <w:pStyle w:val="Heading1"/>
      </w:pPr>
      <w:bookmarkStart w:id="6" w:name="O_586554"/>
      <w:bookmarkEnd w:id="6"/>
      <w:r w:rsidRPr="00A87F69">
        <w:t>Employability Skills Information</w:t>
      </w:r>
    </w:p>
    <w:tbl>
      <w:tblPr>
        <w:tblW w:w="0" w:type="auto"/>
        <w:tblLayout w:type="fixed"/>
        <w:tblCellMar>
          <w:left w:w="62" w:type="dxa"/>
          <w:right w:w="62" w:type="dxa"/>
        </w:tblCellMar>
        <w:tblLook w:val="0000"/>
      </w:tblPr>
      <w:tblGrid>
        <w:gridCol w:w="2700"/>
        <w:gridCol w:w="5760"/>
      </w:tblGrid>
      <w:tr w:rsidTr="0099633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87F69" w:rsidP="00A87F69">
            <w:pPr>
              <w:pStyle w:val="BodyText"/>
            </w:pPr>
            <w:r w:rsidRPr="00A87F6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A87F69">
            <w:pPr>
              <w:pStyle w:val="BodyText"/>
              <w:rPr>
                <w:lang w:val="en-NZ"/>
              </w:rPr>
            </w:pPr>
            <w:r w:rsidRPr="00A87F69">
              <w:rPr>
                <w:rStyle w:val="SpecialBold"/>
              </w:rPr>
              <w:t xml:space="preserve">5) </w:t>
            </w:r>
          </w:p>
        </w:tc>
      </w:tr>
      <w:tr w:rsidTr="009963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87F69" w:rsidP="00A87F69">
            <w:pPr>
              <w:pStyle w:val="BodyText"/>
            </w:pPr>
            <w:r w:rsidRPr="00A87F69">
              <w:t>The required outcomes described in this unit of co</w:t>
            </w:r>
            <w:r w:rsidRPr="00A87F69">
              <w:t>mpetency contain applicable facets of Employability Skills. The Employability Skills Summary of the qualification in which this unit of competency is packaged will assist in identifying Employability Skill requirements.</w:t>
            </w:r>
          </w:p>
        </w:tc>
      </w:tr>
    </w:tbl>
    <w:p w:rsidR="00000000" w:rsidRPr="00A87F69" w:rsidP="00A87F69">
      <w:pPr>
        <w:pStyle w:val="BodyText"/>
      </w:pPr>
    </w:p>
    <w:p w:rsidR="00000000" w:rsidRPr="00A87F69" w:rsidP="00A87F69">
      <w:pPr>
        <w:pStyle w:val="AllowPageBreak"/>
      </w:pPr>
    </w:p>
    <w:p w:rsidR="00000000" w:rsidRPr="00A87F69" w:rsidP="00A87F69">
      <w:pPr>
        <w:pStyle w:val="Heading1"/>
      </w:pPr>
      <w:bookmarkStart w:id="7" w:name="O_586553"/>
      <w:bookmarkEnd w:id="7"/>
      <w:r w:rsidRPr="00A87F69">
        <w:t>Elements and Perf</w:t>
      </w:r>
      <w:r w:rsidRPr="00A87F69">
        <w:t>ormance Criteria Pre-Content</w:t>
      </w:r>
    </w:p>
    <w:tbl>
      <w:tblPr>
        <w:tblW w:w="0" w:type="auto"/>
        <w:tblLayout w:type="fixed"/>
        <w:tblCellMar>
          <w:left w:w="62" w:type="dxa"/>
          <w:right w:w="62" w:type="dxa"/>
        </w:tblCellMar>
        <w:tblLook w:val="0000"/>
      </w:tblPr>
      <w:tblGrid>
        <w:gridCol w:w="2700"/>
        <w:gridCol w:w="5760"/>
      </w:tblGrid>
      <w:tr w:rsidTr="009963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87F69">
            <w:pPr>
              <w:pStyle w:val="BodyText"/>
              <w:rPr>
                <w:lang w:val="en-NZ"/>
              </w:rPr>
            </w:pPr>
            <w:r w:rsidRPr="00A87F69">
              <w:rPr>
                <w:rStyle w:val="SpecialBold"/>
              </w:rPr>
              <w:t>6)</w:t>
            </w:r>
            <w:r w:rsidRPr="00A87F69">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A87F69" w:rsidP="00A87F69">
            <w:pPr>
              <w:pStyle w:val="BodyText"/>
            </w:pPr>
            <w:r w:rsidRPr="00A87F69">
              <w:t>Performance Criteria describe the required performance needed to demonstrate achievement of the element. Assessment of performance is to be consistent wi</w:t>
            </w:r>
            <w:r w:rsidRPr="00A87F69">
              <w:t>th the Evidence Guide.</w:t>
            </w:r>
          </w:p>
        </w:tc>
      </w:tr>
    </w:tbl>
    <w:p w:rsidR="00000000" w:rsidRPr="00A87F69" w:rsidP="00A87F69">
      <w:pPr>
        <w:pStyle w:val="BodyText"/>
      </w:pPr>
    </w:p>
    <w:p w:rsidR="00000000" w:rsidRPr="00A87F69" w:rsidP="00A87F69">
      <w:pPr>
        <w:pStyle w:val="AllowPageBreak"/>
      </w:pPr>
    </w:p>
    <w:p w:rsidR="00000000" w:rsidRPr="00A87F69" w:rsidP="00A87F69">
      <w:pPr>
        <w:pStyle w:val="Heading1"/>
      </w:pPr>
      <w:bookmarkStart w:id="8" w:name="O_586552"/>
      <w:bookmarkEnd w:id="8"/>
      <w:r w:rsidRPr="00A87F6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99633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87F69" w:rsidP="00A87F69">
            <w:pPr>
              <w:pStyle w:val="BodyText"/>
            </w:pPr>
            <w:r w:rsidRPr="00A87F6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87F69">
            <w:pPr>
              <w:pStyle w:val="BodyText"/>
              <w:rPr>
                <w:lang w:val="en-NZ"/>
              </w:rPr>
            </w:pPr>
            <w:r w:rsidRPr="00A87F69">
              <w:rPr>
                <w:rStyle w:val="SpecialBold"/>
              </w:rPr>
              <w:t>PERFORMANCE CRITERIA</w:t>
            </w:r>
          </w:p>
        </w:tc>
      </w:tr>
      <w:tr w:rsidTr="0099633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87F69">
            <w:pPr>
              <w:pStyle w:val="BodyText"/>
              <w:rPr>
                <w:lang w:val="en-NZ"/>
              </w:rPr>
            </w:pPr>
            <w:r w:rsidRPr="00A87F69">
              <w:t>1</w:t>
            </w:r>
          </w:p>
        </w:tc>
        <w:tc>
          <w:tcPr>
            <w:tcW w:w="2296" w:type="dxa"/>
            <w:vMerge w:val="restart"/>
            <w:tcBorders>
              <w:top w:val="nil"/>
              <w:left w:val="nil"/>
              <w:bottom w:val="nil"/>
              <w:right w:val="nil"/>
            </w:tcBorders>
            <w:tcMar>
              <w:top w:w="0" w:type="dxa"/>
              <w:left w:w="62" w:type="dxa"/>
              <w:bottom w:w="0" w:type="dxa"/>
              <w:right w:w="62" w:type="dxa"/>
            </w:tcMar>
          </w:tcPr>
          <w:p w:rsidR="00000000" w:rsidP="00A87F69">
            <w:pPr>
              <w:pStyle w:val="BodyText"/>
              <w:rPr>
                <w:lang w:val="en-NZ"/>
              </w:rPr>
            </w:pPr>
            <w:r w:rsidRPr="00A87F69">
              <w:t>Prepare to select light sources and luminaries</w:t>
            </w:r>
          </w:p>
        </w:tc>
        <w:tc>
          <w:tcPr>
            <w:tcW w:w="900" w:type="dxa"/>
            <w:tcBorders>
              <w:top w:val="nil"/>
              <w:left w:val="nil"/>
              <w:bottom w:val="nil"/>
              <w:right w:val="nil"/>
            </w:tcBorders>
            <w:tcMar>
              <w:top w:w="0" w:type="dxa"/>
              <w:left w:w="62" w:type="dxa"/>
              <w:bottom w:w="0" w:type="dxa"/>
              <w:right w:w="62" w:type="dxa"/>
            </w:tcMar>
          </w:tcPr>
          <w:p w:rsidR="00000000" w:rsidP="00A87F69">
            <w:pPr>
              <w:pStyle w:val="BodyText"/>
              <w:rPr>
                <w:lang w:val="en-NZ"/>
              </w:rPr>
            </w:pPr>
            <w:r w:rsidRPr="00A87F69">
              <w:t>1.1</w:t>
            </w:r>
          </w:p>
        </w:tc>
        <w:tc>
          <w:tcPr>
            <w:tcW w:w="4860" w:type="dxa"/>
            <w:tcBorders>
              <w:top w:val="nil"/>
              <w:left w:val="nil"/>
              <w:bottom w:val="nil"/>
              <w:right w:val="nil"/>
            </w:tcBorders>
            <w:tcMar>
              <w:top w:w="0" w:type="dxa"/>
              <w:left w:w="62" w:type="dxa"/>
              <w:bottom w:w="0" w:type="dxa"/>
              <w:right w:w="62" w:type="dxa"/>
            </w:tcMar>
          </w:tcPr>
          <w:p w:rsidR="00000000" w:rsidP="00A87F69">
            <w:pPr>
              <w:pStyle w:val="BodyText"/>
              <w:rPr>
                <w:lang w:val="en-NZ"/>
              </w:rPr>
            </w:pPr>
            <w:r w:rsidRPr="00A87F69">
              <w:t>OHS procedures for a given work area are identified, obtained and understood.</w:t>
            </w:r>
          </w:p>
        </w:tc>
      </w:tr>
      <w:tr w:rsidTr="0099633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7F69">
            <w:pPr>
              <w:pStyle w:val="BodyText"/>
              <w:rPr>
                <w:lang w:val="en-NZ"/>
              </w:rPr>
            </w:pPr>
            <w:r w:rsidRPr="00A87F69">
              <w:t>1.2</w:t>
            </w:r>
          </w:p>
        </w:tc>
        <w:tc>
          <w:tcPr>
            <w:tcW w:w="4860" w:type="dxa"/>
            <w:tcBorders>
              <w:top w:val="nil"/>
              <w:left w:val="nil"/>
              <w:bottom w:val="nil"/>
              <w:right w:val="nil"/>
            </w:tcBorders>
            <w:tcMar>
              <w:top w:w="0" w:type="dxa"/>
              <w:left w:w="62" w:type="dxa"/>
              <w:bottom w:w="0" w:type="dxa"/>
              <w:right w:w="62" w:type="dxa"/>
            </w:tcMar>
          </w:tcPr>
          <w:p w:rsidR="00000000" w:rsidP="00A87F69">
            <w:pPr>
              <w:pStyle w:val="BodyText"/>
              <w:rPr>
                <w:lang w:val="en-NZ"/>
              </w:rPr>
            </w:pPr>
            <w:r w:rsidRPr="00A87F69">
              <w:t>The parameters of the lighting design are obtained from a design brief, job specification or by consultation with the client.</w:t>
            </w:r>
          </w:p>
        </w:tc>
      </w:tr>
      <w:tr w:rsidTr="0099633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7F69">
            <w:pPr>
              <w:pStyle w:val="BodyText"/>
              <w:rPr>
                <w:lang w:val="en-NZ"/>
              </w:rPr>
            </w:pPr>
            <w:r w:rsidRPr="00A87F69">
              <w:t>1.3</w:t>
            </w:r>
          </w:p>
        </w:tc>
        <w:tc>
          <w:tcPr>
            <w:tcW w:w="4860" w:type="dxa"/>
            <w:tcBorders>
              <w:top w:val="nil"/>
              <w:left w:val="nil"/>
              <w:bottom w:val="nil"/>
              <w:right w:val="nil"/>
            </w:tcBorders>
            <w:tcMar>
              <w:top w:w="0" w:type="dxa"/>
              <w:left w:w="62" w:type="dxa"/>
              <w:bottom w:w="0" w:type="dxa"/>
              <w:right w:w="62" w:type="dxa"/>
            </w:tcMar>
          </w:tcPr>
          <w:p w:rsidR="00000000" w:rsidP="00A87F69">
            <w:pPr>
              <w:pStyle w:val="BodyText"/>
              <w:rPr>
                <w:lang w:val="en-NZ"/>
              </w:rPr>
            </w:pPr>
            <w:r w:rsidRPr="00A87F69">
              <w:t>Compliance and recommended illumination parameters for particular situations and tasks are obtained and understood.</w:t>
            </w:r>
          </w:p>
        </w:tc>
      </w:tr>
      <w:tr w:rsidTr="0099633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7F69">
            <w:pPr>
              <w:pStyle w:val="BodyText"/>
              <w:rPr>
                <w:lang w:val="en-NZ"/>
              </w:rPr>
            </w:pPr>
            <w:r w:rsidRPr="00A87F69">
              <w:t>1.4</w:t>
            </w:r>
          </w:p>
        </w:tc>
        <w:tc>
          <w:tcPr>
            <w:tcW w:w="4860" w:type="dxa"/>
            <w:tcBorders>
              <w:top w:val="nil"/>
              <w:left w:val="nil"/>
              <w:bottom w:val="nil"/>
              <w:right w:val="nil"/>
            </w:tcBorders>
            <w:tcMar>
              <w:top w:w="0" w:type="dxa"/>
              <w:left w:w="62" w:type="dxa"/>
              <w:bottom w:w="0" w:type="dxa"/>
              <w:right w:w="62" w:type="dxa"/>
            </w:tcMar>
          </w:tcPr>
          <w:p w:rsidR="00000000" w:rsidP="00A87F69">
            <w:pPr>
              <w:pStyle w:val="BodyText"/>
              <w:rPr>
                <w:lang w:val="en-NZ"/>
              </w:rPr>
            </w:pPr>
            <w:r w:rsidRPr="00A87F69">
              <w:t xml:space="preserve">Lighting manufacturers’ technical information for products under consideration are obtained and understood </w:t>
            </w:r>
          </w:p>
        </w:tc>
      </w:tr>
      <w:tr w:rsidTr="0099633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87F69">
            <w:pPr>
              <w:pStyle w:val="BodyText"/>
              <w:rPr>
                <w:lang w:val="en-NZ"/>
              </w:rPr>
            </w:pPr>
            <w:r w:rsidRPr="00A87F69">
              <w:t>2</w:t>
            </w:r>
          </w:p>
        </w:tc>
        <w:tc>
          <w:tcPr>
            <w:tcW w:w="2296" w:type="dxa"/>
            <w:vMerge w:val="restart"/>
            <w:tcBorders>
              <w:top w:val="nil"/>
              <w:left w:val="nil"/>
              <w:bottom w:val="nil"/>
              <w:right w:val="nil"/>
            </w:tcBorders>
            <w:tcMar>
              <w:top w:w="0" w:type="dxa"/>
              <w:left w:w="62" w:type="dxa"/>
              <w:bottom w:w="0" w:type="dxa"/>
              <w:right w:w="62" w:type="dxa"/>
            </w:tcMar>
          </w:tcPr>
          <w:p w:rsidR="00000000" w:rsidP="00A87F69">
            <w:pPr>
              <w:pStyle w:val="BodyText"/>
              <w:rPr>
                <w:lang w:val="en-NZ"/>
              </w:rPr>
            </w:pPr>
            <w:r w:rsidRPr="00A87F69">
              <w:t>Select light sources and luminaries</w:t>
            </w:r>
          </w:p>
        </w:tc>
        <w:tc>
          <w:tcPr>
            <w:tcW w:w="900" w:type="dxa"/>
            <w:tcBorders>
              <w:top w:val="nil"/>
              <w:left w:val="nil"/>
              <w:bottom w:val="nil"/>
              <w:right w:val="nil"/>
            </w:tcBorders>
            <w:tcMar>
              <w:top w:w="0" w:type="dxa"/>
              <w:left w:w="62" w:type="dxa"/>
              <w:bottom w:w="0" w:type="dxa"/>
              <w:right w:w="62" w:type="dxa"/>
            </w:tcMar>
          </w:tcPr>
          <w:p w:rsidR="00000000" w:rsidP="00A87F69">
            <w:pPr>
              <w:pStyle w:val="BodyText"/>
              <w:rPr>
                <w:lang w:val="en-NZ"/>
              </w:rPr>
            </w:pPr>
            <w:r w:rsidRPr="00A87F69">
              <w:t>2.1</w:t>
            </w:r>
          </w:p>
        </w:tc>
        <w:tc>
          <w:tcPr>
            <w:tcW w:w="4860" w:type="dxa"/>
            <w:tcBorders>
              <w:top w:val="nil"/>
              <w:left w:val="nil"/>
              <w:bottom w:val="nil"/>
              <w:right w:val="nil"/>
            </w:tcBorders>
            <w:tcMar>
              <w:top w:w="0" w:type="dxa"/>
              <w:left w:w="62" w:type="dxa"/>
              <w:bottom w:w="0" w:type="dxa"/>
              <w:right w:w="62" w:type="dxa"/>
            </w:tcMar>
          </w:tcPr>
          <w:p w:rsidR="00000000" w:rsidP="00A87F69">
            <w:pPr>
              <w:pStyle w:val="BodyText"/>
              <w:rPr>
                <w:lang w:val="en-NZ"/>
              </w:rPr>
            </w:pPr>
            <w:r w:rsidRPr="00A87F69">
              <w:t>OHS risk control work measures and procedures are followed.</w:t>
            </w:r>
          </w:p>
        </w:tc>
      </w:tr>
      <w:tr w:rsidTr="0099633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7F69">
            <w:pPr>
              <w:pStyle w:val="BodyText"/>
              <w:rPr>
                <w:lang w:val="en-NZ"/>
              </w:rPr>
            </w:pPr>
            <w:r w:rsidRPr="00A87F69">
              <w:t>2.2</w:t>
            </w:r>
          </w:p>
        </w:tc>
        <w:tc>
          <w:tcPr>
            <w:tcW w:w="4860" w:type="dxa"/>
            <w:tcBorders>
              <w:top w:val="nil"/>
              <w:left w:val="nil"/>
              <w:bottom w:val="nil"/>
              <w:right w:val="nil"/>
            </w:tcBorders>
            <w:tcMar>
              <w:top w:w="0" w:type="dxa"/>
              <w:left w:w="62" w:type="dxa"/>
              <w:bottom w:w="0" w:type="dxa"/>
              <w:right w:w="62" w:type="dxa"/>
            </w:tcMar>
          </w:tcPr>
          <w:p w:rsidR="00000000" w:rsidP="00A87F69">
            <w:pPr>
              <w:pStyle w:val="BodyText"/>
              <w:rPr>
                <w:lang w:val="en-NZ"/>
              </w:rPr>
            </w:pPr>
            <w:r w:rsidRPr="00A87F69">
              <w:t>Knowledge of light sources and luminar</w:t>
            </w:r>
            <w:r w:rsidRPr="00A87F69">
              <w:t>ies are applied to selecting light sources and luminaries appropriate to given lighting design parameters.</w:t>
            </w:r>
          </w:p>
        </w:tc>
      </w:tr>
      <w:tr w:rsidTr="0099633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7F69">
            <w:pPr>
              <w:pStyle w:val="BodyText"/>
              <w:rPr>
                <w:lang w:val="en-NZ"/>
              </w:rPr>
            </w:pPr>
            <w:r w:rsidRPr="00A87F69">
              <w:t>2.3</w:t>
            </w:r>
          </w:p>
        </w:tc>
        <w:tc>
          <w:tcPr>
            <w:tcW w:w="4860" w:type="dxa"/>
            <w:tcBorders>
              <w:top w:val="nil"/>
              <w:left w:val="nil"/>
              <w:bottom w:val="nil"/>
              <w:right w:val="nil"/>
            </w:tcBorders>
            <w:tcMar>
              <w:top w:w="0" w:type="dxa"/>
              <w:left w:w="62" w:type="dxa"/>
              <w:bottom w:w="0" w:type="dxa"/>
              <w:right w:w="62" w:type="dxa"/>
            </w:tcMar>
          </w:tcPr>
          <w:p w:rsidR="00000000" w:rsidP="00A87F69">
            <w:pPr>
              <w:pStyle w:val="BodyText"/>
              <w:rPr>
                <w:lang w:val="en-NZ"/>
              </w:rPr>
            </w:pPr>
            <w:r w:rsidRPr="00A87F69">
              <w:t>Selected light sources and luminaries are within the illumination compliance requirements and standards for the given design.</w:t>
            </w:r>
          </w:p>
        </w:tc>
      </w:tr>
      <w:tr w:rsidTr="0099633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7F69">
            <w:pPr>
              <w:pStyle w:val="BodyText"/>
              <w:rPr>
                <w:lang w:val="en-NZ"/>
              </w:rPr>
            </w:pPr>
            <w:r w:rsidRPr="00A87F69">
              <w:t>2.4</w:t>
            </w:r>
          </w:p>
        </w:tc>
        <w:tc>
          <w:tcPr>
            <w:tcW w:w="4860" w:type="dxa"/>
            <w:tcBorders>
              <w:top w:val="nil"/>
              <w:left w:val="nil"/>
              <w:bottom w:val="nil"/>
              <w:right w:val="nil"/>
            </w:tcBorders>
            <w:tcMar>
              <w:top w:w="0" w:type="dxa"/>
              <w:left w:w="62" w:type="dxa"/>
              <w:bottom w:w="0" w:type="dxa"/>
              <w:right w:w="62" w:type="dxa"/>
            </w:tcMar>
          </w:tcPr>
          <w:p w:rsidR="00000000" w:rsidP="00A87F69">
            <w:pPr>
              <w:pStyle w:val="BodyText"/>
              <w:rPr>
                <w:lang w:val="en-NZ"/>
              </w:rPr>
            </w:pPr>
            <w:r w:rsidRPr="00A87F69">
              <w:t>Selected light sources and luminaries are documented, including justification for conclusion, in accordance with established procedures.</w:t>
            </w:r>
          </w:p>
        </w:tc>
      </w:tr>
      <w:tr w:rsidTr="0099633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87F69">
            <w:pPr>
              <w:pStyle w:val="BodyText"/>
              <w:rPr>
                <w:lang w:val="en-NZ"/>
              </w:rPr>
            </w:pPr>
            <w:r w:rsidRPr="00A87F69">
              <w:t>2.5</w:t>
            </w:r>
          </w:p>
        </w:tc>
        <w:tc>
          <w:tcPr>
            <w:tcW w:w="4860" w:type="dxa"/>
            <w:tcBorders>
              <w:top w:val="nil"/>
              <w:left w:val="nil"/>
              <w:bottom w:val="nil"/>
              <w:right w:val="nil"/>
            </w:tcBorders>
            <w:tcMar>
              <w:top w:w="0" w:type="dxa"/>
              <w:left w:w="62" w:type="dxa"/>
              <w:bottom w:w="0" w:type="dxa"/>
              <w:right w:w="62" w:type="dxa"/>
            </w:tcMar>
          </w:tcPr>
          <w:p w:rsidR="00000000" w:rsidRPr="00A87F69" w:rsidP="00A87F69">
            <w:pPr>
              <w:pStyle w:val="BodyText"/>
            </w:pPr>
            <w:r w:rsidRPr="00A87F69">
              <w:t>Documentation of the selected light sources and luminaries is forwarded to appropriate personnel in accordance w</w:t>
            </w:r>
            <w:r w:rsidRPr="00A87F69">
              <w:t>ith established procedures.</w:t>
            </w:r>
          </w:p>
        </w:tc>
      </w:tr>
    </w:tbl>
    <w:p w:rsidR="00000000" w:rsidRPr="00A87F69" w:rsidP="00A87F69">
      <w:pPr>
        <w:pStyle w:val="BodyText"/>
      </w:pPr>
    </w:p>
    <w:p w:rsidR="00000000" w:rsidRPr="00A87F69" w:rsidP="00A87F69">
      <w:pPr>
        <w:pStyle w:val="AllowPageBreak"/>
      </w:pPr>
    </w:p>
    <w:p w:rsidR="00000000" w:rsidRPr="00A87F69" w:rsidP="00A87F69">
      <w:pPr>
        <w:pStyle w:val="Heading1"/>
      </w:pPr>
      <w:bookmarkStart w:id="9" w:name="O_586551"/>
      <w:bookmarkEnd w:id="9"/>
      <w:r w:rsidRPr="00A87F69">
        <w:t>Required Skills and Knowledge</w:t>
      </w:r>
    </w:p>
    <w:tbl>
      <w:tblPr>
        <w:tblW w:w="0" w:type="auto"/>
        <w:tblLayout w:type="fixed"/>
        <w:tblCellMar>
          <w:left w:w="62" w:type="dxa"/>
          <w:right w:w="62" w:type="dxa"/>
        </w:tblCellMar>
        <w:tblLook w:val="0000"/>
      </w:tblPr>
      <w:tblGrid>
        <w:gridCol w:w="8460"/>
      </w:tblGrid>
      <w:tr w:rsidTr="0099633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87F69">
            <w:pPr>
              <w:pStyle w:val="BodyText"/>
              <w:rPr>
                <w:lang w:val="en-NZ"/>
              </w:rPr>
            </w:pPr>
            <w:r w:rsidRPr="00A87F69">
              <w:rPr>
                <w:rStyle w:val="SpecialBold"/>
              </w:rPr>
              <w:t>REQUIRED SKILLS AND KNOWLEDGE</w:t>
            </w:r>
          </w:p>
        </w:tc>
      </w:tr>
      <w:tr w:rsidTr="00996331">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A87F69" w:rsidP="00A87F69">
            <w:pPr>
              <w:pStyle w:val="BodyText"/>
            </w:pPr>
            <w:r w:rsidRPr="00A87F69">
              <w:rPr>
                <w:rStyle w:val="SpecialBold"/>
              </w:rPr>
              <w:t>8)</w:t>
            </w:r>
            <w:r w:rsidRPr="00A87F69">
              <w:t xml:space="preserve"> This describes the essential skills and knowledge and their level, required for this unit.</w:t>
            </w:r>
          </w:p>
          <w:p w:rsidR="00000000" w:rsidRPr="00A87F69" w:rsidP="00A87F69">
            <w:pPr>
              <w:pStyle w:val="BodyText"/>
            </w:pPr>
            <w:r w:rsidRPr="00A87F69">
              <w:t>Evidence shall show that knowledge has been acquired of providing photometric data for illumination system design.</w:t>
            </w:r>
          </w:p>
          <w:p w:rsidR="00000000" w:rsidRPr="00A87F69" w:rsidP="00A87F69">
            <w:pPr>
              <w:pStyle w:val="BodyText"/>
            </w:pPr>
            <w:r w:rsidRPr="00A87F69">
              <w:t>All knowledge and skills detailed in this unit should be contextualised to current industry practices and technologies..</w:t>
            </w:r>
          </w:p>
          <w:p w:rsidR="00000000" w:rsidRPr="00A87F69" w:rsidP="00A87F69">
            <w:pPr>
              <w:pStyle w:val="BodyText"/>
            </w:pPr>
            <w:r w:rsidRPr="00A87F69">
              <w:rPr>
                <w:rStyle w:val="SpecialBold"/>
              </w:rPr>
              <w:t>KS01-EG185A</w:t>
            </w:r>
            <w:r w:rsidRPr="00A87F69">
              <w:rPr>
                <w:rStyle w:val="SpecialBold"/>
              </w:rPr>
              <w:tab/>
              <w:t xml:space="preserve">        </w:t>
            </w:r>
            <w:r w:rsidRPr="00A87F69">
              <w:rPr>
                <w:rStyle w:val="SpecialBold"/>
              </w:rPr>
              <w:t xml:space="preserve">       Light sources and luminaries</w:t>
            </w:r>
          </w:p>
          <w:p w:rsidR="00000000" w:rsidRPr="00A87F69" w:rsidP="00A87F69">
            <w:pPr>
              <w:pStyle w:val="BodyText"/>
            </w:pPr>
            <w:r w:rsidRPr="00A87F69">
              <w:t>Evidence shall show an understanding of light sources, lamps and luminaires to an extent indicated by the following aspects:</w:t>
            </w:r>
          </w:p>
          <w:p w:rsidR="00000000" w:rsidRPr="00A87F69" w:rsidP="00A87F69">
            <w:pPr>
              <w:pStyle w:val="BodyText"/>
            </w:pPr>
            <w:r w:rsidRPr="00A87F69">
              <w:t>T1</w:t>
            </w:r>
            <w:r w:rsidRPr="00A87F69">
              <w:tab/>
              <w:t xml:space="preserve">Types of light sources and their historic development including the practical requirements, </w:t>
            </w:r>
            <w:r w:rsidRPr="00A87F69">
              <w:t>advantages and disadvantages of light sources encompassing:</w:t>
            </w:r>
          </w:p>
          <w:p w:rsidR="00000000" w:rsidRPr="00A87F69" w:rsidP="00A87F69">
            <w:pPr>
              <w:pStyle w:val="ListBullet"/>
            </w:pPr>
            <w:r w:rsidRPr="00A87F69">
              <w:t>incandescent</w:t>
            </w:r>
          </w:p>
          <w:p w:rsidR="00000000" w:rsidRPr="00A87F69" w:rsidP="00A87F69">
            <w:pPr>
              <w:pStyle w:val="ListBullet"/>
            </w:pPr>
            <w:r w:rsidRPr="00A87F69">
              <w:t>electrical discharge in gases</w:t>
            </w:r>
          </w:p>
          <w:p w:rsidR="00000000" w:rsidRPr="00A87F69" w:rsidP="00A87F69">
            <w:pPr>
              <w:pStyle w:val="ListBullet"/>
            </w:pPr>
            <w:r w:rsidRPr="00A87F69">
              <w:t xml:space="preserve">tubular fluorescent </w:t>
            </w:r>
          </w:p>
          <w:p w:rsidR="00000000" w:rsidRPr="00A87F69" w:rsidP="00A87F69">
            <w:pPr>
              <w:pStyle w:val="ListBullet"/>
            </w:pPr>
            <w:r w:rsidRPr="00A87F69">
              <w:t>compact fluorescent types</w:t>
            </w:r>
          </w:p>
          <w:p w:rsidR="00000000" w:rsidRPr="00A87F69" w:rsidP="00A87F69">
            <w:pPr>
              <w:pStyle w:val="ListBullet"/>
            </w:pPr>
            <w:r w:rsidRPr="00A87F69">
              <w:t>phosphor types</w:t>
            </w:r>
          </w:p>
          <w:p w:rsidR="00000000" w:rsidRPr="00A87F69" w:rsidP="00A87F69">
            <w:pPr>
              <w:pStyle w:val="ListBullet"/>
            </w:pPr>
            <w:r w:rsidRPr="00A87F69">
              <w:t>low pressure sodium</w:t>
            </w:r>
          </w:p>
          <w:p w:rsidR="00000000" w:rsidRPr="00A87F69" w:rsidP="00A87F69">
            <w:pPr>
              <w:pStyle w:val="ListBullet"/>
            </w:pPr>
            <w:r w:rsidRPr="00A87F69">
              <w:t>high pressure sodium</w:t>
            </w:r>
          </w:p>
          <w:p w:rsidR="00000000" w:rsidRPr="00A87F69" w:rsidP="00A87F69">
            <w:pPr>
              <w:pStyle w:val="ListBullet"/>
            </w:pPr>
            <w:r w:rsidRPr="00A87F69">
              <w:t>metal halide</w:t>
            </w:r>
          </w:p>
          <w:p w:rsidR="00000000" w:rsidRPr="00A87F69" w:rsidP="00A87F69">
            <w:pPr>
              <w:pStyle w:val="ListBullet"/>
            </w:pPr>
            <w:r w:rsidRPr="00A87F69">
              <w:t>mercury vapour</w:t>
            </w:r>
          </w:p>
          <w:p w:rsidR="00000000" w:rsidRPr="00A87F69" w:rsidP="00A87F69">
            <w:pPr>
              <w:pStyle w:val="ListBullet"/>
            </w:pPr>
            <w:r w:rsidRPr="00A87F69">
              <w:t>tungsten halogen cycle lamps</w:t>
            </w:r>
          </w:p>
          <w:p w:rsidR="00000000" w:rsidRPr="00A87F69" w:rsidP="00A87F69">
            <w:pPr>
              <w:pStyle w:val="ListBullet"/>
            </w:pPr>
            <w:r w:rsidRPr="00A87F69">
              <w:t>neon and advertising tube types</w:t>
            </w:r>
          </w:p>
          <w:p w:rsidR="00000000" w:rsidRPr="00A87F69" w:rsidP="00A87F69">
            <w:pPr>
              <w:pStyle w:val="ListBullet"/>
            </w:pPr>
            <w:r w:rsidRPr="00A87F69">
              <w:t>LED technologies</w:t>
            </w:r>
          </w:p>
          <w:p w:rsidR="00000000" w:rsidRPr="00A87F69" w:rsidP="00A87F69">
            <w:pPr>
              <w:pStyle w:val="BodyText"/>
            </w:pPr>
            <w:r w:rsidRPr="00A87F69">
              <w:t>T2</w:t>
            </w:r>
            <w:r w:rsidRPr="00A87F69">
              <w:tab/>
              <w:t>Each practical lamp type is designated in terms encompassing:</w:t>
            </w:r>
          </w:p>
          <w:p w:rsidR="00000000" w:rsidRPr="00A87F69" w:rsidP="00A87F69">
            <w:pPr>
              <w:pStyle w:val="ListBullet"/>
            </w:pPr>
            <w:r w:rsidRPr="00A87F69">
              <w:t xml:space="preserve">luminous efficacy </w:t>
            </w:r>
          </w:p>
          <w:p w:rsidR="00000000" w:rsidRPr="00A87F69" w:rsidP="00A87F69">
            <w:pPr>
              <w:pStyle w:val="ListBullet"/>
            </w:pPr>
            <w:r w:rsidRPr="00A87F69">
              <w:t>spectral output</w:t>
            </w:r>
          </w:p>
          <w:p w:rsidR="00000000" w:rsidRPr="00A87F69" w:rsidP="00A87F69">
            <w:pPr>
              <w:pStyle w:val="ListBullet"/>
            </w:pPr>
            <w:r w:rsidRPr="00A87F69">
              <w:t>colour rendering</w:t>
            </w:r>
          </w:p>
          <w:p w:rsidR="00000000" w:rsidRPr="00A87F69" w:rsidP="00A87F69">
            <w:pPr>
              <w:pStyle w:val="ListBullet"/>
            </w:pPr>
            <w:r w:rsidRPr="00A87F69">
              <w:t>longevity of operation</w:t>
            </w:r>
          </w:p>
          <w:p w:rsidR="00000000" w:rsidRPr="00A87F69" w:rsidP="00A87F69">
            <w:pPr>
              <w:pStyle w:val="ListBullet"/>
            </w:pPr>
            <w:r w:rsidRPr="00A87F69">
              <w:t>supply requirements and control equip</w:t>
            </w:r>
            <w:r w:rsidRPr="00A87F69">
              <w:t>ment</w:t>
            </w:r>
          </w:p>
          <w:p w:rsidR="00000000" w:rsidRPr="00A87F69" w:rsidP="00A87F69">
            <w:pPr>
              <w:pStyle w:val="ListBullet"/>
            </w:pPr>
            <w:r w:rsidRPr="00A87F69">
              <w:t xml:space="preserve">cost </w:t>
            </w:r>
          </w:p>
          <w:p w:rsidR="00000000" w:rsidRPr="00A87F69" w:rsidP="00A87F69">
            <w:pPr>
              <w:pStyle w:val="ListBullet"/>
            </w:pPr>
            <w:r w:rsidRPr="00A87F69">
              <w:t>sustainability and recycling</w:t>
            </w:r>
          </w:p>
          <w:p w:rsidR="00000000" w:rsidRPr="00A87F69" w:rsidP="00A87F69">
            <w:pPr>
              <w:pStyle w:val="BodyText"/>
            </w:pPr>
            <w:r w:rsidRPr="00A87F69">
              <w:t>T3</w:t>
            </w:r>
            <w:r w:rsidRPr="00A87F69">
              <w:tab/>
              <w:t>Types of luminaire encompassing:</w:t>
            </w:r>
          </w:p>
          <w:p w:rsidR="00000000" w:rsidRPr="00A87F69" w:rsidP="00A87F69">
            <w:pPr>
              <w:pStyle w:val="ListBullet"/>
            </w:pPr>
            <w:r w:rsidRPr="00A87F69">
              <w:t>general design and types</w:t>
            </w:r>
          </w:p>
          <w:p w:rsidR="00000000" w:rsidRPr="00A87F69" w:rsidP="00A87F69">
            <w:pPr>
              <w:pStyle w:val="ListBullet"/>
            </w:pPr>
            <w:r w:rsidRPr="00A87F69">
              <w:t xml:space="preserve">provision of data on luminaires </w:t>
            </w:r>
          </w:p>
          <w:p w:rsidR="00000000" w:rsidRPr="00A87F69" w:rsidP="00A87F69">
            <w:pPr>
              <w:pStyle w:val="ListBullet"/>
            </w:pPr>
            <w:r w:rsidRPr="00A87F69">
              <w:t xml:space="preserve">methods of light control </w:t>
            </w:r>
          </w:p>
          <w:p w:rsidR="00000000" w:rsidRPr="00A87F69" w:rsidP="00A87F69">
            <w:pPr>
              <w:pStyle w:val="ListBullet"/>
            </w:pPr>
            <w:r w:rsidRPr="00A87F69">
              <w:t>properties of optical systems: refractors, reflectors, diffusers</w:t>
            </w:r>
          </w:p>
          <w:p w:rsidR="00000000" w:rsidRPr="00A87F69" w:rsidP="00A87F69">
            <w:pPr>
              <w:pStyle w:val="ListBullet"/>
            </w:pPr>
            <w:r w:rsidRPr="00A87F69">
              <w:t>luminance control techniques</w:t>
            </w:r>
          </w:p>
          <w:p w:rsidR="00000000" w:rsidRPr="00A87F69" w:rsidP="00A87F69">
            <w:pPr>
              <w:pStyle w:val="ListBullet"/>
            </w:pPr>
            <w:r w:rsidRPr="00A87F69">
              <w:t>luminaires and auxiliaries</w:t>
            </w:r>
          </w:p>
          <w:p w:rsidR="00000000" w:rsidRPr="00A87F69" w:rsidP="00A87F69">
            <w:pPr>
              <w:pStyle w:val="ListBullet"/>
            </w:pPr>
            <w:r w:rsidRPr="00A87F69">
              <w:t>Australian Standards for indoor and outdoor luminaires</w:t>
            </w:r>
          </w:p>
          <w:p w:rsidR="00000000" w:rsidRPr="00A87F69" w:rsidP="00A87F69">
            <w:pPr>
              <w:pStyle w:val="ListBullet"/>
            </w:pPr>
            <w:r w:rsidRPr="00A87F69">
              <w:t xml:space="preserve">calculation of utilisation factors  </w:t>
            </w:r>
          </w:p>
          <w:p w:rsidR="00000000" w:rsidRPr="00A87F69" w:rsidP="00A87F69">
            <w:pPr>
              <w:pStyle w:val="ListBullet"/>
            </w:pPr>
            <w:r w:rsidRPr="00A87F69">
              <w:t>provision of photometric data</w:t>
            </w:r>
          </w:p>
          <w:p w:rsidR="00000000" w:rsidRPr="00A87F69" w:rsidP="00A87F69">
            <w:pPr>
              <w:pStyle w:val="ListBullet"/>
            </w:pPr>
            <w:r w:rsidRPr="00A87F69">
              <w:t>luminance of various fittings</w:t>
            </w:r>
          </w:p>
          <w:p w:rsidR="00000000" w:rsidRPr="00A87F69" w:rsidP="00A87F69">
            <w:pPr>
              <w:pStyle w:val="BodyText"/>
            </w:pPr>
            <w:r w:rsidRPr="00A87F69">
              <w:t>T4</w:t>
            </w:r>
            <w:r w:rsidRPr="00A87F69">
              <w:tab/>
              <w:t>Natural lighting and building design</w:t>
            </w:r>
          </w:p>
          <w:p w:rsidR="00000000" w:rsidRPr="00A87F69" w:rsidP="00A87F69">
            <w:pPr>
              <w:pStyle w:val="BodyText"/>
            </w:pPr>
            <w:r w:rsidRPr="00A87F69">
              <w:t>T5</w:t>
            </w:r>
            <w:r w:rsidRPr="00A87F69">
              <w:tab/>
              <w:t>Techniques used to minimise energy</w:t>
            </w:r>
            <w:r w:rsidRPr="00A87F69">
              <w:t xml:space="preserve"> expenditure </w:t>
            </w:r>
          </w:p>
          <w:p w:rsidR="00000000" w:rsidRPr="00A87F69" w:rsidP="00A87F69">
            <w:pPr>
              <w:pStyle w:val="BodyText"/>
            </w:pPr>
            <w:r w:rsidRPr="00A87F69">
              <w:t>T6</w:t>
            </w:r>
            <w:r w:rsidRPr="00A87F69">
              <w:tab/>
              <w:t>Specific application lamps</w:t>
            </w:r>
          </w:p>
          <w:p w:rsidR="00000000" w:rsidRPr="00A87F69" w:rsidP="00A87F69">
            <w:pPr>
              <w:pStyle w:val="ListBullet"/>
            </w:pPr>
            <w:r w:rsidRPr="00A87F69">
              <w:t>specific task lamps</w:t>
            </w:r>
          </w:p>
          <w:p w:rsidR="00000000" w:rsidRPr="00A87F69" w:rsidP="00A87F69">
            <w:pPr>
              <w:pStyle w:val="ListBullet"/>
            </w:pPr>
            <w:r w:rsidRPr="00A87F69">
              <w:t>germicidal lamps</w:t>
            </w:r>
          </w:p>
          <w:p w:rsidR="00000000" w:rsidRPr="00A87F69" w:rsidP="00A87F69">
            <w:pPr>
              <w:pStyle w:val="ListBullet"/>
            </w:pPr>
            <w:r w:rsidRPr="00A87F69">
              <w:t>indoor agricultural or hydroponic lamps</w:t>
            </w:r>
          </w:p>
        </w:tc>
      </w:tr>
    </w:tbl>
    <w:p w:rsidR="00000000" w:rsidRPr="00A87F69" w:rsidP="00A87F69">
      <w:pPr>
        <w:pStyle w:val="BodyText"/>
      </w:pPr>
    </w:p>
    <w:p w:rsidR="00000000" w:rsidRPr="00A87F69" w:rsidP="00A87F69">
      <w:pPr>
        <w:pStyle w:val="AllowPageBreak"/>
      </w:pPr>
    </w:p>
    <w:p w:rsidR="00000000" w:rsidRPr="00A87F69" w:rsidP="00A87F69">
      <w:pPr>
        <w:pStyle w:val="Heading1"/>
      </w:pPr>
      <w:bookmarkStart w:id="10" w:name="O_586550"/>
      <w:bookmarkEnd w:id="10"/>
      <w:r w:rsidRPr="00A87F69">
        <w:t>Evidence Guide</w:t>
      </w:r>
    </w:p>
    <w:tbl>
      <w:tblPr>
        <w:tblW w:w="0" w:type="auto"/>
        <w:tblLayout w:type="fixed"/>
        <w:tblCellMar>
          <w:left w:w="62" w:type="dxa"/>
          <w:right w:w="62" w:type="dxa"/>
        </w:tblCellMar>
        <w:tblLook w:val="0000"/>
      </w:tblPr>
      <w:tblGrid>
        <w:gridCol w:w="8460"/>
      </w:tblGrid>
      <w:tr w:rsidTr="00996331">
        <w:tblPrEx>
          <w:tblW w:w="0" w:type="auto"/>
          <w:tblLayout w:type="fixed"/>
          <w:tblCellMar>
            <w:left w:w="62" w:type="dxa"/>
            <w:right w:w="62" w:type="dxa"/>
          </w:tblCellMar>
          <w:tblLook w:val="0000"/>
        </w:tblPrEx>
        <w:trPr>
          <w:trHeight w:val="481"/>
          <w:tblHeader/>
        </w:trPr>
        <w:tc>
          <w:tcPr>
            <w:tcW w:w="8460" w:type="dxa"/>
            <w:tcBorders>
              <w:top w:val="nil"/>
              <w:left w:val="nil"/>
              <w:bottom w:val="nil"/>
              <w:right w:val="nil"/>
            </w:tcBorders>
            <w:tcMar>
              <w:top w:w="0" w:type="dxa"/>
              <w:left w:w="62" w:type="dxa"/>
              <w:bottom w:w="0" w:type="dxa"/>
              <w:right w:w="62" w:type="dxa"/>
            </w:tcMar>
          </w:tcPr>
          <w:p w:rsidR="00000000" w:rsidP="00A87F69">
            <w:pPr>
              <w:pStyle w:val="BodyText"/>
              <w:rPr>
                <w:lang w:val="en-NZ"/>
              </w:rPr>
            </w:pPr>
            <w:r w:rsidRPr="00A87F69">
              <w:rPr>
                <w:rStyle w:val="SpecialBold"/>
              </w:rPr>
              <w:t>EVIDENCE GUIDE</w:t>
            </w:r>
          </w:p>
        </w:tc>
      </w:tr>
      <w:tr w:rsidTr="0099633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87F69" w:rsidP="00A87F69">
            <w:pPr>
              <w:pStyle w:val="BodyText"/>
            </w:pPr>
            <w:r w:rsidRPr="00A87F69">
              <w:rPr>
                <w:rStyle w:val="SpecialBold"/>
              </w:rPr>
              <w:t>9)</w:t>
            </w:r>
            <w:r w:rsidRPr="00A87F69">
              <w:t xml:space="preserve"> This provides essential advice for assessment of the unit. It must be read in conjunction with the performance criteria and the range statement of the unit and the Training Package Assessment Guidelines.</w:t>
            </w:r>
          </w:p>
          <w:p w:rsidR="00000000" w:rsidRPr="00A87F69" w:rsidP="00A87F69">
            <w:pPr>
              <w:pStyle w:val="BodyText"/>
            </w:pPr>
            <w:r w:rsidRPr="00A87F69">
              <w:t>The Evidence Guide forms an integral part of this u</w:t>
            </w:r>
            <w:r w:rsidRPr="00A87F69">
              <w:t>nit. It must be used in conjunction with all parts of the unit and performed in accordance with the Assessment Guidelines of this Training Package.</w:t>
            </w:r>
          </w:p>
        </w:tc>
      </w:tr>
    </w:tbl>
    <w:p w:rsidR="00000000" w:rsidRPr="00A87F69" w:rsidP="00A87F69">
      <w:pPr>
        <w:pStyle w:val="BodyText"/>
      </w:pPr>
    </w:p>
    <w:tbl>
      <w:tblPr>
        <w:tblW w:w="0" w:type="auto"/>
        <w:tblLayout w:type="fixed"/>
        <w:tblCellMar>
          <w:left w:w="62" w:type="dxa"/>
          <w:right w:w="62" w:type="dxa"/>
        </w:tblCellMar>
        <w:tblLook w:val="0000"/>
      </w:tblPr>
      <w:tblGrid>
        <w:gridCol w:w="1890"/>
        <w:gridCol w:w="6570"/>
      </w:tblGrid>
      <w:tr w:rsidTr="0099633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87F69" w:rsidP="00A87F69">
            <w:pPr>
              <w:pStyle w:val="BodyText"/>
            </w:pPr>
            <w:r w:rsidRPr="00A87F69">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A87F69">
            <w:pPr>
              <w:pStyle w:val="BodyText"/>
              <w:rPr>
                <w:lang w:val="en-NZ"/>
              </w:rPr>
            </w:pPr>
            <w:r w:rsidRPr="00A87F69">
              <w:rPr>
                <w:rStyle w:val="SpecialBold"/>
              </w:rPr>
              <w:t>9.1)</w:t>
            </w:r>
          </w:p>
        </w:tc>
      </w:tr>
      <w:tr w:rsidTr="0099633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87F69" w:rsidP="00A87F69">
            <w:pPr>
              <w:pStyle w:val="BodyText"/>
            </w:pPr>
            <w:r w:rsidRPr="00A87F69">
              <w:t>Longitudinal competency development approaches to assessment, such as Profiling, require data to be reliably gathered in a form that can be consistently interpreted over time. This approach is best utilised in Apprenticeship programs and reduces assessment</w:t>
            </w:r>
            <w:r w:rsidRPr="00A87F69">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A87F69">
              <w:t>ncy in a realistically simulated work environment. It is recognised that, in some circumstances, assessment in part or full can occur outside the workplace. However, it must be in accordance with industry and regulatory policy.</w:t>
            </w:r>
          </w:p>
          <w:p w:rsidR="00000000" w:rsidRPr="00A87F69" w:rsidP="00A87F69">
            <w:pPr>
              <w:pStyle w:val="BodyText"/>
            </w:pPr>
            <w:r w:rsidRPr="00A87F69">
              <w:t>Methods chosen for a particu</w:t>
            </w:r>
            <w:r w:rsidRPr="00A87F69">
              <w:t>lar assessment will be influenced by various factors. These include the extent of the assessment, the most effective locations for the assessment activities to take place, access to physical resources, additional safety measures that may be required and th</w:t>
            </w:r>
            <w:r w:rsidRPr="00A87F69">
              <w:t>e critical nature of the competencies being assessed.</w:t>
            </w:r>
          </w:p>
          <w:p w:rsidR="00000000" w:rsidRPr="00A87F69" w:rsidP="00A87F69">
            <w:pPr>
              <w:pStyle w:val="BodyText"/>
            </w:pPr>
            <w:r w:rsidRPr="00A87F69">
              <w:t>The critical safety nature of working with electricity, electrical equipment, gas or any other hazardous substance/material carries risk in deeming a person competent. Sources of evidence need to be ‘ri</w:t>
            </w:r>
            <w:r w:rsidRPr="00A87F69">
              <w:t>ch’ in nature to minimise error in judgment.</w:t>
            </w:r>
          </w:p>
          <w:p w:rsidR="00000000" w:rsidRPr="00A87F69" w:rsidP="00A87F69">
            <w:pPr>
              <w:pStyle w:val="BodyText"/>
            </w:pPr>
            <w:r w:rsidRPr="00A87F69">
              <w:t>Activities associated with normal everyday work have a bearing on the decision as to how much and how detailed the data gathered will contribute to its ‘richness’. Some skills are more critical to safety and ope</w:t>
            </w:r>
            <w:r w:rsidRPr="00A87F69">
              <w:t>rational requirements while the same skills may be more or less frequently practised. These points are raised for the assessors to consider when choosing an assessment method and developing assessment instruments. Sample assessment instruments are included</w:t>
            </w:r>
            <w:r w:rsidRPr="00A87F69">
              <w:t xml:space="preserve"> for Assessors in the Assessment Guidelines of this Training Package.</w:t>
            </w:r>
          </w:p>
        </w:tc>
      </w:tr>
    </w:tbl>
    <w:p w:rsidR="00000000" w:rsidRPr="00A87F69" w:rsidP="00A87F69">
      <w:pPr>
        <w:pStyle w:val="BodyText"/>
      </w:pPr>
    </w:p>
    <w:tbl>
      <w:tblPr>
        <w:tblW w:w="0" w:type="auto"/>
        <w:tblLayout w:type="fixed"/>
        <w:tblCellMar>
          <w:left w:w="62" w:type="dxa"/>
          <w:right w:w="62" w:type="dxa"/>
        </w:tblCellMar>
        <w:tblLook w:val="0000"/>
      </w:tblPr>
      <w:tblGrid>
        <w:gridCol w:w="1890"/>
        <w:gridCol w:w="6570"/>
      </w:tblGrid>
      <w:tr w:rsidTr="0099633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87F69" w:rsidP="00A87F69">
            <w:pPr>
              <w:pStyle w:val="BodyText"/>
            </w:pPr>
            <w:r w:rsidRPr="00A87F69">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A87F69">
            <w:pPr>
              <w:pStyle w:val="BodyText"/>
              <w:rPr>
                <w:lang w:val="en-NZ"/>
              </w:rPr>
            </w:pPr>
            <w:r w:rsidRPr="00A87F69">
              <w:rPr>
                <w:rStyle w:val="SpecialBold"/>
              </w:rPr>
              <w:t>9.2)</w:t>
            </w:r>
          </w:p>
        </w:tc>
      </w:tr>
      <w:tr w:rsidTr="00996331">
        <w:tblPrEx>
          <w:tblW w:w="0" w:type="auto"/>
          <w:tblLayout w:type="fixed"/>
          <w:tblCellMar>
            <w:left w:w="62" w:type="dxa"/>
            <w:right w:w="62" w:type="dxa"/>
          </w:tblCellMar>
          <w:tblLook w:val="0000"/>
        </w:tblPrEx>
        <w:trPr>
          <w:trHeight w:val="725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87F69" w:rsidP="00A87F69">
            <w:pPr>
              <w:pStyle w:val="BodyText"/>
            </w:pPr>
            <w:r w:rsidRPr="00A87F69">
              <w:t>Before the critical aspects of evidence are considered all prerequisites must be met.</w:t>
            </w:r>
          </w:p>
          <w:p w:rsidR="00000000" w:rsidRPr="00A87F69" w:rsidP="00A87F69">
            <w:pPr>
              <w:pStyle w:val="BodyText"/>
            </w:pPr>
            <w:r w:rsidRPr="00A87F69">
              <w:t>Evidence for c</w:t>
            </w:r>
            <w:r w:rsidRPr="00A87F69">
              <w:t>ompetence in this unit shall be considered holistically.  Each element and associated performance criteria shall be demonstrated on at least two occasions in accordance with the ‘Assessment Guidelines – UEE11’.  Evidence shall also comprise:</w:t>
            </w:r>
          </w:p>
          <w:p w:rsidR="00000000" w:rsidRPr="00A87F69" w:rsidP="00A87F69">
            <w:pPr>
              <w:pStyle w:val="ListBullet"/>
            </w:pPr>
            <w:r w:rsidRPr="00A87F69">
              <w:t>A representat</w:t>
            </w:r>
            <w:r w:rsidRPr="00A87F69">
              <w:t>ive body of performance criteria demonstrated within the timeframes typically expected of the discipline, work function and industrial environment. In particular this shall incorporate evidence that shows a candidate is able to:</w:t>
            </w:r>
          </w:p>
          <w:p w:rsidR="00000000" w:rsidRPr="00A87F69" w:rsidP="00A87F69">
            <w:pPr>
              <w:pStyle w:val="ListBullet2"/>
            </w:pPr>
            <w:r w:rsidRPr="00A87F69">
              <w:t>Implement Occupational Health and Safety workplace procedures and practices, including the use of risk control measures as specified in the performance criteria and range statement</w:t>
            </w:r>
          </w:p>
          <w:p w:rsidR="00000000" w:rsidRPr="00A87F69" w:rsidP="00A87F69">
            <w:pPr>
              <w:pStyle w:val="ListBullet2"/>
            </w:pPr>
            <w:r w:rsidRPr="00A87F69">
              <w:t>Apply sustainable energy principles and practices as specified in the perfo</w:t>
            </w:r>
            <w:r w:rsidRPr="00A87F69">
              <w:t>rmance criteria and range statement</w:t>
            </w:r>
          </w:p>
          <w:p w:rsidR="00000000" w:rsidRPr="00A87F69" w:rsidP="00A87F69">
            <w:pPr>
              <w:pStyle w:val="ListBullet2"/>
            </w:pPr>
            <w:r w:rsidRPr="00A87F69">
              <w:t>Demonstrate an understanding of the essential knowledge and associated skills as described in this unit.  It may be required by some jurisdictions that RTOs provide a percentile graded result for the purpose of regulator</w:t>
            </w:r>
            <w:r w:rsidRPr="00A87F69">
              <w:t xml:space="preserve">y or licensing requirements.   </w:t>
            </w:r>
          </w:p>
          <w:p w:rsidR="00000000" w:rsidRPr="00A87F69" w:rsidP="00A87F69">
            <w:pPr>
              <w:pStyle w:val="ListBullet2"/>
            </w:pPr>
            <w:r w:rsidRPr="00A87F69">
              <w:t>Demonstrate an appropriate level of skills enabling employment</w:t>
            </w:r>
          </w:p>
          <w:p w:rsidR="00000000" w:rsidRPr="00A87F69" w:rsidP="00A87F69">
            <w:pPr>
              <w:pStyle w:val="ListBullet2"/>
            </w:pPr>
            <w:r w:rsidRPr="00A87F69">
              <w:t>Conduct work observing the relevant Anti Discrimination legislation, regulations, polices and workplace procedures</w:t>
            </w:r>
          </w:p>
          <w:p w:rsidR="00000000" w:rsidRPr="00A87F69" w:rsidP="00A87F69">
            <w:pPr>
              <w:pStyle w:val="ListBullet"/>
            </w:pPr>
            <w:r w:rsidRPr="00A87F69">
              <w:t xml:space="preserve">Demonstrated consistent performance across a </w:t>
            </w:r>
            <w:r w:rsidRPr="00A87F69">
              <w:t>representative range of contexts from the prescribed items below:</w:t>
            </w:r>
          </w:p>
          <w:p w:rsidR="00000000" w:rsidRPr="00A87F69" w:rsidP="00A87F69">
            <w:pPr>
              <w:pStyle w:val="ListBullet2"/>
            </w:pPr>
            <w:r w:rsidRPr="00A87F69">
              <w:t>Providing photometric data for illumination system design as described in 8) and including:</w:t>
            </w:r>
          </w:p>
          <w:p w:rsidR="00000000" w:rsidRPr="00A87F69" w:rsidP="00A87F69">
            <w:pPr>
              <w:pStyle w:val="BodyText"/>
            </w:pPr>
            <w:r w:rsidRPr="00A87F69">
              <w:t>A</w:t>
            </w:r>
            <w:r w:rsidRPr="00A87F69">
              <w:tab/>
              <w:t>Obtaining illumination parameters from a design brief, job specification or by consultation wit</w:t>
            </w:r>
            <w:r w:rsidRPr="00A87F69">
              <w:t>h the client.</w:t>
            </w:r>
          </w:p>
          <w:p w:rsidR="00000000" w:rsidRPr="00A87F69" w:rsidP="00A87F69">
            <w:pPr>
              <w:pStyle w:val="BodyText"/>
            </w:pPr>
            <w:r w:rsidRPr="00A87F69">
              <w:t>B</w:t>
            </w:r>
            <w:r w:rsidRPr="00A87F69">
              <w:tab/>
              <w:t>Understanding compliance and recommended illumination parameters for particular situations and tasks.</w:t>
            </w:r>
          </w:p>
          <w:p w:rsidR="00000000" w:rsidRPr="00A87F69" w:rsidP="00A87F69">
            <w:pPr>
              <w:pStyle w:val="BodyText"/>
            </w:pPr>
            <w:r w:rsidRPr="00A87F69">
              <w:t>C</w:t>
            </w:r>
            <w:r w:rsidRPr="00A87F69">
              <w:tab/>
              <w:t>Understanding manufacturers’ technical information.</w:t>
            </w:r>
          </w:p>
          <w:p w:rsidR="00000000" w:rsidRPr="00A87F69" w:rsidP="00A87F69">
            <w:pPr>
              <w:pStyle w:val="BodyText"/>
            </w:pPr>
            <w:r w:rsidRPr="00A87F69">
              <w:t>D</w:t>
            </w:r>
            <w:r w:rsidRPr="00A87F69">
              <w:tab/>
              <w:t>Selecting appropriate light sources and luminaries</w:t>
            </w:r>
          </w:p>
          <w:p w:rsidR="00000000" w:rsidRPr="00A87F69" w:rsidP="00A87F69">
            <w:pPr>
              <w:pStyle w:val="BodyText"/>
            </w:pPr>
            <w:r w:rsidRPr="00A87F69">
              <w:t>E</w:t>
            </w:r>
            <w:r w:rsidRPr="00A87F69">
              <w:tab/>
              <w:t>Documenting selected light so</w:t>
            </w:r>
            <w:r w:rsidRPr="00A87F69">
              <w:t>urces and luminaries including justification for the selections made</w:t>
            </w:r>
          </w:p>
          <w:p w:rsidR="00000000" w:rsidRPr="00A87F69" w:rsidP="00A87F69">
            <w:pPr>
              <w:pStyle w:val="BodyText"/>
            </w:pPr>
            <w:r w:rsidRPr="00A87F69">
              <w:t>F</w:t>
            </w:r>
            <w:r w:rsidRPr="00A87F69">
              <w:tab/>
              <w:t>Dealing with unplanned events</w:t>
            </w:r>
          </w:p>
        </w:tc>
      </w:tr>
    </w:tbl>
    <w:p w:rsidR="00000000" w:rsidRPr="00A87F69" w:rsidP="00A87F69">
      <w:pPr>
        <w:pStyle w:val="BodyText"/>
      </w:pPr>
    </w:p>
    <w:tbl>
      <w:tblPr>
        <w:tblW w:w="0" w:type="auto"/>
        <w:tblLayout w:type="fixed"/>
        <w:tblCellMar>
          <w:left w:w="62" w:type="dxa"/>
          <w:right w:w="62" w:type="dxa"/>
        </w:tblCellMar>
        <w:tblLook w:val="0000"/>
      </w:tblPr>
      <w:tblGrid>
        <w:gridCol w:w="1890"/>
        <w:gridCol w:w="6570"/>
      </w:tblGrid>
      <w:tr w:rsidTr="00996331">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A87F69" w:rsidP="00A87F69">
            <w:pPr>
              <w:pStyle w:val="BodyText"/>
            </w:pPr>
            <w:r w:rsidRPr="00A87F69">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A87F69">
            <w:pPr>
              <w:pStyle w:val="BodyText"/>
              <w:rPr>
                <w:lang w:val="en-NZ"/>
              </w:rPr>
            </w:pPr>
            <w:r w:rsidRPr="00A87F69">
              <w:rPr>
                <w:rStyle w:val="SpecialBold"/>
              </w:rPr>
              <w:t>9.3)</w:t>
            </w:r>
          </w:p>
        </w:tc>
      </w:tr>
      <w:tr w:rsidTr="00996331">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87F69" w:rsidP="00A87F69">
            <w:pPr>
              <w:pStyle w:val="BodyText"/>
            </w:pPr>
            <w:r w:rsidRPr="00A87F69">
              <w:t>This unit should be assessed as it relates to normal work practice using procedures, infor</w:t>
            </w:r>
            <w:r w:rsidRPr="00A87F69">
              <w:t>mation and resources typical of a workplace. This should include:</w:t>
            </w:r>
          </w:p>
          <w:p w:rsidR="00000000" w:rsidRPr="00A87F69" w:rsidP="00A87F69">
            <w:pPr>
              <w:pStyle w:val="BodyText"/>
            </w:pPr>
            <w:r w:rsidRPr="00A87F69">
              <w:t>OHS policy and work procedures and instructions.</w:t>
            </w:r>
          </w:p>
          <w:p w:rsidR="00000000" w:rsidRPr="00A87F69" w:rsidP="00A87F69">
            <w:pPr>
              <w:pStyle w:val="BodyText"/>
            </w:pPr>
            <w:r w:rsidRPr="00A87F69">
              <w:t>Suitable work environment, facilities, equipment and materials to undertake actual work as prescribed in this unit.</w:t>
            </w:r>
          </w:p>
          <w:p w:rsidR="00000000" w:rsidRPr="00A87F69" w:rsidP="00A87F69">
            <w:pPr>
              <w:pStyle w:val="BodyText"/>
            </w:pPr>
            <w:r w:rsidRPr="00A87F69">
              <w:t>These should be used in t</w:t>
            </w:r>
            <w:r w:rsidRPr="00A87F69">
              <w:t>he formal learning/assessment environment.</w:t>
            </w:r>
          </w:p>
          <w:p w:rsidR="00000000" w:rsidRPr="00A87F69" w:rsidP="00A87F69">
            <w:pPr>
              <w:pStyle w:val="BodyText"/>
            </w:pPr>
            <w:r w:rsidRPr="00A87F69">
              <w:t>Note:</w:t>
            </w:r>
          </w:p>
          <w:p w:rsidR="00000000" w:rsidRPr="00A87F69" w:rsidP="00A87F69">
            <w:pPr>
              <w:pStyle w:val="BodyText"/>
            </w:pPr>
            <w:r w:rsidRPr="00A87F69">
              <w:t>Where simulation is considered a suitable strategy for assessment, conditions for assessment must be authentic and as far as possible reproduce and replicate the workplace and be consistent with the approved</w:t>
            </w:r>
            <w:r w:rsidRPr="00A87F69">
              <w:t xml:space="preserve"> industry simulation policy.</w:t>
            </w:r>
          </w:p>
          <w:p w:rsidR="00000000" w:rsidRPr="00A87F69" w:rsidP="00A87F69">
            <w:pPr>
              <w:pStyle w:val="BodyText"/>
            </w:pPr>
            <w:r w:rsidRPr="00A87F69">
              <w:t>The resources used for assessment should reflect current industry practices in relation to selecting effective and efficient light sources and luminaries for given locations and designs.</w:t>
            </w:r>
          </w:p>
        </w:tc>
      </w:tr>
    </w:tbl>
    <w:p w:rsidR="00000000" w:rsidRPr="00A87F69" w:rsidP="00A87F69">
      <w:pPr>
        <w:pStyle w:val="BodyText"/>
      </w:pPr>
    </w:p>
    <w:tbl>
      <w:tblPr>
        <w:tblW w:w="0" w:type="auto"/>
        <w:tblLayout w:type="fixed"/>
        <w:tblCellMar>
          <w:left w:w="62" w:type="dxa"/>
          <w:right w:w="62" w:type="dxa"/>
        </w:tblCellMar>
        <w:tblLook w:val="0000"/>
      </w:tblPr>
      <w:tblGrid>
        <w:gridCol w:w="1890"/>
        <w:gridCol w:w="6570"/>
      </w:tblGrid>
      <w:tr w:rsidTr="0099633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87F69" w:rsidP="00A87F69">
            <w:pPr>
              <w:pStyle w:val="BodyText"/>
            </w:pPr>
            <w:r w:rsidRPr="00A87F69">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A87F69">
            <w:pPr>
              <w:pStyle w:val="BodyText"/>
              <w:rPr>
                <w:lang w:val="en-NZ"/>
              </w:rPr>
            </w:pPr>
            <w:r w:rsidRPr="00A87F69">
              <w:rPr>
                <w:rStyle w:val="SpecialBold"/>
              </w:rPr>
              <w:t>9.4)</w:t>
            </w:r>
          </w:p>
        </w:tc>
      </w:tr>
      <w:tr w:rsidTr="0099633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87F69" w:rsidP="00A87F69">
            <w:pPr>
              <w:pStyle w:val="BodyText"/>
            </w:pPr>
            <w:r w:rsidRPr="00A87F69">
              <w:t>This unit shall be assessed by methods given in Volume 1, Part 3 ‘Assessment Guidelines’.</w:t>
            </w:r>
          </w:p>
          <w:p w:rsidR="00000000" w:rsidRPr="00A87F69" w:rsidP="00A87F69">
            <w:pPr>
              <w:pStyle w:val="BodyText"/>
            </w:pPr>
            <w:r w:rsidRPr="00A87F69">
              <w:t xml:space="preserve">Note: </w:t>
            </w:r>
            <w:r w:rsidRPr="00A87F69">
              <w:br/>
              <w:t>Competent performance with inherent safe working practices is expected in the Industry to which this unit applies. This requires that the specified essential k</w:t>
            </w:r>
            <w:r w:rsidRPr="00A87F69">
              <w:t>nowledge and associated skills are assessed in a structured environment which is primarily intended for learning/assessment and incorporates all necessary equipment and facilities for learners to develop and demonstrate the essential knowledge and skills d</w:t>
            </w:r>
            <w:r w:rsidRPr="00A87F69">
              <w:t>escribed in this unit.</w:t>
            </w:r>
          </w:p>
        </w:tc>
      </w:tr>
    </w:tbl>
    <w:p w:rsidR="00000000" w:rsidRPr="00A87F69" w:rsidP="00A87F69">
      <w:pPr>
        <w:pStyle w:val="BodyText"/>
      </w:pPr>
    </w:p>
    <w:tbl>
      <w:tblPr>
        <w:tblW w:w="0" w:type="auto"/>
        <w:tblLayout w:type="fixed"/>
        <w:tblCellMar>
          <w:left w:w="62" w:type="dxa"/>
          <w:right w:w="62" w:type="dxa"/>
        </w:tblCellMar>
        <w:tblLook w:val="0000"/>
      </w:tblPr>
      <w:tblGrid>
        <w:gridCol w:w="1890"/>
        <w:gridCol w:w="6570"/>
      </w:tblGrid>
      <w:tr w:rsidTr="0099633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87F69" w:rsidP="00A87F69">
            <w:pPr>
              <w:pStyle w:val="BodyText"/>
            </w:pPr>
            <w:r w:rsidRPr="00A87F69">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A87F69">
            <w:pPr>
              <w:pStyle w:val="BodyText"/>
              <w:rPr>
                <w:lang w:val="en-NZ"/>
              </w:rPr>
            </w:pPr>
            <w:r w:rsidRPr="00A87F69">
              <w:rPr>
                <w:rStyle w:val="SpecialBold"/>
              </w:rPr>
              <w:t>9.5)</w:t>
            </w:r>
          </w:p>
        </w:tc>
      </w:tr>
      <w:tr w:rsidTr="0099633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87F69" w:rsidP="00A87F69">
            <w:pPr>
              <w:pStyle w:val="BodyText"/>
            </w:pPr>
            <w:r w:rsidRPr="00A87F69">
              <w:t>There are no concurrent assessment recommendations for this unit.</w:t>
            </w:r>
          </w:p>
        </w:tc>
      </w:tr>
    </w:tbl>
    <w:p w:rsidR="00000000" w:rsidRPr="00A87F69" w:rsidP="00A87F69">
      <w:pPr>
        <w:pStyle w:val="BodyText"/>
      </w:pPr>
    </w:p>
    <w:p w:rsidR="00000000" w:rsidRPr="00A87F69" w:rsidP="00A87F69">
      <w:pPr>
        <w:pStyle w:val="AllowPageBreak"/>
      </w:pPr>
    </w:p>
    <w:p w:rsidR="00000000" w:rsidRPr="00A87F69" w:rsidP="00A87F69">
      <w:pPr>
        <w:pStyle w:val="Heading1"/>
      </w:pPr>
      <w:bookmarkStart w:id="11" w:name="O_586549"/>
      <w:bookmarkEnd w:id="11"/>
      <w:r w:rsidRPr="00A87F69">
        <w:t>Range Statement</w:t>
      </w:r>
    </w:p>
    <w:tbl>
      <w:tblPr>
        <w:tblW w:w="0" w:type="auto"/>
        <w:tblLayout w:type="fixed"/>
        <w:tblCellMar>
          <w:left w:w="62" w:type="dxa"/>
          <w:right w:w="62" w:type="dxa"/>
        </w:tblCellMar>
        <w:tblLook w:val="0000"/>
      </w:tblPr>
      <w:tblGrid>
        <w:gridCol w:w="8460"/>
      </w:tblGrid>
      <w:tr w:rsidTr="0099633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87F69">
            <w:pPr>
              <w:pStyle w:val="BodyText"/>
              <w:rPr>
                <w:lang w:val="en-NZ"/>
              </w:rPr>
            </w:pPr>
            <w:r w:rsidRPr="00A87F69">
              <w:rPr>
                <w:rStyle w:val="SpecialBold"/>
              </w:rPr>
              <w:t>RANGE STATEMENT</w:t>
            </w:r>
          </w:p>
        </w:tc>
      </w:tr>
      <w:tr w:rsidTr="0099633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87F69" w:rsidP="00A87F69">
            <w:pPr>
              <w:pStyle w:val="BodyText"/>
            </w:pPr>
            <w:r w:rsidRPr="00A87F69">
              <w:rPr>
                <w:rStyle w:val="SpecialBold"/>
              </w:rPr>
              <w:t>10)</w:t>
            </w:r>
            <w:r w:rsidRPr="00A87F69">
              <w:t xml:space="preserve"> This relates to the unit as a whole providing the range of contexts and conditions to which the performance criteria apply. It allows for different work environments and situations that will affect performance.</w:t>
            </w:r>
          </w:p>
          <w:p w:rsidR="00000000" w:rsidRPr="00A87F69" w:rsidP="00A87F69">
            <w:pPr>
              <w:pStyle w:val="BodyText"/>
            </w:pPr>
            <w:r w:rsidRPr="00A87F69">
              <w:t xml:space="preserve">This unit shall be demonstrated in relation </w:t>
            </w:r>
            <w:r w:rsidRPr="00A87F69">
              <w:t>to at least three of the following:</w:t>
            </w:r>
          </w:p>
          <w:p w:rsidR="00000000" w:rsidRPr="00A87F69" w:rsidP="00A87F69">
            <w:pPr>
              <w:pStyle w:val="ListBullet3"/>
            </w:pPr>
            <w:r w:rsidRPr="00A87F69">
              <w:t>An application using incandescent lamps for colour rendition</w:t>
            </w:r>
          </w:p>
          <w:p w:rsidR="00000000" w:rsidRPr="00A87F69" w:rsidP="00A87F69">
            <w:pPr>
              <w:pStyle w:val="ListBullet3"/>
            </w:pPr>
            <w:r w:rsidRPr="00A87F69">
              <w:t>Outside security lighting</w:t>
            </w:r>
          </w:p>
          <w:p w:rsidR="00000000" w:rsidRPr="00A87F69" w:rsidP="00A87F69">
            <w:pPr>
              <w:pStyle w:val="ListBullet3"/>
            </w:pPr>
            <w:r w:rsidRPr="00A87F69">
              <w:t>A high bay application</w:t>
            </w:r>
          </w:p>
          <w:p w:rsidR="00000000" w:rsidRPr="00A87F69" w:rsidP="00A87F69">
            <w:pPr>
              <w:pStyle w:val="ListBullet3"/>
            </w:pPr>
            <w:r w:rsidRPr="00A87F69">
              <w:t>Highway lighting</w:t>
            </w:r>
          </w:p>
          <w:p w:rsidR="00000000" w:rsidRPr="00A87F69" w:rsidP="00A87F69">
            <w:pPr>
              <w:pStyle w:val="ListBullet3"/>
            </w:pPr>
            <w:r w:rsidRPr="00A87F69">
              <w:t>Store/shop lighting</w:t>
            </w:r>
          </w:p>
          <w:p w:rsidR="00000000" w:rsidRPr="00A87F69" w:rsidP="00A87F69">
            <w:pPr>
              <w:pStyle w:val="ListBullet3"/>
            </w:pPr>
            <w:r w:rsidRPr="00A87F69">
              <w:t>A school or training classroom</w:t>
            </w:r>
          </w:p>
          <w:p w:rsidR="00000000" w:rsidRPr="00A87F69" w:rsidP="00A87F69">
            <w:pPr>
              <w:pStyle w:val="ListBullet3"/>
            </w:pPr>
            <w:r w:rsidRPr="00A87F69">
              <w:t>Localised task lighting</w:t>
            </w:r>
          </w:p>
          <w:p w:rsidR="00000000" w:rsidRPr="00A87F69" w:rsidP="00A87F69">
            <w:pPr>
              <w:pStyle w:val="ListBullet3"/>
            </w:pPr>
            <w:r w:rsidRPr="00A87F69">
              <w:t>A flood-lighting application</w:t>
            </w:r>
          </w:p>
          <w:p w:rsidR="00000000" w:rsidRPr="00A87F69" w:rsidP="00A87F69">
            <w:pPr>
              <w:pStyle w:val="ListBullet3"/>
            </w:pPr>
            <w:r w:rsidRPr="00A87F69">
              <w:t>A situation integrating some natural daylight</w:t>
            </w:r>
          </w:p>
          <w:p w:rsidR="00000000" w:rsidRPr="00A87F69" w:rsidP="00A87F69">
            <w:pPr>
              <w:pStyle w:val="BodyText"/>
            </w:pPr>
            <w:r w:rsidRPr="00A87F69">
              <w:t xml:space="preserve">Generic terms used throughout this Vocational Standard shall be regarded as part of the Range Statement in which competency is demonstrated. The definition of these and other terms </w:t>
            </w:r>
            <w:r w:rsidRPr="00A87F69">
              <w:t>that apply are given in Volume 2, Part 2.1.</w:t>
            </w:r>
          </w:p>
        </w:tc>
      </w:tr>
    </w:tbl>
    <w:p w:rsidR="00000000" w:rsidRPr="00A87F69" w:rsidP="00A87F69">
      <w:pPr>
        <w:pStyle w:val="BodyText"/>
      </w:pPr>
    </w:p>
    <w:p w:rsidR="00000000" w:rsidRPr="00A87F69" w:rsidP="00A87F69">
      <w:pPr>
        <w:pStyle w:val="AllowPageBreak"/>
      </w:pPr>
    </w:p>
    <w:p w:rsidR="00000000" w:rsidRPr="00A87F69" w:rsidP="00A87F69">
      <w:pPr>
        <w:pStyle w:val="Heading1"/>
      </w:pPr>
      <w:bookmarkStart w:id="12" w:name="O_586548"/>
      <w:bookmarkEnd w:id="12"/>
      <w:r w:rsidRPr="00A87F69">
        <w:t>Unit Sector(s)</w:t>
      </w:r>
    </w:p>
    <w:p w:rsidR="00000000" w:rsidRPr="00A87F69" w:rsidP="00A87F69">
      <w:pPr>
        <w:pStyle w:val="BodyText"/>
      </w:pPr>
      <w:r w:rsidRPr="00A87F69">
        <w:t>Not applicable.</w:t>
      </w:r>
    </w:p>
    <w:p w:rsidR="00000000" w:rsidRPr="00A87F69" w:rsidP="00A87F69">
      <w:pPr>
        <w:pStyle w:val="AllowPageBreak"/>
      </w:pPr>
    </w:p>
    <w:p w:rsidR="00000000" w:rsidRPr="00A87F69" w:rsidP="00A87F69">
      <w:pPr>
        <w:pStyle w:val="Heading1"/>
      </w:pPr>
      <w:bookmarkStart w:id="13" w:name="O_586547"/>
      <w:bookmarkEnd w:id="13"/>
      <w:r w:rsidRPr="00A87F69">
        <w:t>Competency Field</w:t>
      </w:r>
    </w:p>
    <w:tbl>
      <w:tblPr>
        <w:tblW w:w="0" w:type="auto"/>
        <w:tblLayout w:type="fixed"/>
        <w:tblCellMar>
          <w:left w:w="62" w:type="dxa"/>
          <w:right w:w="62" w:type="dxa"/>
        </w:tblCellMar>
        <w:tblLook w:val="0000"/>
      </w:tblPr>
      <w:tblGrid>
        <w:gridCol w:w="2700"/>
        <w:gridCol w:w="5760"/>
      </w:tblGrid>
      <w:tr w:rsidTr="0099633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87F69" w:rsidP="00A87F69">
            <w:pPr>
              <w:pStyle w:val="BodyText"/>
            </w:pPr>
            <w:r w:rsidRPr="00A87F6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87F69">
            <w:pPr>
              <w:pStyle w:val="BodyText"/>
              <w:rPr>
                <w:lang w:val="en-NZ"/>
              </w:rPr>
            </w:pPr>
            <w:r w:rsidRPr="00A87F69">
              <w:rPr>
                <w:rStyle w:val="SpecialBold"/>
              </w:rPr>
              <w:t xml:space="preserve">11) </w:t>
            </w:r>
          </w:p>
        </w:tc>
      </w:tr>
      <w:tr w:rsidTr="009963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87F69" w:rsidP="00A87F69">
            <w:pPr>
              <w:pStyle w:val="BodyText"/>
            </w:pPr>
            <w:r w:rsidRPr="00A87F69">
              <w:t>Electrical</w:t>
            </w:r>
          </w:p>
        </w:tc>
      </w:tr>
    </w:tbl>
    <w:p w:rsidR="00000000" w:rsidRPr="00A87F69" w:rsidP="00A87F69">
      <w:pPr>
        <w:pStyle w:val="BodyText"/>
      </w:pPr>
    </w:p>
    <w:p w:rsidR="00000000" w:rsidRPr="00A87F69" w:rsidP="00A87F69"/>
    <w:sectPr w:rsidSect="00A87F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F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F69" w:rsidRPr="00996331" w:rsidP="009963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F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331" w:rsidP="00A87F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96331" w:rsidP="00A87F6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996331" w:rsidP="00A87F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F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F69" w:rsidRPr="00996331" w:rsidP="0099633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F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331" w:rsidRPr="002D2AF8" w:rsidP="00A87F69">
    <w:pPr>
      <w:pStyle w:val="Header"/>
      <w:framePr w:wrap="around"/>
    </w:pPr>
    <w:r>
      <w:fldChar w:fldCharType="begin"/>
    </w:r>
    <w:r>
      <w:instrText xml:space="preserve"> TITLE   \* MERGEFORMAT </w:instrText>
    </w:r>
    <w:r>
      <w:fldChar w:fldCharType="separate"/>
    </w:r>
    <w:r>
      <w:t>UEENEEG185A Select effective and efficient light sources and luminaries for given locations and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996331" w:rsidP="00A87F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3ECC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5C79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7E92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7F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7F69"/>
    <w:pPr>
      <w:spacing w:before="360" w:after="60"/>
      <w:outlineLvl w:val="0"/>
    </w:pPr>
    <w:rPr>
      <w:sz w:val="32"/>
    </w:rPr>
  </w:style>
  <w:style w:type="paragraph" w:styleId="Heading2">
    <w:name w:val="heading 2"/>
    <w:basedOn w:val="HeadingBase"/>
    <w:next w:val="BodyText"/>
    <w:link w:val="Heading2Char"/>
    <w:qFormat/>
    <w:rsid w:val="00A87F69"/>
    <w:pPr>
      <w:keepLines/>
      <w:spacing w:before="240" w:after="120"/>
      <w:outlineLvl w:val="1"/>
    </w:pPr>
    <w:rPr>
      <w:sz w:val="28"/>
      <w:szCs w:val="40"/>
    </w:rPr>
  </w:style>
  <w:style w:type="paragraph" w:styleId="Heading3">
    <w:name w:val="heading 3"/>
    <w:basedOn w:val="HeadingBase"/>
    <w:next w:val="BodyText"/>
    <w:link w:val="Heading3Char"/>
    <w:qFormat/>
    <w:rsid w:val="00A87F69"/>
    <w:pPr>
      <w:spacing w:before="180" w:after="120"/>
      <w:outlineLvl w:val="2"/>
    </w:pPr>
    <w:rPr>
      <w:spacing w:val="-10"/>
      <w:kern w:val="32"/>
    </w:rPr>
  </w:style>
  <w:style w:type="paragraph" w:styleId="Heading4">
    <w:name w:val="heading 4"/>
    <w:basedOn w:val="HeadingBase"/>
    <w:next w:val="BodyText"/>
    <w:link w:val="Heading4Char"/>
    <w:qFormat/>
    <w:rsid w:val="00A87F69"/>
    <w:pPr>
      <w:spacing w:before="160" w:after="120"/>
      <w:outlineLvl w:val="3"/>
    </w:pPr>
    <w:rPr>
      <w:sz w:val="22"/>
    </w:rPr>
  </w:style>
  <w:style w:type="paragraph" w:styleId="Heading5">
    <w:name w:val="heading 5"/>
    <w:basedOn w:val="HeadingBase"/>
    <w:next w:val="Normal"/>
    <w:link w:val="Heading5Char"/>
    <w:qFormat/>
    <w:rsid w:val="00A87F69"/>
    <w:pPr>
      <w:spacing w:before="80"/>
      <w:outlineLvl w:val="4"/>
    </w:pPr>
    <w:rPr>
      <w:color w:val="918585"/>
      <w:sz w:val="20"/>
    </w:rPr>
  </w:style>
  <w:style w:type="paragraph" w:styleId="Heading6">
    <w:name w:val="heading 6"/>
    <w:basedOn w:val="HeadingBase"/>
    <w:next w:val="Normal"/>
    <w:link w:val="Heading6Char"/>
    <w:qFormat/>
    <w:rsid w:val="00A87F69"/>
    <w:pPr>
      <w:spacing w:before="60"/>
      <w:outlineLvl w:val="5"/>
    </w:pPr>
    <w:rPr>
      <w:color w:val="918585"/>
      <w:sz w:val="20"/>
    </w:rPr>
  </w:style>
  <w:style w:type="paragraph" w:styleId="Heading7">
    <w:name w:val="heading 7"/>
    <w:basedOn w:val="Normal"/>
    <w:next w:val="Normal"/>
    <w:link w:val="Heading7Char"/>
    <w:qFormat/>
    <w:rsid w:val="00A87F69"/>
    <w:pPr>
      <w:ind w:left="720"/>
      <w:outlineLvl w:val="6"/>
    </w:pPr>
    <w:rPr>
      <w:i/>
    </w:rPr>
  </w:style>
  <w:style w:type="paragraph" w:styleId="Heading8">
    <w:name w:val="heading 8"/>
    <w:basedOn w:val="Normal"/>
    <w:next w:val="Normal"/>
    <w:link w:val="Heading8Char"/>
    <w:qFormat/>
    <w:rsid w:val="00A87F69"/>
    <w:pPr>
      <w:ind w:left="720"/>
      <w:outlineLvl w:val="7"/>
    </w:pPr>
    <w:rPr>
      <w:i/>
    </w:rPr>
  </w:style>
  <w:style w:type="paragraph" w:styleId="Heading9">
    <w:name w:val="heading 9"/>
    <w:basedOn w:val="Normal"/>
    <w:next w:val="Normal"/>
    <w:link w:val="Heading9Char"/>
    <w:qFormat/>
    <w:rsid w:val="00A87F69"/>
    <w:pPr>
      <w:ind w:left="720"/>
      <w:outlineLvl w:val="8"/>
    </w:pPr>
    <w:rPr>
      <w:i/>
    </w:rPr>
  </w:style>
  <w:style w:type="character" w:default="1" w:styleId="DefaultParagraphFont">
    <w:name w:val="Default Paragraph Font"/>
    <w:uiPriority w:val="1"/>
    <w:unhideWhenUsed/>
    <w:rsid w:val="00A87F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7F69"/>
  </w:style>
  <w:style w:type="character" w:customStyle="1" w:styleId="Heading1Char">
    <w:name w:val="Heading 1 Char"/>
    <w:basedOn w:val="DefaultParagraphFont"/>
    <w:link w:val="Heading1"/>
    <w:rsid w:val="00A87F69"/>
    <w:rPr>
      <w:rFonts w:ascii="Times New Roman" w:eastAsia="Times New Roman" w:hAnsi="Times New Roman" w:cs="Times New Roman"/>
      <w:b/>
      <w:sz w:val="32"/>
      <w:szCs w:val="20"/>
      <w:lang w:eastAsia="en-US"/>
    </w:rPr>
  </w:style>
  <w:style w:type="paragraph" w:styleId="BodyText">
    <w:name w:val="Body Text"/>
    <w:basedOn w:val="Normal"/>
    <w:link w:val="BodyTextChar"/>
    <w:rsid w:val="00A87F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7F69"/>
    <w:rPr>
      <w:rFonts w:ascii="Times New Roman" w:eastAsia="Times New Roman" w:hAnsi="Times New Roman" w:cs="Times New Roman"/>
      <w:sz w:val="24"/>
      <w:lang w:eastAsia="en-US"/>
    </w:rPr>
  </w:style>
  <w:style w:type="paragraph" w:styleId="ListBullet">
    <w:name w:val="List Bullet"/>
    <w:basedOn w:val="List"/>
    <w:rsid w:val="00A87F69"/>
    <w:pPr>
      <w:numPr>
        <w:numId w:val="14"/>
      </w:numPr>
      <w:tabs>
        <w:tab w:val="clear" w:pos="340"/>
      </w:tabs>
      <w:spacing w:before="40" w:after="40"/>
    </w:pPr>
  </w:style>
  <w:style w:type="character" w:customStyle="1" w:styleId="SpecialBold">
    <w:name w:val="Special Bold"/>
    <w:basedOn w:val="DefaultParagraphFont"/>
    <w:rsid w:val="00A87F69"/>
    <w:rPr>
      <w:b/>
      <w:spacing w:val="0"/>
    </w:rPr>
  </w:style>
  <w:style w:type="paragraph" w:styleId="ListBullet2">
    <w:name w:val="List Bullet 2"/>
    <w:basedOn w:val="List2"/>
    <w:rsid w:val="00A87F69"/>
    <w:pPr>
      <w:numPr>
        <w:numId w:val="15"/>
      </w:numPr>
      <w:tabs>
        <w:tab w:val="clear" w:pos="680"/>
      </w:tabs>
    </w:pPr>
  </w:style>
  <w:style w:type="paragraph" w:customStyle="1" w:styleId="SuperHeading">
    <w:name w:val="SuperHeading"/>
    <w:basedOn w:val="Normal"/>
    <w:rsid w:val="00A87F69"/>
    <w:pPr>
      <w:spacing w:before="240" w:after="120"/>
      <w:outlineLvl w:val="0"/>
    </w:pPr>
    <w:rPr>
      <w:rFonts w:ascii="Times New Roman" w:hAnsi="Times New Roman"/>
      <w:b/>
      <w:sz w:val="32"/>
    </w:rPr>
  </w:style>
  <w:style w:type="paragraph" w:customStyle="1" w:styleId="AllowPageBreak">
    <w:name w:val="AllowPageBreak"/>
    <w:rsid w:val="00A87F6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87F69"/>
    <w:pPr>
      <w:numPr>
        <w:numId w:val="3"/>
      </w:numPr>
      <w:tabs>
        <w:tab w:val="clear" w:pos="1021"/>
      </w:tabs>
      <w:ind w:left="1037" w:hanging="357"/>
    </w:pPr>
  </w:style>
  <w:style w:type="character" w:customStyle="1" w:styleId="Heading2Char">
    <w:name w:val="Heading 2 Char"/>
    <w:basedOn w:val="DefaultParagraphFont"/>
    <w:link w:val="Heading2"/>
    <w:rsid w:val="00A87F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7F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7F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7F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7F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7F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7F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7F69"/>
    <w:rPr>
      <w:rFonts w:ascii="Courier New" w:eastAsia="Times New Roman" w:hAnsi="Courier New" w:cs="Times New Roman"/>
      <w:i/>
      <w:szCs w:val="20"/>
      <w:lang w:eastAsia="en-US"/>
    </w:rPr>
  </w:style>
  <w:style w:type="paragraph" w:customStyle="1" w:styleId="HeadingBase">
    <w:name w:val="Heading Base"/>
    <w:rsid w:val="00A87F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7F69"/>
    <w:pPr>
      <w:tabs>
        <w:tab w:val="right" w:leader="dot" w:pos="9072"/>
      </w:tabs>
      <w:ind w:left="567"/>
    </w:pPr>
    <w:rPr>
      <w:szCs w:val="22"/>
    </w:rPr>
  </w:style>
  <w:style w:type="paragraph" w:customStyle="1" w:styleId="TOCBase">
    <w:name w:val="TOC Base"/>
    <w:rsid w:val="00A87F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7F69"/>
    <w:pPr>
      <w:tabs>
        <w:tab w:val="right" w:leader="dot" w:pos="9072"/>
      </w:tabs>
      <w:spacing w:before="40" w:after="40"/>
      <w:ind w:left="284"/>
    </w:pPr>
    <w:rPr>
      <w:rFonts w:ascii="Times New Roman" w:hAnsi="Times New Roman"/>
    </w:rPr>
  </w:style>
  <w:style w:type="paragraph" w:styleId="TOC1">
    <w:name w:val="toc 1"/>
    <w:basedOn w:val="TOCBase"/>
    <w:next w:val="Normal"/>
    <w:rsid w:val="00A87F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7F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7F69"/>
    <w:rPr>
      <w:rFonts w:ascii="Times New Roman" w:eastAsia="Times New Roman" w:hAnsi="Times New Roman" w:cs="Times New Roman"/>
      <w:sz w:val="16"/>
      <w:lang w:eastAsia="en-US"/>
    </w:rPr>
  </w:style>
  <w:style w:type="paragraph" w:styleId="Title">
    <w:name w:val="Title"/>
    <w:basedOn w:val="HeadingBase"/>
    <w:link w:val="TitleChar"/>
    <w:qFormat/>
    <w:rsid w:val="00A87F69"/>
    <w:pPr>
      <w:spacing w:before="5040"/>
      <w:jc w:val="center"/>
    </w:pPr>
    <w:rPr>
      <w:sz w:val="48"/>
      <w:szCs w:val="72"/>
      <w:lang w:val="en-US"/>
    </w:rPr>
  </w:style>
  <w:style w:type="character" w:customStyle="1" w:styleId="TitleChar">
    <w:name w:val="Title Char"/>
    <w:basedOn w:val="DefaultParagraphFont"/>
    <w:link w:val="Title"/>
    <w:rsid w:val="00A87F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7F69"/>
    <w:pPr>
      <w:tabs>
        <w:tab w:val="left" w:pos="3600"/>
        <w:tab w:val="left" w:pos="3958"/>
      </w:tabs>
    </w:pPr>
  </w:style>
  <w:style w:type="paragraph" w:styleId="List">
    <w:name w:val="List"/>
    <w:basedOn w:val="BodyText"/>
    <w:next w:val="BodyText"/>
    <w:rsid w:val="00A87F69"/>
    <w:pPr>
      <w:tabs>
        <w:tab w:val="left" w:pos="340"/>
      </w:tabs>
      <w:spacing w:before="60" w:after="60"/>
      <w:ind w:left="340" w:hanging="340"/>
    </w:pPr>
  </w:style>
  <w:style w:type="paragraph" w:customStyle="1" w:styleId="Note">
    <w:name w:val="Note"/>
    <w:basedOn w:val="BodyText"/>
    <w:rsid w:val="00A87F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7F69"/>
    <w:pPr>
      <w:framePr w:wrap="auto" w:hAnchor="text" w:y="6049"/>
    </w:pPr>
    <w:rPr>
      <w:color w:val="000000"/>
      <w:sz w:val="40"/>
    </w:rPr>
  </w:style>
  <w:style w:type="paragraph" w:customStyle="1" w:styleId="TOCTitle">
    <w:name w:val="TOCTitle"/>
    <w:basedOn w:val="Heading1"/>
    <w:rsid w:val="00A87F69"/>
    <w:pPr>
      <w:spacing w:after="240"/>
      <w:jc w:val="center"/>
      <w:outlineLvl w:val="9"/>
    </w:pPr>
    <w:rPr>
      <w:caps/>
    </w:rPr>
  </w:style>
  <w:style w:type="paragraph" w:customStyle="1" w:styleId="Version">
    <w:name w:val="Version"/>
    <w:rsid w:val="00A87F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7F69"/>
    <w:pPr>
      <w:keepNext w:val="0"/>
      <w:tabs>
        <w:tab w:val="right" w:pos="4176"/>
      </w:tabs>
      <w:ind w:left="198" w:hanging="198"/>
    </w:pPr>
    <w:rPr>
      <w:rFonts w:ascii="Garamond" w:hAnsi="Garamond"/>
    </w:rPr>
  </w:style>
  <w:style w:type="paragraph" w:styleId="IndexHeading">
    <w:name w:val="index heading"/>
    <w:basedOn w:val="Normal"/>
    <w:next w:val="Index1"/>
    <w:semiHidden/>
    <w:rsid w:val="00A87F69"/>
    <w:pPr>
      <w:spacing w:before="120" w:after="120"/>
    </w:pPr>
    <w:rPr>
      <w:rFonts w:ascii="Arial" w:hAnsi="Arial"/>
      <w:b/>
      <w:color w:val="918585"/>
      <w:sz w:val="24"/>
    </w:rPr>
  </w:style>
  <w:style w:type="paragraph" w:styleId="Header">
    <w:name w:val="header"/>
    <w:basedOn w:val="Normal"/>
    <w:link w:val="HeaderChar"/>
    <w:rsid w:val="00A87F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7F69"/>
    <w:rPr>
      <w:rFonts w:ascii="Times New Roman" w:eastAsia="Times New Roman" w:hAnsi="Times New Roman" w:cs="Times New Roman"/>
      <w:sz w:val="16"/>
      <w:szCs w:val="20"/>
      <w:lang w:val="en-GB" w:eastAsia="en-US"/>
    </w:rPr>
  </w:style>
  <w:style w:type="paragraph" w:customStyle="1" w:styleId="Chapter">
    <w:name w:val="Chapter"/>
    <w:basedOn w:val="Normal"/>
    <w:rsid w:val="00A87F69"/>
    <w:pPr>
      <w:spacing w:before="240"/>
    </w:pPr>
    <w:rPr>
      <w:rFonts w:ascii="Times New Roman" w:hAnsi="Times New Roman"/>
      <w:smallCaps/>
      <w:spacing w:val="80"/>
      <w:sz w:val="28"/>
    </w:rPr>
  </w:style>
  <w:style w:type="paragraph" w:customStyle="1" w:styleId="InChapter">
    <w:name w:val="InChapter"/>
    <w:basedOn w:val="Heading3"/>
    <w:rsid w:val="00A87F69"/>
    <w:pPr>
      <w:spacing w:after="240"/>
      <w:outlineLvl w:val="9"/>
    </w:pPr>
    <w:rPr>
      <w:noProof/>
    </w:rPr>
  </w:style>
  <w:style w:type="paragraph" w:styleId="Index2">
    <w:name w:val="index 2"/>
    <w:basedOn w:val="Normal"/>
    <w:next w:val="Normal"/>
    <w:semiHidden/>
    <w:rsid w:val="00A87F69"/>
    <w:pPr>
      <w:tabs>
        <w:tab w:val="right" w:pos="4176"/>
      </w:tabs>
      <w:ind w:left="568" w:hanging="284"/>
    </w:pPr>
    <w:rPr>
      <w:rFonts w:ascii="Garamond" w:hAnsi="Garamond"/>
    </w:rPr>
  </w:style>
  <w:style w:type="paragraph" w:customStyle="1" w:styleId="Byline">
    <w:name w:val="Byline"/>
    <w:rsid w:val="00A87F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7F69"/>
    <w:pPr>
      <w:tabs>
        <w:tab w:val="clear" w:pos="3600"/>
        <w:tab w:val="clear" w:pos="3958"/>
      </w:tabs>
      <w:jc w:val="right"/>
    </w:pPr>
  </w:style>
  <w:style w:type="character" w:styleId="Emphasis">
    <w:name w:val="Emphasis"/>
    <w:basedOn w:val="DefaultParagraphFont"/>
    <w:qFormat/>
    <w:rsid w:val="00A87F69"/>
    <w:rPr>
      <w:i/>
    </w:rPr>
  </w:style>
  <w:style w:type="paragraph" w:styleId="Caption">
    <w:name w:val="caption"/>
    <w:basedOn w:val="BodyText"/>
    <w:next w:val="Normal"/>
    <w:qFormat/>
    <w:rsid w:val="00A87F69"/>
    <w:pPr>
      <w:framePr w:w="2268" w:hSpace="181" w:vSpace="181" w:wrap="around" w:vAnchor="text" w:hAnchor="page" w:x="1135" w:y="285" w:anchorLock="1"/>
    </w:pPr>
    <w:rPr>
      <w:i/>
    </w:rPr>
  </w:style>
  <w:style w:type="paragraph" w:customStyle="1" w:styleId="MiniTOCTitle">
    <w:name w:val="MiniTOCTitle"/>
    <w:basedOn w:val="Heading4"/>
    <w:rsid w:val="00A87F69"/>
    <w:pPr>
      <w:spacing w:before="240"/>
      <w:outlineLvl w:val="9"/>
    </w:pPr>
    <w:rPr>
      <w:noProof/>
      <w:sz w:val="24"/>
    </w:rPr>
  </w:style>
  <w:style w:type="paragraph" w:customStyle="1" w:styleId="MiniTOCItem">
    <w:name w:val="MiniTOCItem"/>
    <w:basedOn w:val="ListBullet"/>
    <w:rsid w:val="00A87F69"/>
    <w:pPr>
      <w:numPr>
        <w:numId w:val="0"/>
      </w:numPr>
      <w:tabs>
        <w:tab w:val="right" w:leader="dot" w:pos="6521"/>
      </w:tabs>
      <w:spacing w:before="0" w:after="0"/>
    </w:pPr>
  </w:style>
  <w:style w:type="paragraph" w:customStyle="1" w:styleId="TOFTitle">
    <w:name w:val="TOFTitle"/>
    <w:basedOn w:val="TOCTitle"/>
    <w:rsid w:val="00A87F69"/>
  </w:style>
  <w:style w:type="paragraph" w:styleId="TableofFigures">
    <w:name w:val="table of figures"/>
    <w:basedOn w:val="Normal"/>
    <w:next w:val="Normal"/>
    <w:semiHidden/>
    <w:rsid w:val="00A87F69"/>
    <w:pPr>
      <w:tabs>
        <w:tab w:val="right" w:leader="dot" w:pos="9072"/>
      </w:tabs>
      <w:ind w:left="970" w:hanging="403"/>
    </w:pPr>
    <w:rPr>
      <w:rFonts w:ascii="Times New Roman" w:hAnsi="Times New Roman"/>
      <w:b/>
    </w:rPr>
  </w:style>
  <w:style w:type="paragraph" w:styleId="ListNumber">
    <w:name w:val="List Number"/>
    <w:basedOn w:val="List"/>
    <w:rsid w:val="00A87F69"/>
    <w:pPr>
      <w:numPr>
        <w:numId w:val="12"/>
      </w:numPr>
    </w:pPr>
  </w:style>
  <w:style w:type="character" w:customStyle="1" w:styleId="WingdingSymbols">
    <w:name w:val="Wingding Symbols"/>
    <w:rsid w:val="00A87F69"/>
    <w:rPr>
      <w:rFonts w:ascii="Wingdings" w:hAnsi="Wingdings"/>
    </w:rPr>
  </w:style>
  <w:style w:type="paragraph" w:customStyle="1" w:styleId="TableHeading">
    <w:name w:val="Table Heading"/>
    <w:basedOn w:val="HeadingBase"/>
    <w:rsid w:val="00A87F69"/>
    <w:pPr>
      <w:keepLines/>
      <w:pBdr>
        <w:bottom w:val="single" w:sz="6" w:space="1" w:color="918585"/>
      </w:pBdr>
      <w:spacing w:before="240"/>
    </w:pPr>
  </w:style>
  <w:style w:type="character" w:customStyle="1" w:styleId="HotSpot">
    <w:name w:val="HotSpot"/>
    <w:rsid w:val="00A87F69"/>
    <w:rPr>
      <w:color w:val="0033CC"/>
      <w:u w:val="none"/>
    </w:rPr>
  </w:style>
  <w:style w:type="paragraph" w:customStyle="1" w:styleId="BodyTextRight">
    <w:name w:val="Body Text Right"/>
    <w:basedOn w:val="BodyText"/>
    <w:rsid w:val="00A87F69"/>
    <w:pPr>
      <w:spacing w:before="0" w:after="0"/>
      <w:jc w:val="right"/>
    </w:pPr>
  </w:style>
  <w:style w:type="paragraph" w:styleId="Index3">
    <w:name w:val="index 3"/>
    <w:basedOn w:val="ListNumber2"/>
    <w:next w:val="Normal"/>
    <w:semiHidden/>
    <w:rsid w:val="00A87F69"/>
    <w:pPr>
      <w:numPr>
        <w:numId w:val="0"/>
      </w:numPr>
      <w:tabs>
        <w:tab w:val="right" w:leader="dot" w:pos="4176"/>
      </w:tabs>
    </w:pPr>
  </w:style>
  <w:style w:type="paragraph" w:styleId="ListNumber2">
    <w:name w:val="List Number 2"/>
    <w:basedOn w:val="List2"/>
    <w:rsid w:val="00A87F69"/>
    <w:pPr>
      <w:numPr>
        <w:numId w:val="11"/>
      </w:numPr>
      <w:tabs>
        <w:tab w:val="clear" w:pos="1060"/>
      </w:tabs>
    </w:pPr>
  </w:style>
  <w:style w:type="paragraph" w:customStyle="1" w:styleId="MarginNote">
    <w:name w:val="Margin Note"/>
    <w:basedOn w:val="BodyText"/>
    <w:rsid w:val="00A87F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7F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7F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7F69"/>
    <w:rPr>
      <w:sz w:val="32"/>
    </w:rPr>
  </w:style>
  <w:style w:type="paragraph" w:customStyle="1" w:styleId="HeadingProcedure">
    <w:name w:val="Heading Procedure"/>
    <w:basedOn w:val="HeadingBase"/>
    <w:next w:val="Normal"/>
    <w:rsid w:val="00A87F69"/>
    <w:pPr>
      <w:tabs>
        <w:tab w:val="left" w:pos="0"/>
      </w:tabs>
      <w:spacing w:before="120" w:after="60"/>
    </w:pPr>
    <w:rPr>
      <w:i/>
      <w:color w:val="918585"/>
      <w:sz w:val="22"/>
    </w:rPr>
  </w:style>
  <w:style w:type="paragraph" w:customStyle="1" w:styleId="TableBodyText">
    <w:name w:val="Table Body Text"/>
    <w:basedOn w:val="BodyText"/>
    <w:rsid w:val="00A87F69"/>
    <w:pPr>
      <w:spacing w:before="60" w:after="60"/>
    </w:pPr>
  </w:style>
  <w:style w:type="paragraph" w:styleId="ListContinue">
    <w:name w:val="List Continue"/>
    <w:basedOn w:val="List"/>
    <w:rsid w:val="00A87F69"/>
    <w:pPr>
      <w:ind w:firstLine="0"/>
    </w:pPr>
  </w:style>
  <w:style w:type="paragraph" w:customStyle="1" w:styleId="ListNote">
    <w:name w:val="List Note"/>
    <w:basedOn w:val="List"/>
    <w:rsid w:val="00A87F69"/>
    <w:pPr>
      <w:pBdr>
        <w:top w:val="single" w:sz="6" w:space="2" w:color="918585"/>
        <w:bottom w:val="single" w:sz="6" w:space="2" w:color="918585"/>
      </w:pBdr>
      <w:tabs>
        <w:tab w:val="left" w:pos="1021"/>
      </w:tabs>
      <w:ind w:firstLine="0"/>
    </w:pPr>
  </w:style>
  <w:style w:type="paragraph" w:customStyle="1" w:styleId="Warning">
    <w:name w:val="Warning"/>
    <w:basedOn w:val="BodyText"/>
    <w:rsid w:val="00A87F69"/>
    <w:pPr>
      <w:shd w:val="clear" w:color="auto" w:fill="D9D9D9"/>
      <w:tabs>
        <w:tab w:val="left" w:pos="992"/>
      </w:tabs>
      <w:ind w:left="119" w:right="119"/>
    </w:pPr>
    <w:rPr>
      <w:sz w:val="20"/>
    </w:rPr>
  </w:style>
  <w:style w:type="paragraph" w:customStyle="1" w:styleId="MarginIcons">
    <w:name w:val="Margin Icons"/>
    <w:basedOn w:val="BodyText"/>
    <w:rsid w:val="00A87F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7F69"/>
    <w:rPr>
      <w:rFonts w:ascii="Courier New" w:hAnsi="Courier New"/>
    </w:rPr>
  </w:style>
  <w:style w:type="paragraph" w:customStyle="1" w:styleId="NoteBullet">
    <w:name w:val="Note Bullet"/>
    <w:basedOn w:val="Note"/>
    <w:rsid w:val="00A87F69"/>
    <w:pPr>
      <w:tabs>
        <w:tab w:val="clear" w:pos="680"/>
      </w:tabs>
      <w:spacing w:before="60" w:after="60"/>
    </w:pPr>
  </w:style>
  <w:style w:type="paragraph" w:customStyle="1" w:styleId="SubHeading2">
    <w:name w:val="SubHeading2"/>
    <w:basedOn w:val="HeadingBase"/>
    <w:rsid w:val="00A87F69"/>
    <w:pPr>
      <w:spacing w:before="240" w:after="60"/>
    </w:pPr>
    <w:rPr>
      <w:sz w:val="20"/>
    </w:rPr>
  </w:style>
  <w:style w:type="paragraph" w:customStyle="1" w:styleId="SubHeading1">
    <w:name w:val="SubHeading1"/>
    <w:basedOn w:val="HeadingBase"/>
    <w:rsid w:val="00A87F69"/>
    <w:pPr>
      <w:spacing w:before="240" w:after="60"/>
    </w:pPr>
    <w:rPr>
      <w:color w:val="918585"/>
      <w:sz w:val="22"/>
    </w:rPr>
  </w:style>
  <w:style w:type="paragraph" w:customStyle="1" w:styleId="SideHeading">
    <w:name w:val="Side Heading"/>
    <w:basedOn w:val="HeadingBase"/>
    <w:rsid w:val="00A87F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7F69"/>
    <w:pPr>
      <w:numPr>
        <w:numId w:val="13"/>
      </w:numPr>
    </w:pPr>
  </w:style>
  <w:style w:type="paragraph" w:styleId="PlainText">
    <w:name w:val="Plain Text"/>
    <w:basedOn w:val="Normal"/>
    <w:link w:val="PlainTextChar"/>
    <w:rsid w:val="00A87F69"/>
    <w:rPr>
      <w:sz w:val="20"/>
    </w:rPr>
  </w:style>
  <w:style w:type="character" w:customStyle="1" w:styleId="PlainTextChar">
    <w:name w:val="Plain Text Char"/>
    <w:basedOn w:val="DefaultParagraphFont"/>
    <w:link w:val="PlainText"/>
    <w:rsid w:val="00A87F69"/>
    <w:rPr>
      <w:rFonts w:ascii="Courier New" w:eastAsia="Times New Roman" w:hAnsi="Courier New" w:cs="Times New Roman"/>
      <w:sz w:val="20"/>
      <w:szCs w:val="20"/>
      <w:lang w:eastAsia="en-US"/>
    </w:rPr>
  </w:style>
  <w:style w:type="character" w:customStyle="1" w:styleId="MenuOption">
    <w:name w:val="Menu Option"/>
    <w:basedOn w:val="DefaultParagraphFont"/>
    <w:rsid w:val="00A87F69"/>
    <w:rPr>
      <w:b/>
      <w:smallCaps/>
    </w:rPr>
  </w:style>
  <w:style w:type="paragraph" w:customStyle="1" w:styleId="TableListNumber">
    <w:name w:val="Table List Number"/>
    <w:basedOn w:val="ListNumber"/>
    <w:rsid w:val="00A87F69"/>
    <w:pPr>
      <w:numPr>
        <w:numId w:val="0"/>
      </w:numPr>
    </w:pPr>
  </w:style>
  <w:style w:type="paragraph" w:styleId="TOC4">
    <w:name w:val="toc 4"/>
    <w:basedOn w:val="TOCBase"/>
    <w:next w:val="Normal"/>
    <w:semiHidden/>
    <w:rsid w:val="00A87F69"/>
    <w:pPr>
      <w:tabs>
        <w:tab w:val="right" w:leader="dot" w:pos="9071"/>
      </w:tabs>
      <w:ind w:left="1701"/>
    </w:pPr>
  </w:style>
  <w:style w:type="paragraph" w:customStyle="1" w:styleId="ListAlpha">
    <w:name w:val="List Alpha"/>
    <w:basedOn w:val="List"/>
    <w:rsid w:val="00A87F69"/>
    <w:pPr>
      <w:numPr>
        <w:numId w:val="10"/>
      </w:numPr>
    </w:pPr>
  </w:style>
  <w:style w:type="paragraph" w:customStyle="1" w:styleId="ListAlpha2">
    <w:name w:val="List Alpha 2"/>
    <w:basedOn w:val="List2"/>
    <w:rsid w:val="00A87F69"/>
    <w:pPr>
      <w:numPr>
        <w:numId w:val="9"/>
      </w:numPr>
    </w:pPr>
  </w:style>
  <w:style w:type="paragraph" w:styleId="List2">
    <w:name w:val="List 2"/>
    <w:basedOn w:val="BodyText"/>
    <w:rsid w:val="00A87F69"/>
    <w:pPr>
      <w:tabs>
        <w:tab w:val="left" w:pos="680"/>
      </w:tabs>
      <w:spacing w:before="60" w:after="60"/>
      <w:ind w:left="680" w:hanging="340"/>
    </w:pPr>
  </w:style>
  <w:style w:type="paragraph" w:styleId="List3">
    <w:name w:val="List 3"/>
    <w:basedOn w:val="BodyText"/>
    <w:rsid w:val="00A87F69"/>
    <w:pPr>
      <w:tabs>
        <w:tab w:val="left" w:pos="1021"/>
      </w:tabs>
      <w:spacing w:before="60" w:after="60"/>
      <w:ind w:left="1020" w:hanging="340"/>
    </w:pPr>
  </w:style>
  <w:style w:type="paragraph" w:styleId="List4">
    <w:name w:val="List 4"/>
    <w:basedOn w:val="BodyText"/>
    <w:rsid w:val="00A87F69"/>
    <w:pPr>
      <w:tabs>
        <w:tab w:val="left" w:pos="1361"/>
      </w:tabs>
      <w:spacing w:before="60" w:after="60"/>
      <w:ind w:left="1361" w:hanging="340"/>
    </w:pPr>
  </w:style>
  <w:style w:type="paragraph" w:styleId="List5">
    <w:name w:val="List 5"/>
    <w:basedOn w:val="BodyText"/>
    <w:rsid w:val="00A87F69"/>
    <w:pPr>
      <w:tabs>
        <w:tab w:val="left" w:pos="1701"/>
      </w:tabs>
      <w:spacing w:before="60" w:after="60"/>
      <w:ind w:left="1701" w:hanging="340"/>
    </w:pPr>
  </w:style>
  <w:style w:type="paragraph" w:styleId="ListBullet4">
    <w:name w:val="List Bullet 4"/>
    <w:basedOn w:val="List4"/>
    <w:rsid w:val="00A87F69"/>
    <w:pPr>
      <w:numPr>
        <w:numId w:val="4"/>
      </w:numPr>
    </w:pPr>
  </w:style>
  <w:style w:type="paragraph" w:styleId="ListBullet5">
    <w:name w:val="List Bullet 5"/>
    <w:basedOn w:val="List5"/>
    <w:rsid w:val="00A87F69"/>
    <w:pPr>
      <w:numPr>
        <w:numId w:val="5"/>
      </w:numPr>
    </w:pPr>
  </w:style>
  <w:style w:type="paragraph" w:styleId="ListContinue2">
    <w:name w:val="List Continue 2"/>
    <w:basedOn w:val="List2"/>
    <w:rsid w:val="00A87F69"/>
    <w:pPr>
      <w:ind w:firstLine="0"/>
    </w:pPr>
  </w:style>
  <w:style w:type="paragraph" w:styleId="ListContinue3">
    <w:name w:val="List Continue 3"/>
    <w:basedOn w:val="List3"/>
    <w:rsid w:val="00A87F69"/>
    <w:pPr>
      <w:ind w:left="1021" w:firstLine="0"/>
    </w:pPr>
  </w:style>
  <w:style w:type="paragraph" w:styleId="ListContinue4">
    <w:name w:val="List Continue 4"/>
    <w:basedOn w:val="List4"/>
    <w:rsid w:val="00A87F69"/>
    <w:pPr>
      <w:ind w:firstLine="0"/>
    </w:pPr>
  </w:style>
  <w:style w:type="paragraph" w:styleId="ListContinue5">
    <w:name w:val="List Continue 5"/>
    <w:basedOn w:val="List5"/>
    <w:rsid w:val="00A87F69"/>
    <w:pPr>
      <w:ind w:firstLine="0"/>
    </w:pPr>
  </w:style>
  <w:style w:type="paragraph" w:styleId="ListNumber3">
    <w:name w:val="List Number 3"/>
    <w:basedOn w:val="List3"/>
    <w:rsid w:val="00A87F69"/>
    <w:pPr>
      <w:numPr>
        <w:numId w:val="6"/>
      </w:numPr>
    </w:pPr>
  </w:style>
  <w:style w:type="paragraph" w:styleId="ListNumber4">
    <w:name w:val="List Number 4"/>
    <w:basedOn w:val="List4"/>
    <w:rsid w:val="00A87F69"/>
    <w:pPr>
      <w:numPr>
        <w:numId w:val="7"/>
      </w:numPr>
    </w:pPr>
  </w:style>
  <w:style w:type="paragraph" w:styleId="ListNumber5">
    <w:name w:val="List Number 5"/>
    <w:basedOn w:val="List5"/>
    <w:rsid w:val="00A87F69"/>
    <w:pPr>
      <w:numPr>
        <w:numId w:val="8"/>
      </w:numPr>
    </w:pPr>
  </w:style>
  <w:style w:type="paragraph" w:styleId="BlockText">
    <w:name w:val="Block Text"/>
    <w:basedOn w:val="Normal"/>
    <w:rsid w:val="00A87F69"/>
    <w:pPr>
      <w:spacing w:after="120"/>
      <w:ind w:left="1440" w:right="1440"/>
    </w:pPr>
  </w:style>
  <w:style w:type="character" w:customStyle="1" w:styleId="Subscript">
    <w:name w:val="Subscript"/>
    <w:basedOn w:val="DefaultParagraphFont"/>
    <w:rsid w:val="00A87F69"/>
    <w:rPr>
      <w:sz w:val="16"/>
      <w:vertAlign w:val="subscript"/>
    </w:rPr>
  </w:style>
  <w:style w:type="character" w:customStyle="1" w:styleId="Superscript">
    <w:name w:val="Superscript"/>
    <w:basedOn w:val="DefaultParagraphFont"/>
    <w:rsid w:val="00A87F69"/>
    <w:rPr>
      <w:sz w:val="16"/>
      <w:vertAlign w:val="superscript"/>
    </w:rPr>
  </w:style>
  <w:style w:type="character" w:customStyle="1" w:styleId="Symbols">
    <w:name w:val="Symbols"/>
    <w:basedOn w:val="DefaultParagraphFont"/>
    <w:rsid w:val="00A87F69"/>
    <w:rPr>
      <w:rFonts w:ascii="Symbol" w:hAnsi="Symbol"/>
    </w:rPr>
  </w:style>
  <w:style w:type="character" w:customStyle="1" w:styleId="MenuOptions">
    <w:name w:val="Menu Options"/>
    <w:basedOn w:val="DefaultParagraphFont"/>
    <w:rsid w:val="00A87F69"/>
    <w:rPr>
      <w:rFonts w:ascii="Arial Narrow" w:hAnsi="Arial Narrow"/>
      <w:smallCaps/>
    </w:rPr>
  </w:style>
  <w:style w:type="character" w:customStyle="1" w:styleId="Buttons">
    <w:name w:val="Buttons"/>
    <w:basedOn w:val="DefaultParagraphFont"/>
    <w:rsid w:val="00A87F69"/>
    <w:rPr>
      <w:b/>
    </w:rPr>
  </w:style>
  <w:style w:type="character" w:customStyle="1" w:styleId="Underlined">
    <w:name w:val="Underlined"/>
    <w:basedOn w:val="DefaultParagraphFont"/>
    <w:rsid w:val="00A87F69"/>
    <w:rPr>
      <w:u w:val="single"/>
    </w:rPr>
  </w:style>
  <w:style w:type="paragraph" w:customStyle="1" w:styleId="TableBodyTextRight">
    <w:name w:val="Table Body Text Right"/>
    <w:basedOn w:val="TableBodyText"/>
    <w:rsid w:val="00A87F69"/>
    <w:pPr>
      <w:widowControl w:val="0"/>
      <w:autoSpaceDE w:val="0"/>
      <w:autoSpaceDN w:val="0"/>
      <w:adjustRightInd w:val="0"/>
      <w:jc w:val="right"/>
    </w:pPr>
    <w:rPr>
      <w:rFonts w:cs="Arial"/>
      <w:szCs w:val="18"/>
    </w:rPr>
  </w:style>
  <w:style w:type="paragraph" w:customStyle="1" w:styleId="CopyrightText">
    <w:name w:val="Copyright Text"/>
    <w:basedOn w:val="BodyText"/>
    <w:rsid w:val="00A87F69"/>
    <w:rPr>
      <w:sz w:val="18"/>
    </w:rPr>
  </w:style>
  <w:style w:type="paragraph" w:customStyle="1" w:styleId="BodySmallRight">
    <w:name w:val="Body Small Right"/>
    <w:basedOn w:val="BodyTextRight"/>
    <w:rsid w:val="00A87F69"/>
    <w:rPr>
      <w:sz w:val="18"/>
      <w:szCs w:val="18"/>
    </w:rPr>
  </w:style>
  <w:style w:type="paragraph" w:customStyle="1" w:styleId="MarginEdition">
    <w:name w:val="Margin Edition"/>
    <w:basedOn w:val="MarginNote"/>
    <w:rsid w:val="00A87F69"/>
    <w:pPr>
      <w:spacing w:before="0" w:after="0"/>
    </w:pPr>
    <w:rPr>
      <w:rFonts w:ascii="Times New Roman" w:hAnsi="Times New Roman"/>
      <w:color w:val="999999"/>
    </w:rPr>
  </w:style>
  <w:style w:type="paragraph" w:customStyle="1" w:styleId="Spacer">
    <w:name w:val="Spacer"/>
    <w:basedOn w:val="Normal"/>
    <w:rsid w:val="00A87F69"/>
    <w:rPr>
      <w:sz w:val="2"/>
      <w:szCs w:val="2"/>
    </w:rPr>
  </w:style>
  <w:style w:type="character" w:customStyle="1" w:styleId="Small">
    <w:name w:val="Small"/>
    <w:basedOn w:val="DefaultParagraphFont"/>
    <w:rsid w:val="00A87F69"/>
    <w:rPr>
      <w:sz w:val="16"/>
    </w:rPr>
  </w:style>
  <w:style w:type="paragraph" w:customStyle="1" w:styleId="WideTable">
    <w:name w:val="Wide Table"/>
    <w:basedOn w:val="Normal"/>
    <w:rsid w:val="00A87F69"/>
    <w:pPr>
      <w:ind w:left="-1418"/>
    </w:pPr>
    <w:rPr>
      <w:sz w:val="2"/>
      <w:szCs w:val="2"/>
    </w:rPr>
  </w:style>
  <w:style w:type="character" w:styleId="PageNumber">
    <w:name w:val="page number"/>
    <w:basedOn w:val="DefaultParagraphFont"/>
    <w:rsid w:val="00A87F69"/>
  </w:style>
  <w:style w:type="paragraph" w:styleId="Quote">
    <w:name w:val="Quote"/>
    <w:basedOn w:val="Heading1"/>
    <w:link w:val="QuoteChar"/>
    <w:qFormat/>
    <w:rsid w:val="00A87F69"/>
    <w:rPr>
      <w:b w:val="0"/>
      <w:sz w:val="72"/>
      <w:szCs w:val="72"/>
      <w:lang w:val="en-NZ"/>
    </w:rPr>
  </w:style>
  <w:style w:type="character" w:customStyle="1" w:styleId="QuoteChar">
    <w:name w:val="Quote Char"/>
    <w:basedOn w:val="DefaultParagraphFont"/>
    <w:link w:val="Quote"/>
    <w:rsid w:val="00A87F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7F69"/>
    <w:pPr>
      <w:pageBreakBefore/>
    </w:pPr>
  </w:style>
  <w:style w:type="paragraph" w:customStyle="1" w:styleId="Border">
    <w:name w:val="Border"/>
    <w:basedOn w:val="Normal"/>
    <w:qFormat/>
    <w:rsid w:val="00A87F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7F69"/>
    <w:rPr>
      <w:b/>
      <w:bCs/>
      <w:i/>
      <w:iCs/>
      <w:color w:val="auto"/>
    </w:rPr>
  </w:style>
  <w:style w:type="paragraph" w:styleId="IntenseQuote">
    <w:name w:val="Intense Quote"/>
    <w:basedOn w:val="Normal"/>
    <w:next w:val="Normal"/>
    <w:link w:val="IntenseQuoteChar"/>
    <w:uiPriority w:val="30"/>
    <w:qFormat/>
    <w:rsid w:val="00A87F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7F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7F69"/>
    <w:rPr>
      <w:smallCaps/>
      <w:color w:val="auto"/>
      <w:u w:val="single"/>
    </w:rPr>
  </w:style>
  <w:style w:type="character" w:styleId="IntenseReference">
    <w:name w:val="Intense Reference"/>
    <w:basedOn w:val="DefaultParagraphFont"/>
    <w:uiPriority w:val="32"/>
    <w:qFormat/>
    <w:rsid w:val="00A87F69"/>
    <w:rPr>
      <w:b/>
      <w:bCs/>
      <w:smallCaps/>
      <w:color w:val="auto"/>
      <w:spacing w:val="5"/>
      <w:u w:val="single"/>
    </w:rPr>
  </w:style>
  <w:style w:type="paragraph" w:customStyle="1" w:styleId="2ColumnHeading">
    <w:name w:val="2Column Heading"/>
    <w:basedOn w:val="BodyText"/>
    <w:qFormat/>
    <w:rsid w:val="00A87F69"/>
    <w:pPr>
      <w:spacing w:after="60"/>
      <w:ind w:left="-2268"/>
    </w:pPr>
    <w:rPr>
      <w:b/>
    </w:rPr>
  </w:style>
  <w:style w:type="paragraph" w:customStyle="1" w:styleId="Heading1TOC">
    <w:name w:val="Heading1 TOC"/>
    <w:basedOn w:val="Normal"/>
    <w:qFormat/>
    <w:rsid w:val="00A87F69"/>
    <w:pPr>
      <w:spacing w:before="240" w:after="120"/>
    </w:pPr>
    <w:rPr>
      <w:rFonts w:ascii="Times New Roman" w:hAnsi="Times New Roman"/>
      <w:b/>
      <w:sz w:val="32"/>
    </w:rPr>
  </w:style>
  <w:style w:type="paragraph" w:customStyle="1" w:styleId="Heading2TOC">
    <w:name w:val="Heading2 TOC"/>
    <w:basedOn w:val="Normal"/>
    <w:qFormat/>
    <w:rsid w:val="00A87F69"/>
    <w:pPr>
      <w:spacing w:before="240" w:after="60"/>
    </w:pPr>
    <w:rPr>
      <w:rFonts w:ascii="Times New Roman" w:hAnsi="Times New Roman"/>
      <w:b/>
      <w:sz w:val="28"/>
    </w:rPr>
  </w:style>
  <w:style w:type="character" w:customStyle="1" w:styleId="Underline">
    <w:name w:val="Underline"/>
    <w:basedOn w:val="DefaultParagraphFont"/>
    <w:qFormat/>
    <w:rsid w:val="00A87F69"/>
    <w:rPr>
      <w:u w:val="single"/>
    </w:rPr>
  </w:style>
  <w:style w:type="character" w:customStyle="1" w:styleId="BoldandItalics">
    <w:name w:val="Bold and Italics"/>
    <w:qFormat/>
    <w:rsid w:val="00A87F69"/>
    <w:rPr>
      <w:b/>
      <w:i/>
      <w:u w:val="none"/>
    </w:rPr>
  </w:style>
  <w:style w:type="paragraph" w:styleId="BalloonText">
    <w:name w:val="Balloon Text"/>
    <w:basedOn w:val="Normal"/>
    <w:link w:val="BalloonTextChar"/>
    <w:rsid w:val="00A87F69"/>
    <w:rPr>
      <w:rFonts w:ascii="Tahoma" w:hAnsi="Tahoma" w:cs="Tahoma"/>
      <w:sz w:val="16"/>
      <w:szCs w:val="16"/>
    </w:rPr>
  </w:style>
  <w:style w:type="character" w:customStyle="1" w:styleId="BalloonTextChar">
    <w:name w:val="Balloon Text Char"/>
    <w:basedOn w:val="DefaultParagraphFont"/>
    <w:link w:val="BalloonText"/>
    <w:rsid w:val="00A87F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7F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7F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7F69"/>
    <w:rPr>
      <w:b/>
      <w:color w:val="660033"/>
      <w:spacing w:val="0"/>
    </w:rPr>
  </w:style>
  <w:style w:type="paragraph" w:customStyle="1" w:styleId="Nameditemlist">
    <w:name w:val="Named item list"/>
    <w:basedOn w:val="BodyText"/>
    <w:qFormat/>
    <w:rsid w:val="00A87F6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1718</Words>
  <Characters>10467</Characters>
  <Application>Microsoft Office Word</Application>
  <DocSecurity>0</DocSecurity>
  <Lines>380</Lines>
  <Paragraphs>176</Paragraphs>
  <ScaleCrop>false</ScaleCrop>
  <Company>Author-it Software Corporation Ltd.</Company>
  <LinksUpToDate>false</LinksUpToDate>
  <CharactersWithSpaces>12094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UEENEEG185A Select effective and efficient light sources and luminaries for given locations and designs</dc:title>
  <dc:subject>Approved</dc:subject>
  <dc:creator>E-OZ Training Standards</dc:creator>
  <cp:keywords>Release: 2</cp:keywords>
  <dc:description>Review Date: 12 April 2008</dc:description>
  <cp:lastModifiedBy>TPCMS</cp:lastModifiedBy>
  <cp:revision>3</cp:revision>
  <dcterms:created xsi:type="dcterms:W3CDTF">2013-08-14T06:16:00Z</dcterms:created>
  <dcterms:modified xsi:type="dcterms:W3CDTF">2013-08-14T06:16:00Z</dcterms:modified>
</cp:coreProperties>
</file>