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FFA" w:rsidP="009C4FFA">
      <w:pPr>
        <w:pStyle w:val="Title"/>
      </w:pPr>
      <w:r>
        <w:fldChar w:fldCharType="begin"/>
      </w:r>
      <w:r>
        <w:instrText xml:space="preserve"> TITLE   \* MERGEFORMAT </w:instrText>
      </w:r>
      <w:r>
        <w:fldChar w:fldCharType="separate"/>
      </w:r>
      <w:r>
        <w:t>UEENEEG172A Investigate and report on electrical incidents and causes</w:t>
      </w:r>
      <w:r>
        <w:fldChar w:fldCharType="end"/>
      </w:r>
    </w:p>
    <w:p w:rsidR="009C4FFA" w:rsidP="009C4FFA">
      <w:pPr>
        <w:pStyle w:val="Version"/>
        <w:sectPr w:rsidSect="002A1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A1B02" w:rsidP="002A1B02">
      <w:pPr>
        <w:pStyle w:val="SuperHeading"/>
      </w:pPr>
      <w:r w:rsidRPr="002A1B02">
        <w:t>UEENEEG172A Investigate and report on electrical incidents and causes</w:t>
      </w:r>
    </w:p>
    <w:p w:rsidR="00000000" w:rsidRPr="002A1B02" w:rsidP="002A1B02">
      <w:pPr>
        <w:pStyle w:val="Heading1"/>
      </w:pPr>
      <w:bookmarkStart w:id="1" w:name="O_718064"/>
      <w:bookmarkEnd w:id="1"/>
      <w:r w:rsidRPr="002A1B0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9C4FF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B02">
            <w:pPr>
              <w:pStyle w:val="BodyText"/>
              <w:rPr>
                <w:lang w:val="en-NZ"/>
              </w:rPr>
            </w:pPr>
            <w:r w:rsidRPr="002A1B0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B02">
            <w:pPr>
              <w:pStyle w:val="BodyText"/>
              <w:rPr>
                <w:lang w:val="en-NZ"/>
              </w:rPr>
            </w:pPr>
            <w:r w:rsidRPr="002A1B0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B02">
            <w:pPr>
              <w:pStyle w:val="BodyText"/>
              <w:rPr>
                <w:lang w:val="en-NZ"/>
              </w:rPr>
            </w:pPr>
            <w:r w:rsidRPr="002A1B0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B02">
            <w:pPr>
              <w:pStyle w:val="BodyText"/>
              <w:rPr>
                <w:lang w:val="en-NZ"/>
              </w:rPr>
            </w:pPr>
            <w:r w:rsidRPr="002A1B0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B02">
            <w:pPr>
              <w:pStyle w:val="BodyText"/>
              <w:rPr>
                <w:lang w:val="en-NZ"/>
              </w:rPr>
            </w:pPr>
            <w:r w:rsidRPr="002A1B02">
              <w:t>Points</w:t>
            </w:r>
          </w:p>
        </w:tc>
      </w:tr>
      <w:tr w:rsidTr="009C4FF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B02">
            <w:pPr>
              <w:pStyle w:val="BodyText"/>
              <w:rPr>
                <w:lang w:val="en-NZ"/>
              </w:rPr>
            </w:pPr>
            <w:r w:rsidRPr="002A1B02">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B02">
            <w:pPr>
              <w:pStyle w:val="BodyText"/>
              <w:rPr>
                <w:lang w:val="en-NZ"/>
              </w:rPr>
            </w:pPr>
            <w:r w:rsidRPr="002A1B0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B02">
            <w:pPr>
              <w:pStyle w:val="BodyText"/>
              <w:rPr>
                <w:lang w:val="en-NZ"/>
              </w:rPr>
            </w:pPr>
            <w:r w:rsidRPr="002A1B02">
              <w:t>Correct Required Skills and Knowledge clause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B02" w:rsidP="002A1B02">
            <w:pPr>
              <w:pStyle w:val="BodyText"/>
            </w:pPr>
          </w:p>
        </w:tc>
      </w:tr>
    </w:tbl>
    <w:p w:rsidR="00000000" w:rsidRPr="002A1B02" w:rsidP="002A1B02">
      <w:pPr>
        <w:pStyle w:val="BodyText"/>
      </w:pPr>
    </w:p>
    <w:p w:rsidR="00000000" w:rsidRPr="002A1B02" w:rsidP="002A1B02">
      <w:pPr>
        <w:pStyle w:val="AllowPageBreak"/>
      </w:pPr>
    </w:p>
    <w:p w:rsidR="00000000" w:rsidRPr="002A1B02" w:rsidP="002A1B02">
      <w:pPr>
        <w:pStyle w:val="Heading1"/>
      </w:pPr>
      <w:bookmarkStart w:id="2" w:name="O_718063"/>
      <w:bookmarkEnd w:id="2"/>
      <w:r w:rsidRPr="002A1B02">
        <w:t>Unit Descriptor</w:t>
      </w:r>
    </w:p>
    <w:tbl>
      <w:tblPr>
        <w:tblW w:w="0" w:type="auto"/>
        <w:tblLayout w:type="fixed"/>
        <w:tblCellMar>
          <w:left w:w="62" w:type="dxa"/>
          <w:right w:w="62" w:type="dxa"/>
        </w:tblCellMar>
        <w:tblLook w:val="0000"/>
      </w:tblPr>
      <w:tblGrid>
        <w:gridCol w:w="2700"/>
        <w:gridCol w:w="5760"/>
      </w:tblGrid>
      <w:tr w:rsidTr="009C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1</w:t>
            </w:r>
            <w:r w:rsidRPr="002A1B02">
              <w:t xml:space="preserve">) </w:t>
            </w:r>
          </w:p>
          <w:p w:rsidR="00000000" w:rsidP="002A1B02">
            <w:pPr>
              <w:pStyle w:val="BodyText"/>
              <w:rPr>
                <w:lang w:val="en-NZ"/>
              </w:rPr>
            </w:pPr>
            <w:r w:rsidRPr="002A1B02">
              <w:rPr>
                <w:rStyle w:val="SpecialBold"/>
              </w:rPr>
              <w:t>1</w:t>
            </w:r>
            <w:r w:rsidRPr="002A1B02">
              <w:t>.</w:t>
            </w:r>
            <w:r w:rsidRPr="002A1B02">
              <w:rPr>
                <w:rStyle w:val="SpecialBold"/>
              </w:rPr>
              <w:t>1</w:t>
            </w:r>
            <w:r w:rsidRPr="002A1B02">
              <w:t xml:space="preserve">) </w:t>
            </w:r>
            <w:r w:rsidRPr="002A1B02">
              <w:rPr>
                <w:rStyle w:val="SpecialBold"/>
              </w:rPr>
              <w:t>Descriptor</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This unit covers the installation, set up and commission of interval metering for measurement of energy use by consumers under choice of supplier arrangement. It encompasses working safely and to installation and set u</w:t>
            </w:r>
            <w:r w:rsidRPr="002A1B02">
              <w:t>p standards, evaluating the integrity of metering wiring and earthing systems, fixing metering, making power and communication connections, setting meter parameters and completing the necessary documentation.</w:t>
            </w:r>
          </w:p>
        </w:tc>
      </w:tr>
    </w:tbl>
    <w:p w:rsidR="009C4FFA" w:rsidP="002A1B02">
      <w:pPr>
        <w:pStyle w:val="BodyText"/>
      </w:pPr>
    </w:p>
    <w:p w:rsidR="009C4FFA" w:rsidP="002A1B02">
      <w:pPr>
        <w:pStyle w:val="BodyText"/>
      </w:pPr>
    </w:p>
    <w:p w:rsidR="00000000" w:rsidRPr="002A1B02" w:rsidP="002A1B02">
      <w:pPr>
        <w:pStyle w:val="Heading1"/>
      </w:pPr>
      <w:bookmarkStart w:id="3" w:name="O_718062"/>
      <w:bookmarkEnd w:id="3"/>
      <w:r w:rsidRPr="002A1B02">
        <w:t>Application of the Unit</w:t>
      </w:r>
    </w:p>
    <w:tbl>
      <w:tblPr>
        <w:tblW w:w="0" w:type="auto"/>
        <w:tblLayout w:type="fixed"/>
        <w:tblCellMar>
          <w:left w:w="62" w:type="dxa"/>
          <w:right w:w="62" w:type="dxa"/>
        </w:tblCellMar>
        <w:tblLook w:val="0000"/>
      </w:tblPr>
      <w:tblGrid>
        <w:gridCol w:w="2700"/>
        <w:gridCol w:w="5760"/>
      </w:tblGrid>
      <w:tr w:rsidTr="009C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App</w:t>
            </w:r>
            <w:r w:rsidRPr="002A1B02">
              <w:rPr>
                <w:rStyle w:val="SpecialBold"/>
              </w:rPr>
              <w:t>lication of the Unit</w:t>
            </w:r>
          </w:p>
        </w:tc>
        <w:tc>
          <w:tcPr>
            <w:tcW w:w="57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4</w:t>
            </w:r>
            <w:r w:rsidRPr="002A1B02">
              <w:t>)</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This unit is intended as an additional competency to relevant competencies previously acquired. It is suitable for employment-based programs under an approved contract of training at the aligned AQF 3 level or higher.</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P="002A1B02">
            <w:pPr>
              <w:pStyle w:val="ListBullet"/>
              <w:rPr>
                <w:lang w:val="en-NZ"/>
              </w:rPr>
            </w:pPr>
            <w:r w:rsidRPr="002A1B02">
              <w:t>license to practice in the workplace subject to regulations for undertaking of electrical work.</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 xml:space="preserve">Practice in workplace and during training is also subject to regulations directly related to occupational health and safety and where applicable contracts of </w:t>
            </w:r>
            <w:r w:rsidRPr="002A1B02">
              <w:t>training such as apprenticeships.</w:t>
            </w:r>
          </w:p>
          <w:p w:rsidR="00000000" w:rsidRPr="002A1B02" w:rsidP="002A1B02">
            <w:pPr>
              <w:pStyle w:val="BodyText"/>
            </w:pPr>
            <w:r w:rsidRPr="002A1B02">
              <w:t>Note:</w:t>
            </w:r>
            <w:r w:rsidRPr="002A1B02">
              <w:br/>
            </w:r>
            <w:r w:rsidRPr="002A1B02">
              <w:t>1. Compliance with permits may be required in various jurisdictions and typically relates to the operation of plant, machinery and equipment such as elevating work platforms, powder operated fixing tools, power operated tools, vehicles, road signage and tr</w:t>
            </w:r>
            <w:r w:rsidRPr="002A1B02">
              <w:t>affic control and lifting equipment. Permits may also be required for some work environments such as confined spaces, working aloft, near live electrical apparatus and site rehabilitation.</w:t>
            </w:r>
            <w:r w:rsidRPr="002A1B02">
              <w:br/>
              <w:t xml:space="preserve">2. Compliance may be required in various jurisdictions relating to </w:t>
            </w:r>
            <w:r w:rsidRPr="002A1B02">
              <w:t>currency in First Aid, confined space, lifting and risk safety measures.</w:t>
            </w:r>
          </w:p>
        </w:tc>
      </w:tr>
    </w:tbl>
    <w:p w:rsidR="009C4FFA" w:rsidP="002A1B02">
      <w:pPr>
        <w:pStyle w:val="BodyText"/>
      </w:pPr>
    </w:p>
    <w:p w:rsidR="009C4FFA" w:rsidP="002A1B02">
      <w:pPr>
        <w:pStyle w:val="BodyText"/>
      </w:pPr>
    </w:p>
    <w:p w:rsidR="00000000" w:rsidRPr="002A1B02" w:rsidP="002A1B02">
      <w:pPr>
        <w:pStyle w:val="Heading1"/>
      </w:pPr>
      <w:bookmarkStart w:id="4" w:name="O_718061"/>
      <w:bookmarkEnd w:id="4"/>
      <w:r w:rsidRPr="002A1B02">
        <w:t>Licensing/Regulatory Information</w:t>
      </w:r>
    </w:p>
    <w:tbl>
      <w:tblPr>
        <w:tblW w:w="0" w:type="auto"/>
        <w:tblLayout w:type="fixed"/>
        <w:tblCellMar>
          <w:left w:w="62" w:type="dxa"/>
          <w:right w:w="62" w:type="dxa"/>
        </w:tblCellMar>
        <w:tblLook w:val="0000"/>
      </w:tblPr>
      <w:tblGrid>
        <w:gridCol w:w="8460"/>
      </w:tblGrid>
      <w:tr w:rsidTr="009C4F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1</w:t>
            </w:r>
            <w:r w:rsidRPr="002A1B02">
              <w:t>.</w:t>
            </w:r>
            <w:r w:rsidRPr="002A1B02">
              <w:rPr>
                <w:rStyle w:val="SpecialBold"/>
              </w:rPr>
              <w:t>2</w:t>
            </w:r>
            <w:r w:rsidRPr="002A1B02">
              <w:t xml:space="preserve">) </w:t>
            </w:r>
            <w:r w:rsidRPr="002A1B02">
              <w:rPr>
                <w:rStyle w:val="SpecialBold"/>
              </w:rPr>
              <w:t>License to practice</w:t>
            </w:r>
          </w:p>
        </w:tc>
      </w:tr>
      <w:tr w:rsidTr="009C4F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The skills and knowledge described in this unit require a license to practice in the workplace subject t</w:t>
            </w:r>
            <w:r w:rsidRPr="002A1B02">
              <w:t>o regulations for undertaking of electrical work. Practice in workplace and during training is also subject to regulations directly related to occupational health and safety and where applicable contracts of training such as apprenticeships.</w:t>
            </w:r>
          </w:p>
        </w:tc>
      </w:tr>
    </w:tbl>
    <w:p w:rsidR="009C4FFA" w:rsidP="002A1B02">
      <w:pPr>
        <w:pStyle w:val="BodyText"/>
      </w:pPr>
    </w:p>
    <w:p w:rsidR="009C4FFA" w:rsidP="002A1B02">
      <w:pPr>
        <w:pStyle w:val="BodyText"/>
      </w:pPr>
    </w:p>
    <w:p w:rsidR="00000000" w:rsidRPr="002A1B02" w:rsidP="002A1B02">
      <w:pPr>
        <w:pStyle w:val="Heading1"/>
      </w:pPr>
      <w:bookmarkStart w:id="5" w:name="O_718060"/>
      <w:bookmarkEnd w:id="5"/>
      <w:r w:rsidRPr="002A1B02">
        <w:t>Pre-Requisites</w:t>
      </w:r>
    </w:p>
    <w:tbl>
      <w:tblPr>
        <w:tblW w:w="0" w:type="auto"/>
        <w:tblLayout w:type="fixed"/>
        <w:tblCellMar>
          <w:left w:w="62" w:type="dxa"/>
          <w:right w:w="62" w:type="dxa"/>
        </w:tblCellMar>
        <w:tblLook w:val="0000"/>
      </w:tblPr>
      <w:tblGrid>
        <w:gridCol w:w="2700"/>
        <w:gridCol w:w="1530"/>
        <w:gridCol w:w="4230"/>
      </w:tblGrid>
      <w:tr w:rsidTr="009C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Prerequisite Unit</w:t>
            </w:r>
            <w:r w:rsidRPr="002A1B02">
              <w:t>(</w:t>
            </w:r>
            <w:r w:rsidRPr="002A1B02">
              <w:rPr>
                <w:rStyle w:val="SpecialBold"/>
              </w:rPr>
              <w:t>s</w:t>
            </w:r>
            <w:r w:rsidRPr="002A1B02">
              <w:t>)</w:t>
            </w:r>
          </w:p>
        </w:tc>
        <w:tc>
          <w:tcPr>
            <w:tcW w:w="5760" w:type="dxa"/>
            <w:gridSpan w:val="2"/>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2</w:t>
            </w:r>
            <w:r w:rsidRPr="002A1B02">
              <w:t xml:space="preserve">) </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1B02">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2</w:t>
            </w:r>
            <w:r w:rsidRPr="002A1B02">
              <w:t>.</w:t>
            </w:r>
            <w:r w:rsidRPr="002A1B02">
              <w:rPr>
                <w:rStyle w:val="SpecialBold"/>
              </w:rPr>
              <w:t>1</w:t>
            </w:r>
            <w:r w:rsidRPr="002A1B02">
              <w:t xml:space="preserve">) </w:t>
            </w:r>
            <w:r w:rsidRPr="002A1B02">
              <w:rPr>
                <w:rStyle w:val="SpecialBold"/>
              </w:rPr>
              <w:t>Competencies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Granting competency in this unit shall be made only after competency in the following unit(s) has/have been confirmed.</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UEENEEE101A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Apply Occupational Health and Safety regulations, codes and practices in the workplace</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UEENEEE102A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Fabricate, dismantle, assemble of electrotechnology components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UEENEEE10</w:t>
            </w:r>
            <w:r w:rsidRPr="002A1B02">
              <w:t xml:space="preserve">4A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Solve problems in d.c circuits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UEENEEE105A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Fix and secure electrotechnology equipment</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UEENEEE107A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Use drawings, diagrams, schedules, standards, codes and specifications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UEENEEE137A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Document and apply measures to control OHS risks associated with electrotechnology work</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UEENEEG006A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Solve pro</w:t>
            </w:r>
            <w:r w:rsidRPr="002A1B02">
              <w:t>blems in single and three phase low voltage machines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UEENEEG033A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Solve problems in single and three phase electrical apparatus and circuits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UEENEEG063A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Arrange circuits, control and protection for general electrical installations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UEENEEG101A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Solve problems in electromagnetic devices and related circuits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UEENEEG102A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Solve problems in low voltage a.c. circuit</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UEENEEG103A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Install low voltage wiring and accessories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UEENEEG106A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Terminate cables, cords and accessories for low voltage circui</w:t>
            </w:r>
            <w:r w:rsidRPr="002A1B02">
              <w:t>ts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UEENEEG107A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Select wiring systems and cables for low voltage general electrical installations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UEENEEG108A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Trouble-shoot and repair faults in low voltage electrical apparatus and circuits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UEENEEG109A </w:t>
            </w:r>
          </w:p>
        </w:tc>
        <w:tc>
          <w:tcPr>
            <w:tcW w:w="42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Develop and connect electrical control circuits</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UEENEEG104A </w:t>
            </w:r>
          </w:p>
        </w:tc>
        <w:tc>
          <w:tcPr>
            <w:tcW w:w="423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Install appliances, switchgear and associated accessories for low voltage electrical installations</w:t>
            </w:r>
          </w:p>
        </w:tc>
      </w:tr>
    </w:tbl>
    <w:p w:rsidR="009C4FFA" w:rsidP="002A1B02">
      <w:pPr>
        <w:pStyle w:val="BodyText"/>
      </w:pPr>
    </w:p>
    <w:p w:rsidR="009C4FFA" w:rsidP="002A1B02">
      <w:pPr>
        <w:pStyle w:val="BodyText"/>
      </w:pPr>
    </w:p>
    <w:p w:rsidR="00000000" w:rsidRPr="002A1B02" w:rsidP="002A1B02">
      <w:pPr>
        <w:pStyle w:val="Heading1"/>
      </w:pPr>
      <w:bookmarkStart w:id="6" w:name="O_718059"/>
      <w:bookmarkEnd w:id="6"/>
      <w:r w:rsidRPr="002A1B02">
        <w:t>Employability Skills Information</w:t>
      </w:r>
    </w:p>
    <w:tbl>
      <w:tblPr>
        <w:tblW w:w="0" w:type="auto"/>
        <w:tblLayout w:type="fixed"/>
        <w:tblCellMar>
          <w:left w:w="62" w:type="dxa"/>
          <w:right w:w="62" w:type="dxa"/>
        </w:tblCellMar>
        <w:tblLook w:val="0000"/>
      </w:tblPr>
      <w:tblGrid>
        <w:gridCol w:w="2700"/>
        <w:gridCol w:w="5760"/>
      </w:tblGrid>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3</w:t>
            </w:r>
            <w:r w:rsidRPr="002A1B02">
              <w:t>)</w:t>
            </w:r>
          </w:p>
          <w:p w:rsidR="00000000" w:rsidRPr="002A1B02" w:rsidP="002A1B02">
            <w:pPr>
              <w:pStyle w:val="BodyText"/>
            </w:pPr>
            <w:r w:rsidRPr="002A1B02">
              <w:t>This unit contain</w:t>
            </w:r>
            <w:r w:rsidRPr="002A1B02">
              <w:t>s Employability Skills</w:t>
            </w:r>
          </w:p>
          <w:p w:rsidR="00000000" w:rsidRPr="002A1B02" w:rsidP="002A1B02">
            <w:pPr>
              <w:pStyle w:val="BodyText"/>
            </w:pPr>
            <w:r w:rsidRPr="002A1B02">
              <w:t>The required outcomes described in this unit of competency contain applicable facets of Employability Skills. The Employability Skills Summary of the qualification in which this unit of competency is packaged will assist in identifyi</w:t>
            </w:r>
            <w:r w:rsidRPr="002A1B02">
              <w:t>ng Employability Skill requirements.</w:t>
            </w:r>
          </w:p>
        </w:tc>
      </w:tr>
    </w:tbl>
    <w:p w:rsidR="009C4FFA" w:rsidP="002A1B02">
      <w:pPr>
        <w:pStyle w:val="BodyText"/>
      </w:pPr>
    </w:p>
    <w:p w:rsidR="009C4FFA" w:rsidP="002A1B02">
      <w:pPr>
        <w:pStyle w:val="BodyText"/>
      </w:pPr>
    </w:p>
    <w:p w:rsidR="00000000" w:rsidRPr="002A1B02" w:rsidP="002A1B02">
      <w:pPr>
        <w:pStyle w:val="Heading1"/>
      </w:pPr>
      <w:bookmarkStart w:id="7" w:name="O_718058"/>
      <w:bookmarkEnd w:id="7"/>
      <w:r w:rsidRPr="002A1B02">
        <w:t>Elements and Performance Criteria Pre-Content</w:t>
      </w:r>
    </w:p>
    <w:tbl>
      <w:tblPr>
        <w:tblW w:w="0" w:type="auto"/>
        <w:tblLayout w:type="fixed"/>
        <w:tblCellMar>
          <w:left w:w="62" w:type="dxa"/>
          <w:right w:w="62" w:type="dxa"/>
        </w:tblCellMar>
        <w:tblLook w:val="0000"/>
      </w:tblPr>
      <w:tblGrid>
        <w:gridCol w:w="2410"/>
        <w:gridCol w:w="6523"/>
      </w:tblGrid>
      <w:tr w:rsidTr="009C4FFA">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6</w:t>
            </w:r>
            <w:r w:rsidRPr="002A1B02">
              <w:t>) Elements describe the essential outcomes of a unit of competency</w:t>
            </w:r>
          </w:p>
        </w:tc>
        <w:tc>
          <w:tcPr>
            <w:tcW w:w="6523"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Performance criteria describe the required performance needed to demonstrate achieve</w:t>
            </w:r>
            <w:r w:rsidRPr="002A1B02">
              <w:t>ment of the Element. Assessment of performance is to be consistent with the evidence guide.</w:t>
            </w:r>
          </w:p>
        </w:tc>
      </w:tr>
    </w:tbl>
    <w:p w:rsidR="00000000" w:rsidRPr="002A1B02" w:rsidP="002A1B02">
      <w:pPr>
        <w:pStyle w:val="BodyText"/>
      </w:pPr>
    </w:p>
    <w:p w:rsidR="00000000" w:rsidRPr="002A1B02" w:rsidP="002A1B02">
      <w:pPr>
        <w:pStyle w:val="AllowPageBreak"/>
      </w:pPr>
    </w:p>
    <w:p w:rsidR="00000000" w:rsidRPr="002A1B02" w:rsidP="002A1B02">
      <w:pPr>
        <w:pStyle w:val="Heading1"/>
      </w:pPr>
      <w:bookmarkStart w:id="8" w:name="O_718057"/>
      <w:bookmarkEnd w:id="8"/>
      <w:r w:rsidRPr="002A1B02">
        <w:t>Elements and Performance Criteria</w:t>
      </w:r>
    </w:p>
    <w:tbl>
      <w:tblPr>
        <w:tblW w:w="0" w:type="auto"/>
        <w:tblLayout w:type="fixed"/>
        <w:tblCellMar>
          <w:left w:w="62" w:type="dxa"/>
          <w:right w:w="62" w:type="dxa"/>
        </w:tblCellMar>
        <w:tblLook w:val="0000"/>
      </w:tblPr>
      <w:tblGrid>
        <w:gridCol w:w="360"/>
        <w:gridCol w:w="2050"/>
        <w:gridCol w:w="900"/>
        <w:gridCol w:w="5623"/>
      </w:tblGrid>
      <w:tr w:rsidTr="009C4FFA">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ELEMENT</w:t>
            </w:r>
          </w:p>
        </w:tc>
        <w:tc>
          <w:tcPr>
            <w:tcW w:w="6523" w:type="dxa"/>
            <w:gridSpan w:val="2"/>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PERFORMANCE CRITERIA</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w:t>
            </w:r>
          </w:p>
        </w:tc>
        <w:tc>
          <w:tcPr>
            <w:tcW w:w="2050" w:type="dxa"/>
            <w:vMerge w:val="restart"/>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Prepare to install, set up and commission interval metering.</w:t>
            </w: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1.1</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OHS procedures for a given work area are identified, obtained and understood. </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1.2</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Health and safety risks are identified and established risk control measures and procedures in preparation for the work are followed.</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1.3</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Safety hazards that have not previously been identified are noted and established risk control measures are implemented. (Note 1.)</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1.4</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Switchboard on which the meter is to be installed is inspected and evaluated for compliance with safety and functional</w:t>
            </w:r>
            <w:r w:rsidRPr="002A1B02">
              <w:t>ity standards. (Note 2)</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1.5</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Approval to rectify safety and/or functionality defects of the switchboard is sought from person of higher authority in accordance with established procedures.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1.6</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Installation of the meter and rectification work is prepared in consultation with other effected by the work and sequenced appropriately. (Note 3)</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1.7</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Material needed for the work is obtained in accordance with established procedures and checked against</w:t>
            </w:r>
            <w:r w:rsidRPr="002A1B02">
              <w:t xml:space="preserve"> job requirements.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1.8</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Tools, equipment and testing devices needed to for the work are obtained in accordance with established procedures and checked for correct operation and safety.</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w:t>
            </w:r>
          </w:p>
        </w:tc>
        <w:tc>
          <w:tcPr>
            <w:tcW w:w="2050" w:type="dxa"/>
            <w:vMerge w:val="restart"/>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Install, set up and commission interval metering.</w:t>
            </w: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2.1</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OHS risk con</w:t>
            </w:r>
            <w:r w:rsidRPr="002A1B02">
              <w:t>trol measures and procedures for carrying out the work are followed.</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2.2</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The need to test or measure live is determined in strict accordance with OHS requirements and when necessary conducted within established safety procedures.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2.3</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Existing metering is checked as being isolated in strict accordance OHS requirements and procedures.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2.4</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Approved rectification work is carried out to comply with standards and in accordance with established procedures.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2.5</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Metering is installed to comply with technical standards and job specifications and requirements. </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2.6</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 xml:space="preserve">Metering power and communication connections are made in accordance with manufacture's specifications and functional and regulatory requirements. </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2.7</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Meter operating parameters are set in accordance with manufacture's specifications and functional and regulatory requirements.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2.8</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Unexpected situations are dealt with safely and with the approval of an authorised person</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2.9</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Ongoing checks of the quality of installed apparatus are undertaken in accordance with established procedures.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2.10</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Metering installation is carried out efficiently without unnecessary waste of materials or damage to apparatus, circuits, the surrounding</w:t>
            </w:r>
            <w:r w:rsidRPr="002A1B02">
              <w:t xml:space="preserve"> environment or services and using sustainable energy principles.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3</w:t>
            </w:r>
          </w:p>
        </w:tc>
        <w:tc>
          <w:tcPr>
            <w:tcW w:w="2050" w:type="dxa"/>
            <w:vMerge w:val="restart"/>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Completion and report metering installation activities.</w:t>
            </w: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3.1</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OHS work completion risk control measures and procedures are followed and supply is reinstated to the installation.</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3.2</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Work site is cleaned and made safe in accordance with established procedures.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3.3</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Final checks are made to that the installed metering conforms to requirements.</w:t>
            </w:r>
          </w:p>
        </w:tc>
      </w:tr>
      <w:tr w:rsidTr="009C4FF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3.4</w:t>
            </w:r>
          </w:p>
        </w:tc>
        <w:tc>
          <w:tcPr>
            <w:tcW w:w="562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'As-installed' metering and rectification work is documented and appropriate persons notified in accordance with established procedures.</w:t>
            </w:r>
          </w:p>
        </w:tc>
      </w:tr>
      <w:tr w:rsidTr="009C4FFA">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Note.</w:t>
            </w:r>
            <w:r w:rsidRPr="002A1B02">
              <w:br/>
              <w:t>1. Examples of hazards likely to be encountered are asbestos reinforced switchboard panels, deteriorating switch</w:t>
            </w:r>
            <w:r w:rsidRPr="002A1B02">
              <w:t>gear and cabling and location of the switchboard.</w:t>
            </w:r>
            <w:r w:rsidRPr="002A1B02">
              <w:br/>
              <w:t>2. Safety and functionality standards include the clear identification of switchboard components and their function, sound electrical insulation of wiring and components, sound MEN and main earth connection</w:t>
            </w:r>
            <w:r w:rsidRPr="002A1B02">
              <w:t>s, fire integrity and access.</w:t>
            </w:r>
            <w:r w:rsidRPr="002A1B02">
              <w:br/>
              <w:t>3. Preparation includes arranging for the safe isolation of the installation, access to a telecommunications connection where two-way metering is to be installed and access to a transducer connection where gas metering is to b</w:t>
            </w:r>
            <w:r w:rsidRPr="002A1B02">
              <w:t>e included.</w:t>
            </w:r>
          </w:p>
        </w:tc>
      </w:tr>
    </w:tbl>
    <w:p w:rsidR="009C4FFA" w:rsidP="002A1B02">
      <w:pPr>
        <w:pStyle w:val="BodyText"/>
      </w:pPr>
    </w:p>
    <w:p w:rsidR="009C4FFA" w:rsidP="002A1B02">
      <w:pPr>
        <w:pStyle w:val="BodyText"/>
      </w:pPr>
    </w:p>
    <w:p w:rsidR="00000000" w:rsidRPr="002A1B02" w:rsidP="002A1B02">
      <w:pPr>
        <w:pStyle w:val="Heading1"/>
      </w:pPr>
      <w:bookmarkStart w:id="9" w:name="O_718056"/>
      <w:bookmarkEnd w:id="9"/>
      <w:r w:rsidRPr="002A1B02">
        <w:t>Required Skills and Knowledge</w:t>
      </w:r>
    </w:p>
    <w:tbl>
      <w:tblPr>
        <w:tblW w:w="0" w:type="auto"/>
        <w:tblLayout w:type="fixed"/>
        <w:tblCellMar>
          <w:left w:w="62" w:type="dxa"/>
          <w:right w:w="62" w:type="dxa"/>
        </w:tblCellMar>
        <w:tblLook w:val="0000"/>
      </w:tblPr>
      <w:tblGrid>
        <w:gridCol w:w="2410"/>
        <w:gridCol w:w="1843"/>
        <w:gridCol w:w="4680"/>
      </w:tblGrid>
      <w:tr w:rsidTr="009C4FFA">
        <w:tblPrEx>
          <w:tblW w:w="0" w:type="auto"/>
          <w:tblLayout w:type="fixed"/>
          <w:tblCellMar>
            <w:left w:w="62" w:type="dxa"/>
            <w:right w:w="62" w:type="dxa"/>
          </w:tblCellMar>
          <w:tblLook w:val="0000"/>
        </w:tblPrEx>
        <w:trPr>
          <w:tblHeader/>
        </w:trPr>
        <w:tc>
          <w:tcPr>
            <w:tcW w:w="8933" w:type="dxa"/>
            <w:gridSpan w:val="3"/>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REQUIRED SKILLS AND KNOWLEDGE</w:t>
            </w:r>
          </w:p>
        </w:tc>
      </w:tr>
      <w:tr w:rsidTr="009C4FFA">
        <w:tblPrEx>
          <w:tblW w:w="0" w:type="auto"/>
          <w:tblLayout w:type="fixed"/>
          <w:tblCellMar>
            <w:left w:w="62" w:type="dxa"/>
            <w:right w:w="62" w:type="dxa"/>
          </w:tblCellMar>
          <w:tblLook w:val="0000"/>
        </w:tblPrEx>
        <w:tc>
          <w:tcPr>
            <w:tcW w:w="8933" w:type="dxa"/>
            <w:gridSpan w:val="3"/>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7</w:t>
            </w:r>
            <w:r w:rsidRPr="002A1B02">
              <w:t>) This describes the essential skills and knowledge and their level, required for this unit.</w:t>
            </w:r>
          </w:p>
        </w:tc>
      </w:tr>
      <w:tr w:rsidTr="009C4FFA">
        <w:tblPrEx>
          <w:tblW w:w="0" w:type="auto"/>
          <w:tblLayout w:type="fixed"/>
          <w:tblCellMar>
            <w:left w:w="62" w:type="dxa"/>
            <w:right w:w="62" w:type="dxa"/>
          </w:tblCellMar>
          <w:tblLook w:val="0000"/>
        </w:tblPrEx>
        <w:tc>
          <w:tcPr>
            <w:tcW w:w="893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Evidence shall show that knowledge has been acquired of safe working practices and installing, setting up and commissioning of interval metering.</w:t>
            </w:r>
          </w:p>
          <w:p w:rsidR="00000000" w:rsidRPr="002A1B02" w:rsidP="002A1B02">
            <w:pPr>
              <w:pStyle w:val="BodyText"/>
            </w:pPr>
            <w:r w:rsidRPr="002A1B02">
              <w:t>All knowledge and skills detailed in this unit should be contextualised to current industry practices and tech</w:t>
            </w:r>
            <w:r w:rsidRPr="002A1B02">
              <w:t>nologies.</w:t>
            </w:r>
          </w:p>
          <w:p w:rsidR="00000000" w:rsidP="002A1B02">
            <w:pPr>
              <w:pStyle w:val="BodyText"/>
              <w:rPr>
                <w:lang w:val="en-NZ"/>
              </w:rPr>
            </w:pPr>
            <w:r w:rsidRPr="002A1B02">
              <w:t>The extent of the essential knowledge and associated skills (EKAS) required is given in Volume 2 - Part 2.2 EKAS.  It forms an integral part of this unit.</w:t>
            </w:r>
          </w:p>
        </w:tc>
      </w:tr>
      <w:tr w:rsidTr="009C4FFA">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RPr="002A1B02">
            <w:pPr>
              <w:pStyle w:val="BodyText"/>
              <w:keepNext w:val="0"/>
              <w:keepLines w:val="0"/>
              <w:contextualSpacing w:val="0"/>
            </w:pPr>
          </w:p>
        </w:tc>
        <w:tc>
          <w:tcPr>
            <w:tcW w:w="1843"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KS01-EG172A</w:t>
            </w:r>
          </w:p>
        </w:tc>
        <w:tc>
          <w:tcPr>
            <w:tcW w:w="468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Electrical incidents - investigation and reporting</w:t>
            </w:r>
          </w:p>
        </w:tc>
      </w:tr>
      <w:tr w:rsidTr="009C4FFA">
        <w:tblPrEx>
          <w:tblW w:w="0" w:type="auto"/>
          <w:tblLayout w:type="fixed"/>
          <w:tblCellMar>
            <w:left w:w="62" w:type="dxa"/>
            <w:right w:w="62" w:type="dxa"/>
          </w:tblCellMar>
          <w:tblLook w:val="0000"/>
        </w:tblPrEx>
        <w:tc>
          <w:tcPr>
            <w:tcW w:w="893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T1</w:t>
            </w:r>
            <w:r w:rsidRPr="002A1B02">
              <w:tab/>
            </w:r>
            <w:r w:rsidRPr="002A1B02">
              <w:t>Procedures and protocols for giving evidence in court encompassing:</w:t>
            </w:r>
          </w:p>
          <w:p w:rsidR="00000000" w:rsidRPr="002A1B02" w:rsidP="002A1B02">
            <w:pPr>
              <w:pStyle w:val="ListBullet2"/>
            </w:pPr>
            <w:r w:rsidRPr="002A1B02">
              <w:t>Process for responding to a witness summons</w:t>
            </w:r>
          </w:p>
          <w:p w:rsidR="00000000" w:rsidRPr="002A1B02" w:rsidP="002A1B02">
            <w:pPr>
              <w:pStyle w:val="ListBullet2"/>
            </w:pPr>
            <w:r w:rsidRPr="002A1B02">
              <w:t>Requirements for preparing to appear in court to give evidence</w:t>
            </w:r>
          </w:p>
          <w:p w:rsidR="00000000" w:rsidRPr="002A1B02" w:rsidP="002A1B02">
            <w:pPr>
              <w:pStyle w:val="ListBullet2"/>
            </w:pPr>
            <w:r w:rsidRPr="002A1B02">
              <w:t>Court procedures and protocols for giving evidence</w:t>
            </w:r>
          </w:p>
          <w:p w:rsidR="00000000" w:rsidRPr="002A1B02" w:rsidP="002A1B02">
            <w:pPr>
              <w:pStyle w:val="BodyText"/>
            </w:pPr>
          </w:p>
          <w:p w:rsidR="00000000" w:rsidRPr="002A1B02" w:rsidP="002A1B02">
            <w:pPr>
              <w:pStyle w:val="BodyText"/>
            </w:pPr>
            <w:r w:rsidRPr="002A1B02">
              <w:t>T2</w:t>
            </w:r>
            <w:r w:rsidRPr="002A1B02">
              <w:tab/>
              <w:t xml:space="preserve">Procedures and processes </w:t>
            </w:r>
            <w:r w:rsidRPr="002A1B02">
              <w:t xml:space="preserve">for responding to reported electrical incidents encompassing: </w:t>
            </w:r>
          </w:p>
          <w:p w:rsidR="00000000" w:rsidRPr="002A1B02" w:rsidP="002A1B02">
            <w:pPr>
              <w:pStyle w:val="ListBullet2"/>
            </w:pPr>
            <w:r w:rsidRPr="002A1B02">
              <w:t>Reporting requirements of the electricity legislation for electrical accidents on customer’s premises.</w:t>
            </w:r>
          </w:p>
          <w:p w:rsidR="00000000" w:rsidRPr="002A1B02" w:rsidP="002A1B02">
            <w:pPr>
              <w:pStyle w:val="ListBullet2"/>
            </w:pPr>
            <w:r w:rsidRPr="002A1B02">
              <w:t>Responsible for investigating electrical accidents on customer’s premises.</w:t>
            </w:r>
          </w:p>
          <w:p w:rsidR="00000000" w:rsidRPr="002A1B02" w:rsidP="002A1B02">
            <w:pPr>
              <w:pStyle w:val="ListBullet2"/>
            </w:pPr>
            <w:r w:rsidRPr="002A1B02">
              <w:t>Reporting proc</w:t>
            </w:r>
            <w:r w:rsidRPr="002A1B02">
              <w:t>edures of electrical accidents on consumer’s premises and distributor’s assets.</w:t>
            </w:r>
          </w:p>
          <w:p w:rsidR="00000000" w:rsidRPr="002A1B02" w:rsidP="002A1B02">
            <w:pPr>
              <w:pStyle w:val="ListBullet2"/>
            </w:pPr>
            <w:r w:rsidRPr="002A1B02">
              <w:t>Actions to be taken when an electrical incident causes loss of life, personal injury or property damage.</w:t>
            </w:r>
          </w:p>
          <w:p w:rsidR="00000000" w:rsidRPr="002A1B02" w:rsidP="002A1B02">
            <w:pPr>
              <w:pStyle w:val="ListBullet2"/>
            </w:pPr>
            <w:r w:rsidRPr="002A1B02">
              <w:t>Initial task of an investigator of an electrical incident</w:t>
            </w:r>
          </w:p>
          <w:p w:rsidR="00000000" w:rsidRPr="002A1B02" w:rsidP="002A1B02">
            <w:pPr>
              <w:pStyle w:val="ListBullet2"/>
            </w:pPr>
            <w:r w:rsidRPr="002A1B02">
              <w:t>Extent of evi</w:t>
            </w:r>
            <w:r w:rsidRPr="002A1B02">
              <w:t>dence needed to be gathered from the site of an electrical incident</w:t>
            </w:r>
          </w:p>
          <w:p w:rsidR="00000000" w:rsidRPr="002A1B02" w:rsidP="002A1B02">
            <w:pPr>
              <w:pStyle w:val="BodyText"/>
            </w:pPr>
          </w:p>
          <w:p w:rsidR="00000000" w:rsidRPr="002A1B02" w:rsidP="002A1B02">
            <w:pPr>
              <w:pStyle w:val="BodyText"/>
            </w:pPr>
            <w:r w:rsidRPr="002A1B02">
              <w:t>T3</w:t>
            </w:r>
            <w:r w:rsidRPr="002A1B02">
              <w:tab/>
              <w:t>Conditions and actions that could result in death, injury of property damage from an electrical cause encompassing:</w:t>
            </w:r>
          </w:p>
          <w:p w:rsidR="00000000" w:rsidRPr="002A1B02" w:rsidP="002A1B02">
            <w:pPr>
              <w:pStyle w:val="ListBullet2"/>
            </w:pPr>
            <w:r w:rsidRPr="002A1B02">
              <w:t>Non-compliance defects of an electrical installation</w:t>
            </w:r>
          </w:p>
          <w:p w:rsidR="00000000" w:rsidRPr="002A1B02" w:rsidP="002A1B02">
            <w:pPr>
              <w:pStyle w:val="ListBullet2"/>
            </w:pPr>
            <w:r w:rsidRPr="002A1B02">
              <w:t>Connection or use of unsuitable (not approved) electrical equipment and appliances.</w:t>
            </w:r>
          </w:p>
          <w:p w:rsidR="00000000" w:rsidRPr="002A1B02" w:rsidP="002A1B02">
            <w:pPr>
              <w:pStyle w:val="ListBullet2"/>
            </w:pPr>
            <w:r w:rsidRPr="002A1B02">
              <w:t>Failure to follow safe working procedures.</w:t>
            </w:r>
          </w:p>
          <w:p w:rsidR="00000000" w:rsidRPr="002A1B02" w:rsidP="002A1B02">
            <w:pPr>
              <w:pStyle w:val="ListBullet2"/>
            </w:pPr>
            <w:r w:rsidRPr="002A1B02">
              <w:t>Deliberate misuse.</w:t>
            </w:r>
          </w:p>
          <w:p w:rsidR="00000000" w:rsidRPr="002A1B02" w:rsidP="002A1B02">
            <w:pPr>
              <w:pStyle w:val="ListBullet2"/>
            </w:pPr>
            <w:r w:rsidRPr="002A1B02">
              <w:t>Unacceptable rise in potential of exposed and extraneous conductive parts</w:t>
            </w:r>
          </w:p>
          <w:p w:rsidR="00000000" w:rsidRPr="002A1B02" w:rsidP="002A1B02">
            <w:pPr>
              <w:pStyle w:val="BodyText"/>
            </w:pPr>
          </w:p>
          <w:p w:rsidR="00000000" w:rsidRPr="002A1B02" w:rsidP="002A1B02">
            <w:pPr>
              <w:pStyle w:val="BodyText"/>
            </w:pPr>
            <w:r w:rsidRPr="002A1B02">
              <w:t>T4</w:t>
            </w:r>
            <w:r w:rsidRPr="002A1B02">
              <w:tab/>
              <w:t>Causes of rise in potential of e</w:t>
            </w:r>
            <w:r w:rsidRPr="002A1B02">
              <w:t>xposed and extraneous conductive parts encompassing:</w:t>
            </w:r>
          </w:p>
          <w:p w:rsidR="00000000" w:rsidRPr="002A1B02" w:rsidP="002A1B02">
            <w:pPr>
              <w:pStyle w:val="ListBullet2"/>
            </w:pPr>
            <w:r w:rsidRPr="002A1B02">
              <w:t>High impedance in the main or service neutral conductor of an MEN system.</w:t>
            </w:r>
          </w:p>
          <w:p w:rsidR="00000000" w:rsidRPr="002A1B02" w:rsidP="002A1B02">
            <w:pPr>
              <w:pStyle w:val="ListBullet2"/>
            </w:pPr>
            <w:r w:rsidRPr="002A1B02">
              <w:t>Earth faults.</w:t>
            </w:r>
          </w:p>
          <w:p w:rsidR="00000000" w:rsidRPr="002A1B02" w:rsidP="002A1B02">
            <w:pPr>
              <w:pStyle w:val="ListBullet2"/>
            </w:pPr>
            <w:r w:rsidRPr="002A1B02">
              <w:t>High impedance in the protective earthing under fault conditions.</w:t>
            </w:r>
          </w:p>
          <w:p w:rsidR="00000000" w:rsidRPr="002A1B02" w:rsidP="002A1B02">
            <w:pPr>
              <w:pStyle w:val="ListBullet2"/>
            </w:pPr>
            <w:r w:rsidRPr="002A1B02">
              <w:t>Ineffective equipotential bonding under fault co</w:t>
            </w:r>
            <w:r w:rsidRPr="002A1B02">
              <w:t>nditions.</w:t>
            </w:r>
          </w:p>
          <w:p w:rsidR="00000000" w:rsidRPr="002A1B02" w:rsidP="002A1B02">
            <w:pPr>
              <w:pStyle w:val="ListBullet2"/>
            </w:pPr>
            <w:r w:rsidRPr="002A1B02">
              <w:t>Ineffective protective device under fault conditions</w:t>
            </w:r>
          </w:p>
          <w:p w:rsidR="00000000" w:rsidRPr="002A1B02" w:rsidP="002A1B02">
            <w:pPr>
              <w:pStyle w:val="BodyText"/>
            </w:pPr>
          </w:p>
          <w:p w:rsidR="00000000" w:rsidRPr="002A1B02" w:rsidP="002A1B02">
            <w:pPr>
              <w:pStyle w:val="BodyText"/>
            </w:pPr>
            <w:r w:rsidRPr="002A1B02">
              <w:t>T5</w:t>
            </w:r>
            <w:r w:rsidRPr="002A1B02">
              <w:tab/>
              <w:t>Effects and consequences of current through the human body</w:t>
            </w:r>
          </w:p>
          <w:p w:rsidR="00000000" w:rsidRPr="002A1B02" w:rsidP="002A1B02">
            <w:pPr>
              <w:pStyle w:val="BodyText"/>
            </w:pPr>
          </w:p>
          <w:p w:rsidR="00000000" w:rsidRPr="002A1B02" w:rsidP="002A1B02">
            <w:pPr>
              <w:pStyle w:val="BodyText"/>
            </w:pPr>
            <w:r w:rsidRPr="002A1B02">
              <w:t>T6</w:t>
            </w:r>
            <w:r w:rsidRPr="002A1B02">
              <w:tab/>
              <w:t>Electrical sources of fire in building and premises</w:t>
            </w:r>
          </w:p>
          <w:p w:rsidR="00000000" w:rsidRPr="002A1B02" w:rsidP="002A1B02">
            <w:pPr>
              <w:pStyle w:val="BodyText"/>
            </w:pPr>
          </w:p>
          <w:p w:rsidR="00000000" w:rsidRPr="002A1B02" w:rsidP="002A1B02">
            <w:pPr>
              <w:pStyle w:val="BodyText"/>
            </w:pPr>
            <w:r w:rsidRPr="002A1B02">
              <w:t>T7</w:t>
            </w:r>
            <w:r w:rsidRPr="002A1B02">
              <w:tab/>
              <w:t xml:space="preserve">Advance electrical testing and measuring devices encompassing: </w:t>
            </w:r>
          </w:p>
          <w:p w:rsidR="00000000" w:rsidRPr="002A1B02" w:rsidP="002A1B02">
            <w:pPr>
              <w:pStyle w:val="ListBullet2"/>
            </w:pPr>
            <w:r w:rsidRPr="002A1B02">
              <w:t>Test/</w:t>
            </w:r>
            <w:r w:rsidRPr="002A1B02">
              <w:t xml:space="preserve">measuring devices and their application </w:t>
            </w:r>
          </w:p>
          <w:p w:rsidR="00000000" w:rsidRPr="002A1B02" w:rsidP="002A1B02">
            <w:pPr>
              <w:pStyle w:val="ListBullet2"/>
            </w:pPr>
            <w:r w:rsidRPr="002A1B02">
              <w:t xml:space="preserve">Safe connection of test/measuring devices into a circuit </w:t>
            </w:r>
          </w:p>
          <w:p w:rsidR="00000000" w:rsidRPr="002A1B02" w:rsidP="002A1B02">
            <w:pPr>
              <w:pStyle w:val="ListBullet2"/>
            </w:pPr>
            <w:r w:rsidRPr="002A1B02">
              <w:t>Taking readings</w:t>
            </w:r>
          </w:p>
          <w:p w:rsidR="00000000" w:rsidRPr="002A1B02" w:rsidP="002A1B02">
            <w:pPr>
              <w:pStyle w:val="ListBullet2"/>
            </w:pPr>
            <w:r w:rsidRPr="002A1B02">
              <w:t>Storage, maintenance and care of test/measuring devices</w:t>
            </w:r>
          </w:p>
          <w:p w:rsidR="00000000" w:rsidRPr="002A1B02" w:rsidP="002A1B02">
            <w:pPr>
              <w:pStyle w:val="BodyText"/>
            </w:pPr>
          </w:p>
          <w:p w:rsidR="00000000" w:rsidRPr="002A1B02" w:rsidP="002A1B02">
            <w:pPr>
              <w:pStyle w:val="BodyText"/>
            </w:pPr>
          </w:p>
        </w:tc>
      </w:tr>
    </w:tbl>
    <w:p w:rsidR="009C4FFA" w:rsidP="002A1B02">
      <w:pPr>
        <w:pStyle w:val="BodyText"/>
      </w:pPr>
    </w:p>
    <w:p w:rsidR="009C4FFA" w:rsidP="002A1B02">
      <w:pPr>
        <w:pStyle w:val="BodyText"/>
      </w:pPr>
    </w:p>
    <w:p w:rsidR="00000000" w:rsidRPr="002A1B02" w:rsidP="002A1B02">
      <w:pPr>
        <w:pStyle w:val="Heading1"/>
      </w:pPr>
      <w:bookmarkStart w:id="10" w:name="O_718055"/>
      <w:bookmarkEnd w:id="10"/>
      <w:r w:rsidRPr="002A1B02">
        <w:t>Evidence Guide</w:t>
      </w:r>
    </w:p>
    <w:tbl>
      <w:tblPr>
        <w:tblW w:w="0" w:type="auto"/>
        <w:tblLayout w:type="fixed"/>
        <w:tblCellMar>
          <w:left w:w="62" w:type="dxa"/>
          <w:right w:w="62" w:type="dxa"/>
        </w:tblCellMar>
        <w:tblLook w:val="0000"/>
      </w:tblPr>
      <w:tblGrid>
        <w:gridCol w:w="2160"/>
        <w:gridCol w:w="430"/>
        <w:gridCol w:w="540"/>
        <w:gridCol w:w="5803"/>
      </w:tblGrid>
      <w:tr w:rsidTr="009C4FFA">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EVIDENCE GUIDE</w:t>
            </w:r>
          </w:p>
        </w:tc>
      </w:tr>
      <w:tr w:rsidTr="009C4FFA">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9</w:t>
            </w:r>
            <w:r w:rsidRPr="002A1B02">
              <w:t xml:space="preserve">) The evidence guide provides advice on assessment and must be read in conjunction with the Performance Criteria, Required Skills and Knowledge, the Range Statement and the Assessment Guidelines for this Training Package. </w:t>
            </w:r>
          </w:p>
          <w:p w:rsidR="00000000" w:rsidP="002A1B02">
            <w:pPr>
              <w:pStyle w:val="BodyText"/>
              <w:rPr>
                <w:lang w:val="en-NZ"/>
              </w:rPr>
            </w:pPr>
            <w:r w:rsidRPr="002A1B02">
              <w:t>The Evidence Guide forms an integ</w:t>
            </w:r>
            <w:r w:rsidRPr="002A1B02">
              <w:t>ral part of this unit. It must be used in conjunction with all parts of this unit and performed in accordance with the Assessment Guidelines of this Training Package.</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9</w:t>
            </w:r>
            <w:r w:rsidRPr="002A1B02">
              <w:t>.</w:t>
            </w:r>
            <w:r w:rsidRPr="002A1B02">
              <w:rPr>
                <w:rStyle w:val="SpecialBold"/>
              </w:rPr>
              <w:t>1</w:t>
            </w:r>
            <w:r w:rsidRPr="002A1B02">
              <w:t xml:space="preserve">) </w:t>
            </w:r>
          </w:p>
          <w:p w:rsidR="00000000" w:rsidRPr="002A1B02" w:rsidP="002A1B02">
            <w:pPr>
              <w:pStyle w:val="BodyText"/>
            </w:pPr>
            <w:r w:rsidRPr="002A1B02">
              <w:t>Longitudinal competency development approaches to assess</w:t>
            </w:r>
            <w:r w:rsidRPr="002A1B02">
              <w:t xml:space="preserve">ment, such as Profiling, require data to be reliably gathered in a form that can be consistently interpreted over time. This approach is best utilised in Apprenticeship programs and reduces assessment intervention. It is the Industry's preferred model for </w:t>
            </w:r>
            <w:r w:rsidRPr="002A1B02">
              <w:t xml:space="preserve">apprenticeships. However, where summative (or final) assessment is used it is to include the application of the competency in the normal work environment or, at a minimum, the application of the competency in a realistically simulated work environment. It </w:t>
            </w:r>
            <w:r w:rsidRPr="002A1B02">
              <w:t>is recognised that, in some circumstances, assessment in part or full can occur outside the workplace. However, it must be in accordance with industry and regulatory policy.</w:t>
            </w:r>
          </w:p>
          <w:p w:rsidR="00000000" w:rsidRPr="002A1B02" w:rsidP="002A1B02">
            <w:pPr>
              <w:pStyle w:val="BodyText"/>
            </w:pPr>
            <w:r w:rsidRPr="002A1B02">
              <w:t xml:space="preserve">Methods chosen for a particular assessment will be influenced by various factors. </w:t>
            </w:r>
            <w:r w:rsidRPr="002A1B02">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A1B02" w:rsidP="002A1B02">
            <w:pPr>
              <w:pStyle w:val="BodyText"/>
            </w:pPr>
            <w:r w:rsidRPr="002A1B02">
              <w:t>The critical safety nature of working with electricity, electrical equipment, gas or any other hazardous substance/material carries risk in deeming a person competent. Sources of evidence need to be 'rich' in nature to minimise error in judgment.</w:t>
            </w:r>
          </w:p>
          <w:p w:rsidR="00000000" w:rsidP="002A1B02">
            <w:pPr>
              <w:pStyle w:val="BodyText"/>
              <w:rPr>
                <w:lang w:val="en-NZ"/>
              </w:rPr>
            </w:pPr>
            <w:r w:rsidRPr="002A1B02">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2A1B02">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2A1B02">
              <w:t>of this Training Package.</w:t>
            </w:r>
          </w:p>
        </w:tc>
      </w:tr>
      <w:tr w:rsidTr="009C4FF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Critical aspects of evidence required to demonstrate competency 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9</w:t>
            </w:r>
            <w:r w:rsidRPr="002A1B02">
              <w:t>.</w:t>
            </w:r>
            <w:r w:rsidRPr="002A1B02">
              <w:rPr>
                <w:rStyle w:val="SpecialBold"/>
              </w:rPr>
              <w:t>2</w:t>
            </w:r>
            <w:r w:rsidRPr="002A1B02">
              <w:t xml:space="preserve">) </w:t>
            </w:r>
          </w:p>
          <w:p w:rsidR="00000000" w:rsidP="002A1B02">
            <w:pPr>
              <w:pStyle w:val="BodyText"/>
              <w:rPr>
                <w:lang w:val="en-NZ"/>
              </w:rPr>
            </w:pPr>
            <w:r w:rsidRPr="002A1B02">
              <w:t>Before the critical aspects of evidence are considered all prerequisites shall be met.</w:t>
            </w:r>
          </w:p>
        </w:tc>
      </w:tr>
      <w:tr w:rsidTr="009C4FF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Evidence for competence in this unit shall be conside</w:t>
            </w:r>
            <w:r w:rsidRPr="002A1B02">
              <w:t>red holistically.  Each element and associated performance criteria shall be demonstrated on at least two occasions in accordance with the 'Assessment Guidelines - UEE07'.  Evidence shall also comprise:</w:t>
            </w:r>
          </w:p>
          <w:p w:rsidR="00000000" w:rsidP="002A1B02">
            <w:pPr>
              <w:pStyle w:val="ListBullet"/>
              <w:rPr>
                <w:lang w:val="en-NZ"/>
              </w:rPr>
            </w:pPr>
            <w:r w:rsidRPr="002A1B02">
              <w:t>A representative body of performance criteria demons</w:t>
            </w:r>
            <w:r w:rsidRPr="002A1B02">
              <w:t>trated within the timeframes typically expected of the discipline, work function and industrial environment. In particular this shall incorporate evidence that shows a candidate is able to:</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2A1B02" w:rsidP="002A1B02">
            <w:pPr>
              <w:pStyle w:val="ListBullet2"/>
            </w:pPr>
            <w:r w:rsidRPr="002A1B02">
              <w:t>Implement Occupational Health and Safety workplace procedures and practices including the use of risk control measures as specified in the performance criteria and range statement</w:t>
            </w:r>
          </w:p>
          <w:p w:rsidR="00000000" w:rsidRPr="002A1B02" w:rsidP="002A1B02">
            <w:pPr>
              <w:pStyle w:val="ListBullet2"/>
            </w:pPr>
            <w:r w:rsidRPr="002A1B02">
              <w:t>Apply sustainable energy principles and practices as specified in the performance criteria and range statement</w:t>
            </w:r>
          </w:p>
          <w:p w:rsidR="00000000" w:rsidRPr="002A1B02" w:rsidP="002A1B02">
            <w:pPr>
              <w:pStyle w:val="ListBullet2"/>
            </w:pPr>
            <w:r w:rsidRPr="002A1B02">
              <w:t>Demonstrate an understanding of the essential knowledge and associated skills as described in this unit .  It may be required by some jurisdictio</w:t>
            </w:r>
            <w:r w:rsidRPr="002A1B02">
              <w:t xml:space="preserve">ns that RTOs provide a percentile graded result for the purpose of regulatory or licensing requirements.   </w:t>
            </w:r>
          </w:p>
          <w:p w:rsidR="00000000" w:rsidRPr="002A1B02" w:rsidP="002A1B02">
            <w:pPr>
              <w:pStyle w:val="ListBullet2"/>
            </w:pPr>
            <w:r w:rsidRPr="002A1B02">
              <w:t>Demonstrate an appropriate level of skills enabling employment</w:t>
            </w:r>
          </w:p>
          <w:p w:rsidR="00000000" w:rsidP="002A1B02">
            <w:pPr>
              <w:pStyle w:val="ListBullet2"/>
              <w:rPr>
                <w:lang w:val="en-NZ"/>
              </w:rPr>
            </w:pPr>
            <w:r w:rsidRPr="002A1B02">
              <w:t>Conduct work observing the relevant Anti Discrimination legislation, regulations, pol</w:t>
            </w:r>
            <w:r w:rsidRPr="002A1B02">
              <w:t>ices and workplace procedures</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2A1B02">
            <w:pPr>
              <w:pStyle w:val="ListBullet"/>
              <w:rPr>
                <w:lang w:val="en-NZ"/>
              </w:rPr>
            </w:pPr>
            <w:r w:rsidRPr="002A1B02">
              <w:t>Demonstrated consistent performance across a representative range of contexts from the prescribed items below:</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2A1B02">
            <w:pPr>
              <w:pStyle w:val="ListBullet2"/>
              <w:rPr>
                <w:lang w:val="en-NZ"/>
              </w:rPr>
            </w:pPr>
            <w:r w:rsidRPr="002A1B02">
              <w:t>Install and set up interval metering as described in 8) and including:</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A</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Inspecting and evaluating safety and functionality compliance of the switchboard accurately.</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B</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Following established procedures to obtain approval to rectify non-compliance aspects of the switchboard.</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C</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Carrying out preparation work effectively.</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D</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Rectifying compliance defects.</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E</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Placing and securing metering correctly.</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F</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Making power and communications connections in accordance with manufacture's specifications and functional and regulatory requirements.</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G</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Setting meter parameters in accordance with manufacture's specifications and functional and regulatory requirements.</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H</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Reinstating supply to the installation safely.</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I</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Documenting metering and rectification work and notifying appropriate persons in a</w:t>
            </w:r>
            <w:r w:rsidRPr="002A1B02">
              <w:t>ccordance with established procedures.</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J</w:t>
            </w:r>
          </w:p>
        </w:tc>
        <w:tc>
          <w:tcPr>
            <w:tcW w:w="5803"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Dealing with unplanned events by drawing on essential knowledge and skills to provide appropriate solutions incorporated in the holistic assessment with the above listed items.</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9</w:t>
            </w:r>
            <w:r w:rsidRPr="002A1B02">
              <w:t>.</w:t>
            </w:r>
            <w:r w:rsidRPr="002A1B02">
              <w:rPr>
                <w:rStyle w:val="SpecialBold"/>
              </w:rPr>
              <w:t>3</w:t>
            </w:r>
            <w:r w:rsidRPr="002A1B02">
              <w:t xml:space="preserve">) </w:t>
            </w:r>
          </w:p>
          <w:p w:rsidR="00000000" w:rsidRPr="002A1B02" w:rsidP="002A1B02">
            <w:pPr>
              <w:pStyle w:val="BodyText"/>
            </w:pPr>
            <w:r w:rsidRPr="002A1B02">
              <w:t>This unit should be assessed as it relates to normal work practice using procedures, information and resources typical of a workplace. This should include:</w:t>
            </w:r>
          </w:p>
          <w:p w:rsidR="00000000" w:rsidRPr="002A1B02" w:rsidP="002A1B02">
            <w:pPr>
              <w:pStyle w:val="ListBullet"/>
            </w:pPr>
            <w:r w:rsidRPr="002A1B02">
              <w:t>OHS policy and work procedures and instructi</w:t>
            </w:r>
            <w:r w:rsidRPr="002A1B02">
              <w:t>ons.</w:t>
            </w:r>
          </w:p>
          <w:p w:rsidR="00000000" w:rsidRPr="002A1B02" w:rsidP="002A1B02">
            <w:pPr>
              <w:pStyle w:val="ListBullet"/>
            </w:pPr>
            <w:r w:rsidRPr="002A1B02">
              <w:t>Suitable work environment, facilities, equipment and materials to undertake actual work as prescribed by this unit.</w:t>
            </w:r>
          </w:p>
          <w:p w:rsidR="00000000" w:rsidRPr="002A1B02" w:rsidP="002A1B02">
            <w:pPr>
              <w:pStyle w:val="BodyText"/>
            </w:pPr>
            <w:r w:rsidRPr="002A1B02">
              <w:t>Resources required to assess this unit are listed above in Context of assessment', which should also be used in the formal learning/ass</w:t>
            </w:r>
            <w:r w:rsidRPr="002A1B02">
              <w:t>essment environment.</w:t>
            </w:r>
          </w:p>
          <w:p w:rsidR="00000000" w:rsidRPr="002A1B02" w:rsidP="002A1B02">
            <w:pPr>
              <w:pStyle w:val="BodyText"/>
            </w:pPr>
            <w:r w:rsidRPr="002A1B02">
              <w:t>Note:</w:t>
            </w:r>
          </w:p>
          <w:p w:rsidR="00000000" w:rsidP="002A1B02">
            <w:pPr>
              <w:pStyle w:val="BodyText"/>
              <w:rPr>
                <w:lang w:val="en-NZ"/>
              </w:rPr>
            </w:pPr>
            <w:r w:rsidRPr="002A1B02">
              <w:t>Where simulation is considered a suitable strategy for assessment, conditions must be authentic and as far as possible reproduce and replicate the workplace and be consistent with the approved industry simulation policy.</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The resources used for assessment should reflect current industry practices in relation to installing and setting up interval metering.</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9</w:t>
            </w:r>
            <w:r w:rsidRPr="002A1B02">
              <w:t>.</w:t>
            </w:r>
            <w:r w:rsidRPr="002A1B02">
              <w:rPr>
                <w:rStyle w:val="SpecialBold"/>
              </w:rPr>
              <w:t>4</w:t>
            </w:r>
            <w:r w:rsidRPr="002A1B02">
              <w:t xml:space="preserve">) </w:t>
            </w:r>
          </w:p>
          <w:p w:rsidR="00000000" w:rsidRPr="002A1B02" w:rsidP="002A1B02">
            <w:pPr>
              <w:pStyle w:val="BodyText"/>
            </w:pPr>
            <w:r w:rsidRPr="002A1B02">
              <w:t>This unit shall be assessed by methods given in Volume 1, Part 3 'Assessment Guidelines'.</w:t>
            </w:r>
          </w:p>
          <w:p w:rsidR="00000000" w:rsidP="002A1B02">
            <w:pPr>
              <w:pStyle w:val="BodyText"/>
              <w:rPr>
                <w:lang w:val="en-NZ"/>
              </w:rPr>
            </w:pPr>
            <w:r w:rsidRPr="002A1B02">
              <w:t>Note:</w:t>
            </w:r>
            <w:r w:rsidRPr="002A1B02">
              <w:br/>
              <w:t>Competent performance with inherent safe working practices is expected in the industry to which this unit applies. This requires assessment in a structured environment which is primarily intended for learning/assessment and incorporates all necessary</w:t>
            </w:r>
            <w:r w:rsidRPr="002A1B02">
              <w:t xml:space="preserve"> equipment and facilities for learners to develop and demonstrate the essential knowledge and skills described in this unit.</w:t>
            </w:r>
          </w:p>
        </w:tc>
      </w:tr>
      <w:tr w:rsidTr="009C4FF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9</w:t>
            </w:r>
            <w:r w:rsidRPr="002A1B02">
              <w:t>.</w:t>
            </w:r>
            <w:r w:rsidRPr="002A1B02">
              <w:rPr>
                <w:rStyle w:val="SpecialBold"/>
              </w:rPr>
              <w:t>5</w:t>
            </w:r>
            <w:r w:rsidRPr="002A1B02">
              <w:t>)</w:t>
            </w:r>
          </w:p>
        </w:tc>
      </w:tr>
      <w:tr w:rsidTr="009C4FF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There are no concurrent assessment recommendations for this unit.</w:t>
            </w:r>
          </w:p>
        </w:tc>
      </w:tr>
      <w:tr w:rsidTr="009C4FF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2A1B02" w:rsidP="002A1B02">
            <w:pPr>
              <w:pStyle w:val="BodyText"/>
            </w:pPr>
          </w:p>
        </w:tc>
      </w:tr>
    </w:tbl>
    <w:p w:rsidR="009C4FFA" w:rsidP="002A1B02">
      <w:pPr>
        <w:pStyle w:val="BodyText"/>
      </w:pPr>
    </w:p>
    <w:p w:rsidR="009C4FFA" w:rsidP="002A1B02">
      <w:pPr>
        <w:pStyle w:val="BodyText"/>
      </w:pPr>
    </w:p>
    <w:p w:rsidR="00000000" w:rsidRPr="002A1B02" w:rsidP="002A1B02">
      <w:pPr>
        <w:pStyle w:val="Heading1"/>
      </w:pPr>
      <w:bookmarkStart w:id="11" w:name="O_718054"/>
      <w:bookmarkEnd w:id="11"/>
      <w:r w:rsidRPr="002A1B02">
        <w:t>Range Statement</w:t>
      </w:r>
    </w:p>
    <w:tbl>
      <w:tblPr>
        <w:tblW w:w="0" w:type="auto"/>
        <w:tblLayout w:type="fixed"/>
        <w:tblCellMar>
          <w:left w:w="62" w:type="dxa"/>
          <w:right w:w="62" w:type="dxa"/>
        </w:tblCellMar>
        <w:tblLook w:val="0000"/>
      </w:tblPr>
      <w:tblGrid>
        <w:gridCol w:w="2160"/>
        <w:gridCol w:w="6773"/>
      </w:tblGrid>
      <w:tr w:rsidTr="009C4FFA">
        <w:tblPrEx>
          <w:tblW w:w="0" w:type="auto"/>
          <w:tblLayout w:type="fixed"/>
          <w:tblCellMar>
            <w:left w:w="62" w:type="dxa"/>
            <w:right w:w="62" w:type="dxa"/>
          </w:tblCellMar>
          <w:tblLook w:val="0000"/>
        </w:tblPrEx>
        <w:trPr>
          <w:tblHeader/>
        </w:trPr>
        <w:tc>
          <w:tcPr>
            <w:tcW w:w="8933" w:type="dxa"/>
            <w:gridSpan w:val="2"/>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RANGE STATEMENT</w:t>
            </w:r>
          </w:p>
        </w:tc>
      </w:tr>
      <w:tr w:rsidTr="009C4FFA">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8</w:t>
            </w:r>
            <w:r w:rsidRPr="002A1B02">
              <w:t xml:space="preserve">) This relates to the unit as a whole providing the range of contexts and conditions to which the </w:t>
            </w:r>
            <w:r w:rsidRPr="002A1B02">
              <w:t>performance criteria apply. It allows for different work environments and situations that will affect performance.</w:t>
            </w:r>
          </w:p>
        </w:tc>
      </w:tr>
      <w:tr w:rsidTr="009C4FFA">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This unit shall be demonstrated in relation to the installation of at least:</w:t>
            </w:r>
          </w:p>
        </w:tc>
      </w:tr>
      <w:tr w:rsidTr="009C4F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p>
        </w:tc>
        <w:tc>
          <w:tcPr>
            <w:tcW w:w="6773" w:type="dxa"/>
            <w:tcBorders>
              <w:top w:val="nil"/>
              <w:left w:val="nil"/>
              <w:bottom w:val="nil"/>
              <w:right w:val="nil"/>
            </w:tcBorders>
            <w:tcMar>
              <w:top w:w="0" w:type="dxa"/>
              <w:left w:w="62" w:type="dxa"/>
              <w:bottom w:w="0" w:type="dxa"/>
              <w:right w:w="62" w:type="dxa"/>
            </w:tcMar>
          </w:tcPr>
          <w:p w:rsidR="00000000" w:rsidRPr="002A1B02" w:rsidP="002A1B02">
            <w:pPr>
              <w:pStyle w:val="ListBullet"/>
            </w:pPr>
            <w:r w:rsidRPr="002A1B02">
              <w:t>a single phase interval meter</w:t>
            </w:r>
          </w:p>
          <w:p w:rsidR="00000000" w:rsidRPr="002A1B02" w:rsidP="002A1B02">
            <w:pPr>
              <w:pStyle w:val="ListBullet"/>
            </w:pPr>
            <w:r w:rsidRPr="002A1B02">
              <w:t>a two-way interval meter</w:t>
            </w:r>
          </w:p>
          <w:p w:rsidR="00000000" w:rsidP="002A1B02">
            <w:pPr>
              <w:pStyle w:val="ListBullet"/>
              <w:rPr>
                <w:lang w:val="en-NZ"/>
              </w:rPr>
            </w:pPr>
            <w:r w:rsidRPr="002A1B02">
              <w:t>an interval meter where compliance rectification work is required</w:t>
            </w:r>
          </w:p>
        </w:tc>
      </w:tr>
      <w:tr w:rsidTr="009C4FFA">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Generic terms used throughout this Vocational Standard shall be regarded as part of the Range Statement in which competency is demonstrated. The definition of these and other terms that app</w:t>
            </w:r>
            <w:r w:rsidRPr="002A1B02">
              <w:t>ly are given in Volume 2, Part 2.1.</w:t>
            </w:r>
          </w:p>
        </w:tc>
      </w:tr>
    </w:tbl>
    <w:p w:rsidR="009C4FFA" w:rsidP="002A1B02">
      <w:pPr>
        <w:pStyle w:val="BodyText"/>
      </w:pPr>
    </w:p>
    <w:p w:rsidR="009C4FFA" w:rsidP="002A1B02">
      <w:pPr>
        <w:pStyle w:val="BodyText"/>
      </w:pPr>
    </w:p>
    <w:p w:rsidR="00000000" w:rsidRPr="002A1B02" w:rsidP="002A1B02">
      <w:pPr>
        <w:pStyle w:val="Heading1"/>
      </w:pPr>
      <w:bookmarkStart w:id="12" w:name="O_718053"/>
      <w:bookmarkEnd w:id="12"/>
      <w:r w:rsidRPr="002A1B02">
        <w:t>Unit Sector(s)</w:t>
      </w:r>
    </w:p>
    <w:p w:rsidR="00000000" w:rsidRPr="002A1B02" w:rsidP="002A1B02">
      <w:pPr>
        <w:pStyle w:val="BodyText"/>
      </w:pPr>
      <w:r w:rsidRPr="002A1B02">
        <w:t>Not Applicable</w:t>
      </w:r>
    </w:p>
    <w:p w:rsidR="00000000" w:rsidRPr="002A1B02" w:rsidP="002A1B02">
      <w:pPr>
        <w:pStyle w:val="AllowPageBreak"/>
      </w:pPr>
    </w:p>
    <w:p w:rsidR="00000000" w:rsidRPr="002A1B02" w:rsidP="002A1B02">
      <w:pPr>
        <w:pStyle w:val="Heading1"/>
      </w:pPr>
      <w:bookmarkStart w:id="13" w:name="O_718052"/>
      <w:bookmarkEnd w:id="13"/>
      <w:r w:rsidRPr="002A1B0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C4FF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2</w:t>
            </w:r>
            <w:r w:rsidRPr="002A1B02">
              <w:t>.</w:t>
            </w:r>
            <w:r w:rsidRPr="002A1B02">
              <w:rPr>
                <w:rStyle w:val="SpecialBold"/>
              </w:rPr>
              <w:t>2</w:t>
            </w:r>
            <w:r w:rsidRPr="002A1B02">
              <w:t xml:space="preserve">) </w:t>
            </w:r>
            <w:r w:rsidRPr="002A1B02">
              <w:rPr>
                <w:rStyle w:val="SpecialBold"/>
              </w:rPr>
              <w:t>Literacy and numeracy skills</w:t>
            </w:r>
          </w:p>
          <w:p w:rsidR="00000000" w:rsidP="002A1B02">
            <w:pPr>
              <w:pStyle w:val="BodyText"/>
              <w:rPr>
                <w:lang w:val="en-NZ"/>
              </w:rPr>
            </w:pPr>
            <w:r w:rsidRPr="002A1B02">
              <w:t>Participants are best equipped to achieve competency in this unit if they have reading, writing and numeracy skills indicated by the following scales. Description of each scale is given in Volume 2, Part 3 'Literacy and Numeracy'</w:t>
            </w:r>
          </w:p>
        </w:tc>
      </w:tr>
      <w:tr w:rsidTr="009C4FF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Reading</w:t>
            </w:r>
          </w:p>
        </w:tc>
        <w:tc>
          <w:tcPr>
            <w:tcW w:w="1182"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4</w:t>
            </w:r>
          </w:p>
        </w:tc>
        <w:tc>
          <w:tcPr>
            <w:tcW w:w="1739"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Writing</w:t>
            </w:r>
          </w:p>
        </w:tc>
        <w:tc>
          <w:tcPr>
            <w:tcW w:w="1182"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4</w:t>
            </w:r>
          </w:p>
        </w:tc>
        <w:tc>
          <w:tcPr>
            <w:tcW w:w="1721"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t>Numeracy</w:t>
            </w:r>
          </w:p>
        </w:tc>
        <w:tc>
          <w:tcPr>
            <w:tcW w:w="1182"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4</w:t>
            </w:r>
          </w:p>
        </w:tc>
      </w:tr>
    </w:tbl>
    <w:p w:rsidR="009C4FFA" w:rsidP="002A1B02">
      <w:pPr>
        <w:pStyle w:val="BodyText"/>
      </w:pPr>
    </w:p>
    <w:p w:rsidR="009C4FFA" w:rsidP="002A1B02">
      <w:pPr>
        <w:pStyle w:val="BodyText"/>
      </w:pPr>
    </w:p>
    <w:p w:rsidR="00000000" w:rsidRPr="002A1B02" w:rsidP="002A1B02">
      <w:pPr>
        <w:pStyle w:val="Heading1"/>
      </w:pPr>
      <w:bookmarkStart w:id="14" w:name="O_718051"/>
      <w:bookmarkEnd w:id="14"/>
      <w:r w:rsidRPr="002A1B02">
        <w:t>2.2) Literacy and numeracy skills</w:t>
      </w:r>
    </w:p>
    <w:tbl>
      <w:tblPr>
        <w:tblW w:w="0" w:type="auto"/>
        <w:tblLayout w:type="fixed"/>
        <w:tblCellMar>
          <w:left w:w="62" w:type="dxa"/>
          <w:right w:w="62" w:type="dxa"/>
        </w:tblCellMar>
        <w:tblLook w:val="0000"/>
      </w:tblPr>
      <w:tblGrid>
        <w:gridCol w:w="2700"/>
        <w:gridCol w:w="5760"/>
      </w:tblGrid>
      <w:tr w:rsidTr="009C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1B02">
            <w:pPr>
              <w:pStyle w:val="BodyText"/>
              <w:rPr>
                <w:lang w:val="en-NZ"/>
              </w:rPr>
            </w:pPr>
            <w:r w:rsidRPr="002A1B02">
              <w:rPr>
                <w:rStyle w:val="SpecialBold"/>
              </w:rPr>
              <w:t>5</w:t>
            </w:r>
            <w:r w:rsidRPr="002A1B02">
              <w:t>)</w:t>
            </w:r>
          </w:p>
        </w:tc>
      </w:tr>
      <w:tr w:rsidTr="009C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B02" w:rsidP="002A1B02">
            <w:pPr>
              <w:pStyle w:val="BodyText"/>
            </w:pPr>
            <w:r w:rsidRPr="002A1B02">
              <w:t>Electrical</w:t>
            </w:r>
          </w:p>
        </w:tc>
      </w:tr>
    </w:tbl>
    <w:p w:rsidR="009C4FFA" w:rsidP="002A1B02">
      <w:pPr>
        <w:pStyle w:val="BodyText"/>
      </w:pPr>
    </w:p>
    <w:p w:rsidR="009C4FFA" w:rsidP="002A1B02">
      <w:pPr>
        <w:pStyle w:val="BodyText"/>
      </w:pPr>
    </w:p>
    <w:p w:rsidR="00000000" w:rsidRPr="002A1B02" w:rsidP="002A1B02"/>
    <w:sectPr w:rsidSect="002A1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02" w:rsidRPr="009C4FFA" w:rsidP="009C4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FA" w:rsidP="002A1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C4FFA" w:rsidP="002A1B0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C4FFA" w:rsidP="002A1B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02" w:rsidRPr="009C4FFA" w:rsidP="009C4F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FA" w:rsidRPr="002D2AF8" w:rsidP="002A1B02">
    <w:pPr>
      <w:pStyle w:val="Header"/>
      <w:framePr w:wrap="around"/>
    </w:pPr>
    <w:r>
      <w:fldChar w:fldCharType="begin"/>
    </w:r>
    <w:r>
      <w:instrText xml:space="preserve"> TITLE   \* MERGEFORMAT </w:instrText>
    </w:r>
    <w:r>
      <w:fldChar w:fldCharType="separate"/>
    </w:r>
    <w:r>
      <w:t>UEENEEG172A Investigate and report on electrical incidents and causes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9C4FFA" w:rsidP="002A1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0A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A2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83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B02"/>
    <w:pPr>
      <w:spacing w:before="360" w:after="60"/>
      <w:outlineLvl w:val="0"/>
    </w:pPr>
    <w:rPr>
      <w:sz w:val="32"/>
    </w:rPr>
  </w:style>
  <w:style w:type="paragraph" w:styleId="Heading2">
    <w:name w:val="heading 2"/>
    <w:basedOn w:val="HeadingBase"/>
    <w:next w:val="BodyText"/>
    <w:link w:val="Heading2Char"/>
    <w:qFormat/>
    <w:rsid w:val="002A1B02"/>
    <w:pPr>
      <w:keepLines/>
      <w:spacing w:before="240" w:after="120"/>
      <w:outlineLvl w:val="1"/>
    </w:pPr>
    <w:rPr>
      <w:sz w:val="28"/>
      <w:szCs w:val="40"/>
    </w:rPr>
  </w:style>
  <w:style w:type="paragraph" w:styleId="Heading3">
    <w:name w:val="heading 3"/>
    <w:basedOn w:val="HeadingBase"/>
    <w:next w:val="BodyText"/>
    <w:link w:val="Heading3Char"/>
    <w:qFormat/>
    <w:rsid w:val="002A1B02"/>
    <w:pPr>
      <w:spacing w:before="180" w:after="120"/>
      <w:outlineLvl w:val="2"/>
    </w:pPr>
    <w:rPr>
      <w:spacing w:val="-10"/>
      <w:kern w:val="32"/>
    </w:rPr>
  </w:style>
  <w:style w:type="paragraph" w:styleId="Heading4">
    <w:name w:val="heading 4"/>
    <w:basedOn w:val="HeadingBase"/>
    <w:next w:val="BodyText"/>
    <w:link w:val="Heading4Char"/>
    <w:qFormat/>
    <w:rsid w:val="002A1B02"/>
    <w:pPr>
      <w:spacing w:before="160" w:after="120"/>
      <w:outlineLvl w:val="3"/>
    </w:pPr>
    <w:rPr>
      <w:sz w:val="22"/>
    </w:rPr>
  </w:style>
  <w:style w:type="paragraph" w:styleId="Heading5">
    <w:name w:val="heading 5"/>
    <w:basedOn w:val="HeadingBase"/>
    <w:next w:val="Normal"/>
    <w:link w:val="Heading5Char"/>
    <w:qFormat/>
    <w:rsid w:val="002A1B02"/>
    <w:pPr>
      <w:spacing w:before="80"/>
      <w:outlineLvl w:val="4"/>
    </w:pPr>
    <w:rPr>
      <w:color w:val="918585"/>
      <w:sz w:val="20"/>
    </w:rPr>
  </w:style>
  <w:style w:type="paragraph" w:styleId="Heading6">
    <w:name w:val="heading 6"/>
    <w:basedOn w:val="HeadingBase"/>
    <w:next w:val="Normal"/>
    <w:link w:val="Heading6Char"/>
    <w:qFormat/>
    <w:rsid w:val="002A1B02"/>
    <w:pPr>
      <w:spacing w:before="60"/>
      <w:outlineLvl w:val="5"/>
    </w:pPr>
    <w:rPr>
      <w:color w:val="918585"/>
      <w:sz w:val="20"/>
    </w:rPr>
  </w:style>
  <w:style w:type="paragraph" w:styleId="Heading7">
    <w:name w:val="heading 7"/>
    <w:basedOn w:val="Normal"/>
    <w:next w:val="Normal"/>
    <w:link w:val="Heading7Char"/>
    <w:qFormat/>
    <w:rsid w:val="002A1B02"/>
    <w:pPr>
      <w:ind w:left="720"/>
      <w:outlineLvl w:val="6"/>
    </w:pPr>
    <w:rPr>
      <w:i/>
    </w:rPr>
  </w:style>
  <w:style w:type="paragraph" w:styleId="Heading8">
    <w:name w:val="heading 8"/>
    <w:basedOn w:val="Normal"/>
    <w:next w:val="Normal"/>
    <w:link w:val="Heading8Char"/>
    <w:qFormat/>
    <w:rsid w:val="002A1B02"/>
    <w:pPr>
      <w:ind w:left="720"/>
      <w:outlineLvl w:val="7"/>
    </w:pPr>
    <w:rPr>
      <w:i/>
    </w:rPr>
  </w:style>
  <w:style w:type="paragraph" w:styleId="Heading9">
    <w:name w:val="heading 9"/>
    <w:basedOn w:val="Normal"/>
    <w:next w:val="Normal"/>
    <w:link w:val="Heading9Char"/>
    <w:qFormat/>
    <w:rsid w:val="002A1B02"/>
    <w:pPr>
      <w:ind w:left="720"/>
      <w:outlineLvl w:val="8"/>
    </w:pPr>
    <w:rPr>
      <w:i/>
    </w:rPr>
  </w:style>
  <w:style w:type="character" w:default="1" w:styleId="DefaultParagraphFont">
    <w:name w:val="Default Paragraph Font"/>
    <w:uiPriority w:val="1"/>
    <w:unhideWhenUsed/>
    <w:rsid w:val="002A1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B02"/>
  </w:style>
  <w:style w:type="character" w:customStyle="1" w:styleId="Heading1Char">
    <w:name w:val="Heading 1 Char"/>
    <w:basedOn w:val="DefaultParagraphFont"/>
    <w:link w:val="Heading1"/>
    <w:rsid w:val="002A1B02"/>
    <w:rPr>
      <w:rFonts w:ascii="Times New Roman" w:eastAsia="Times New Roman" w:hAnsi="Times New Roman" w:cs="Times New Roman"/>
      <w:b/>
      <w:sz w:val="32"/>
      <w:szCs w:val="20"/>
      <w:lang w:eastAsia="en-US"/>
    </w:rPr>
  </w:style>
  <w:style w:type="paragraph" w:styleId="BodyText">
    <w:name w:val="Body Text"/>
    <w:basedOn w:val="Normal"/>
    <w:link w:val="BodyTextChar"/>
    <w:rsid w:val="002A1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B02"/>
    <w:rPr>
      <w:rFonts w:ascii="Times New Roman" w:eastAsia="Times New Roman" w:hAnsi="Times New Roman" w:cs="Times New Roman"/>
      <w:sz w:val="24"/>
      <w:lang w:eastAsia="en-US"/>
    </w:rPr>
  </w:style>
  <w:style w:type="paragraph" w:styleId="ListBullet">
    <w:name w:val="List Bullet"/>
    <w:basedOn w:val="List"/>
    <w:rsid w:val="002A1B02"/>
    <w:pPr>
      <w:numPr>
        <w:numId w:val="13"/>
      </w:numPr>
      <w:tabs>
        <w:tab w:val="clear" w:pos="340"/>
      </w:tabs>
      <w:spacing w:before="40" w:after="40"/>
    </w:pPr>
  </w:style>
  <w:style w:type="character" w:customStyle="1" w:styleId="SpecialBold">
    <w:name w:val="Special Bold"/>
    <w:basedOn w:val="DefaultParagraphFont"/>
    <w:rsid w:val="002A1B02"/>
    <w:rPr>
      <w:b/>
      <w:spacing w:val="0"/>
    </w:rPr>
  </w:style>
  <w:style w:type="paragraph" w:styleId="ListBullet2">
    <w:name w:val="List Bullet 2"/>
    <w:basedOn w:val="List2"/>
    <w:rsid w:val="002A1B02"/>
    <w:pPr>
      <w:numPr>
        <w:numId w:val="14"/>
      </w:numPr>
      <w:tabs>
        <w:tab w:val="clear" w:pos="680"/>
      </w:tabs>
    </w:pPr>
  </w:style>
  <w:style w:type="paragraph" w:customStyle="1" w:styleId="SuperHeading">
    <w:name w:val="SuperHeading"/>
    <w:basedOn w:val="Normal"/>
    <w:rsid w:val="002A1B02"/>
    <w:pPr>
      <w:spacing w:before="240" w:after="120"/>
      <w:outlineLvl w:val="0"/>
    </w:pPr>
    <w:rPr>
      <w:rFonts w:ascii="Times New Roman" w:hAnsi="Times New Roman"/>
      <w:b/>
      <w:sz w:val="32"/>
    </w:rPr>
  </w:style>
  <w:style w:type="paragraph" w:customStyle="1" w:styleId="AllowPageBreak">
    <w:name w:val="AllowPageBreak"/>
    <w:rsid w:val="002A1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B02"/>
    <w:rPr>
      <w:rFonts w:ascii="Courier New" w:eastAsia="Times New Roman" w:hAnsi="Courier New" w:cs="Times New Roman"/>
      <w:i/>
      <w:szCs w:val="20"/>
      <w:lang w:eastAsia="en-US"/>
    </w:rPr>
  </w:style>
  <w:style w:type="paragraph" w:customStyle="1" w:styleId="HeadingBase">
    <w:name w:val="Heading Base"/>
    <w:rsid w:val="002A1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B02"/>
    <w:pPr>
      <w:tabs>
        <w:tab w:val="right" w:leader="dot" w:pos="9072"/>
      </w:tabs>
      <w:ind w:left="567"/>
    </w:pPr>
    <w:rPr>
      <w:szCs w:val="22"/>
    </w:rPr>
  </w:style>
  <w:style w:type="paragraph" w:customStyle="1" w:styleId="TOCBase">
    <w:name w:val="TOC Base"/>
    <w:rsid w:val="002A1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B02"/>
    <w:pPr>
      <w:tabs>
        <w:tab w:val="right" w:leader="dot" w:pos="9072"/>
      </w:tabs>
      <w:spacing w:before="40" w:after="40"/>
      <w:ind w:left="284"/>
    </w:pPr>
    <w:rPr>
      <w:rFonts w:ascii="Times New Roman" w:hAnsi="Times New Roman"/>
    </w:rPr>
  </w:style>
  <w:style w:type="paragraph" w:styleId="TOC1">
    <w:name w:val="toc 1"/>
    <w:basedOn w:val="TOCBase"/>
    <w:next w:val="Normal"/>
    <w:rsid w:val="002A1B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B02"/>
    <w:rPr>
      <w:rFonts w:ascii="Times New Roman" w:eastAsia="Times New Roman" w:hAnsi="Times New Roman" w:cs="Times New Roman"/>
      <w:sz w:val="16"/>
      <w:lang w:eastAsia="en-US"/>
    </w:rPr>
  </w:style>
  <w:style w:type="paragraph" w:styleId="Title">
    <w:name w:val="Title"/>
    <w:basedOn w:val="HeadingBase"/>
    <w:link w:val="TitleChar"/>
    <w:qFormat/>
    <w:rsid w:val="002A1B02"/>
    <w:pPr>
      <w:spacing w:before="5040"/>
      <w:jc w:val="center"/>
    </w:pPr>
    <w:rPr>
      <w:sz w:val="48"/>
      <w:szCs w:val="72"/>
      <w:lang w:val="en-US"/>
    </w:rPr>
  </w:style>
  <w:style w:type="character" w:customStyle="1" w:styleId="TitleChar">
    <w:name w:val="Title Char"/>
    <w:basedOn w:val="DefaultParagraphFont"/>
    <w:link w:val="Title"/>
    <w:rsid w:val="002A1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B02"/>
    <w:pPr>
      <w:tabs>
        <w:tab w:val="left" w:pos="3600"/>
        <w:tab w:val="left" w:pos="3958"/>
      </w:tabs>
    </w:pPr>
  </w:style>
  <w:style w:type="paragraph" w:styleId="List">
    <w:name w:val="List"/>
    <w:basedOn w:val="BodyText"/>
    <w:next w:val="BodyText"/>
    <w:rsid w:val="002A1B02"/>
    <w:pPr>
      <w:tabs>
        <w:tab w:val="left" w:pos="340"/>
      </w:tabs>
      <w:spacing w:before="60" w:after="60"/>
      <w:ind w:left="340" w:hanging="340"/>
    </w:pPr>
  </w:style>
  <w:style w:type="paragraph" w:customStyle="1" w:styleId="Note">
    <w:name w:val="Note"/>
    <w:basedOn w:val="BodyText"/>
    <w:rsid w:val="002A1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B02"/>
    <w:pPr>
      <w:framePr w:wrap="auto" w:hAnchor="text" w:y="6049"/>
    </w:pPr>
    <w:rPr>
      <w:color w:val="000000"/>
      <w:sz w:val="40"/>
    </w:rPr>
  </w:style>
  <w:style w:type="paragraph" w:customStyle="1" w:styleId="TOCTitle">
    <w:name w:val="TOCTitle"/>
    <w:basedOn w:val="Heading1"/>
    <w:rsid w:val="002A1B02"/>
    <w:pPr>
      <w:spacing w:after="240"/>
      <w:jc w:val="center"/>
      <w:outlineLvl w:val="9"/>
    </w:pPr>
    <w:rPr>
      <w:caps/>
    </w:rPr>
  </w:style>
  <w:style w:type="paragraph" w:customStyle="1" w:styleId="Version">
    <w:name w:val="Version"/>
    <w:rsid w:val="002A1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B02"/>
    <w:pPr>
      <w:keepNext w:val="0"/>
      <w:tabs>
        <w:tab w:val="right" w:pos="4176"/>
      </w:tabs>
      <w:ind w:left="198" w:hanging="198"/>
    </w:pPr>
    <w:rPr>
      <w:rFonts w:ascii="Garamond" w:hAnsi="Garamond"/>
    </w:rPr>
  </w:style>
  <w:style w:type="paragraph" w:styleId="IndexHeading">
    <w:name w:val="index heading"/>
    <w:basedOn w:val="Normal"/>
    <w:next w:val="Index1"/>
    <w:semiHidden/>
    <w:rsid w:val="002A1B02"/>
    <w:pPr>
      <w:spacing w:before="120" w:after="120"/>
    </w:pPr>
    <w:rPr>
      <w:rFonts w:ascii="Arial" w:hAnsi="Arial"/>
      <w:b/>
      <w:color w:val="918585"/>
      <w:sz w:val="24"/>
    </w:rPr>
  </w:style>
  <w:style w:type="paragraph" w:styleId="Header">
    <w:name w:val="header"/>
    <w:basedOn w:val="Normal"/>
    <w:link w:val="HeaderChar"/>
    <w:rsid w:val="002A1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B02"/>
    <w:rPr>
      <w:rFonts w:ascii="Times New Roman" w:eastAsia="Times New Roman" w:hAnsi="Times New Roman" w:cs="Times New Roman"/>
      <w:sz w:val="16"/>
      <w:szCs w:val="20"/>
      <w:lang w:val="en-GB" w:eastAsia="en-US"/>
    </w:rPr>
  </w:style>
  <w:style w:type="paragraph" w:customStyle="1" w:styleId="Chapter">
    <w:name w:val="Chapter"/>
    <w:basedOn w:val="Normal"/>
    <w:rsid w:val="002A1B02"/>
    <w:pPr>
      <w:spacing w:before="240"/>
    </w:pPr>
    <w:rPr>
      <w:rFonts w:ascii="Times New Roman" w:hAnsi="Times New Roman"/>
      <w:smallCaps/>
      <w:spacing w:val="80"/>
      <w:sz w:val="28"/>
    </w:rPr>
  </w:style>
  <w:style w:type="paragraph" w:customStyle="1" w:styleId="InChapter">
    <w:name w:val="InChapter"/>
    <w:basedOn w:val="Heading3"/>
    <w:rsid w:val="002A1B02"/>
    <w:pPr>
      <w:spacing w:after="240"/>
      <w:outlineLvl w:val="9"/>
    </w:pPr>
    <w:rPr>
      <w:noProof/>
    </w:rPr>
  </w:style>
  <w:style w:type="paragraph" w:styleId="Index2">
    <w:name w:val="index 2"/>
    <w:basedOn w:val="Normal"/>
    <w:next w:val="Normal"/>
    <w:semiHidden/>
    <w:rsid w:val="002A1B02"/>
    <w:pPr>
      <w:tabs>
        <w:tab w:val="right" w:pos="4176"/>
      </w:tabs>
      <w:ind w:left="568" w:hanging="284"/>
    </w:pPr>
    <w:rPr>
      <w:rFonts w:ascii="Garamond" w:hAnsi="Garamond"/>
    </w:rPr>
  </w:style>
  <w:style w:type="paragraph" w:customStyle="1" w:styleId="Byline">
    <w:name w:val="Byline"/>
    <w:rsid w:val="002A1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B02"/>
    <w:pPr>
      <w:tabs>
        <w:tab w:val="clear" w:pos="3600"/>
        <w:tab w:val="clear" w:pos="3958"/>
      </w:tabs>
      <w:jc w:val="right"/>
    </w:pPr>
  </w:style>
  <w:style w:type="character" w:styleId="Emphasis">
    <w:name w:val="Emphasis"/>
    <w:basedOn w:val="DefaultParagraphFont"/>
    <w:qFormat/>
    <w:rsid w:val="002A1B02"/>
    <w:rPr>
      <w:i/>
    </w:rPr>
  </w:style>
  <w:style w:type="paragraph" w:styleId="Caption">
    <w:name w:val="caption"/>
    <w:basedOn w:val="BodyText"/>
    <w:next w:val="Normal"/>
    <w:qFormat/>
    <w:rsid w:val="002A1B02"/>
    <w:pPr>
      <w:framePr w:w="2268" w:hSpace="181" w:vSpace="181" w:wrap="around" w:vAnchor="text" w:hAnchor="page" w:x="1135" w:y="285" w:anchorLock="1"/>
    </w:pPr>
    <w:rPr>
      <w:i/>
    </w:rPr>
  </w:style>
  <w:style w:type="paragraph" w:customStyle="1" w:styleId="MiniTOCTitle">
    <w:name w:val="MiniTOCTitle"/>
    <w:basedOn w:val="Heading4"/>
    <w:rsid w:val="002A1B02"/>
    <w:pPr>
      <w:spacing w:before="240"/>
      <w:outlineLvl w:val="9"/>
    </w:pPr>
    <w:rPr>
      <w:noProof/>
      <w:sz w:val="24"/>
    </w:rPr>
  </w:style>
  <w:style w:type="paragraph" w:customStyle="1" w:styleId="MiniTOCItem">
    <w:name w:val="MiniTOCItem"/>
    <w:basedOn w:val="ListBullet"/>
    <w:rsid w:val="002A1B02"/>
    <w:pPr>
      <w:numPr>
        <w:numId w:val="0"/>
      </w:numPr>
      <w:tabs>
        <w:tab w:val="right" w:leader="dot" w:pos="6521"/>
      </w:tabs>
      <w:spacing w:before="0" w:after="0"/>
    </w:pPr>
  </w:style>
  <w:style w:type="paragraph" w:customStyle="1" w:styleId="TOFTitle">
    <w:name w:val="TOFTitle"/>
    <w:basedOn w:val="TOCTitle"/>
    <w:rsid w:val="002A1B02"/>
  </w:style>
  <w:style w:type="paragraph" w:styleId="TableofFigures">
    <w:name w:val="table of figures"/>
    <w:basedOn w:val="Normal"/>
    <w:next w:val="Normal"/>
    <w:semiHidden/>
    <w:rsid w:val="002A1B02"/>
    <w:pPr>
      <w:tabs>
        <w:tab w:val="right" w:leader="dot" w:pos="9072"/>
      </w:tabs>
      <w:ind w:left="970" w:hanging="403"/>
    </w:pPr>
    <w:rPr>
      <w:rFonts w:ascii="Times New Roman" w:hAnsi="Times New Roman"/>
      <w:b/>
    </w:rPr>
  </w:style>
  <w:style w:type="paragraph" w:styleId="ListNumber">
    <w:name w:val="List Number"/>
    <w:basedOn w:val="List"/>
    <w:rsid w:val="002A1B02"/>
    <w:pPr>
      <w:numPr>
        <w:numId w:val="11"/>
      </w:numPr>
    </w:pPr>
  </w:style>
  <w:style w:type="character" w:customStyle="1" w:styleId="WingdingSymbols">
    <w:name w:val="Wingding Symbols"/>
    <w:rsid w:val="002A1B02"/>
    <w:rPr>
      <w:rFonts w:ascii="Wingdings" w:hAnsi="Wingdings"/>
    </w:rPr>
  </w:style>
  <w:style w:type="paragraph" w:customStyle="1" w:styleId="TableHeading">
    <w:name w:val="Table Heading"/>
    <w:basedOn w:val="HeadingBase"/>
    <w:rsid w:val="002A1B02"/>
    <w:pPr>
      <w:keepLines/>
      <w:pBdr>
        <w:bottom w:val="single" w:sz="6" w:space="1" w:color="918585"/>
      </w:pBdr>
      <w:spacing w:before="240"/>
    </w:pPr>
  </w:style>
  <w:style w:type="character" w:customStyle="1" w:styleId="HotSpot">
    <w:name w:val="HotSpot"/>
    <w:rsid w:val="002A1B02"/>
    <w:rPr>
      <w:color w:val="0033CC"/>
      <w:u w:val="none"/>
    </w:rPr>
  </w:style>
  <w:style w:type="paragraph" w:customStyle="1" w:styleId="BodyTextRight">
    <w:name w:val="Body Text Right"/>
    <w:basedOn w:val="BodyText"/>
    <w:rsid w:val="002A1B02"/>
    <w:pPr>
      <w:spacing w:before="0" w:after="0"/>
      <w:jc w:val="right"/>
    </w:pPr>
  </w:style>
  <w:style w:type="paragraph" w:styleId="Index3">
    <w:name w:val="index 3"/>
    <w:basedOn w:val="ListNumber2"/>
    <w:next w:val="Normal"/>
    <w:semiHidden/>
    <w:rsid w:val="002A1B02"/>
    <w:pPr>
      <w:numPr>
        <w:numId w:val="0"/>
      </w:numPr>
      <w:tabs>
        <w:tab w:val="right" w:leader="dot" w:pos="4176"/>
      </w:tabs>
    </w:pPr>
  </w:style>
  <w:style w:type="paragraph" w:styleId="ListNumber2">
    <w:name w:val="List Number 2"/>
    <w:basedOn w:val="List2"/>
    <w:rsid w:val="002A1B02"/>
    <w:pPr>
      <w:numPr>
        <w:numId w:val="10"/>
      </w:numPr>
      <w:tabs>
        <w:tab w:val="clear" w:pos="1060"/>
      </w:tabs>
    </w:pPr>
  </w:style>
  <w:style w:type="paragraph" w:customStyle="1" w:styleId="MarginNote">
    <w:name w:val="Margin Note"/>
    <w:basedOn w:val="BodyText"/>
    <w:rsid w:val="002A1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B02"/>
    <w:rPr>
      <w:sz w:val="32"/>
    </w:rPr>
  </w:style>
  <w:style w:type="paragraph" w:customStyle="1" w:styleId="HeadingProcedure">
    <w:name w:val="Heading Procedure"/>
    <w:basedOn w:val="HeadingBase"/>
    <w:next w:val="Normal"/>
    <w:rsid w:val="002A1B02"/>
    <w:pPr>
      <w:tabs>
        <w:tab w:val="left" w:pos="0"/>
      </w:tabs>
      <w:spacing w:before="120" w:after="60"/>
    </w:pPr>
    <w:rPr>
      <w:i/>
      <w:color w:val="918585"/>
      <w:sz w:val="22"/>
    </w:rPr>
  </w:style>
  <w:style w:type="paragraph" w:customStyle="1" w:styleId="TableBodyText">
    <w:name w:val="Table Body Text"/>
    <w:basedOn w:val="BodyText"/>
    <w:rsid w:val="002A1B02"/>
    <w:pPr>
      <w:spacing w:before="60" w:after="60"/>
    </w:pPr>
  </w:style>
  <w:style w:type="paragraph" w:styleId="ListContinue">
    <w:name w:val="List Continue"/>
    <w:basedOn w:val="List"/>
    <w:rsid w:val="002A1B02"/>
    <w:pPr>
      <w:ind w:firstLine="0"/>
    </w:pPr>
  </w:style>
  <w:style w:type="paragraph" w:customStyle="1" w:styleId="ListNote">
    <w:name w:val="List Note"/>
    <w:basedOn w:val="List"/>
    <w:rsid w:val="002A1B02"/>
    <w:pPr>
      <w:pBdr>
        <w:top w:val="single" w:sz="6" w:space="2" w:color="918585"/>
        <w:bottom w:val="single" w:sz="6" w:space="2" w:color="918585"/>
      </w:pBdr>
      <w:tabs>
        <w:tab w:val="left" w:pos="1021"/>
      </w:tabs>
      <w:ind w:firstLine="0"/>
    </w:pPr>
  </w:style>
  <w:style w:type="paragraph" w:customStyle="1" w:styleId="Warning">
    <w:name w:val="Warning"/>
    <w:basedOn w:val="BodyText"/>
    <w:rsid w:val="002A1B02"/>
    <w:pPr>
      <w:shd w:val="clear" w:color="auto" w:fill="D9D9D9"/>
      <w:tabs>
        <w:tab w:val="left" w:pos="992"/>
      </w:tabs>
      <w:ind w:left="119" w:right="119"/>
    </w:pPr>
    <w:rPr>
      <w:sz w:val="20"/>
    </w:rPr>
  </w:style>
  <w:style w:type="paragraph" w:customStyle="1" w:styleId="MarginIcons">
    <w:name w:val="Margin Icons"/>
    <w:basedOn w:val="BodyText"/>
    <w:rsid w:val="002A1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B02"/>
    <w:rPr>
      <w:rFonts w:ascii="Courier New" w:hAnsi="Courier New"/>
    </w:rPr>
  </w:style>
  <w:style w:type="paragraph" w:customStyle="1" w:styleId="NoteBullet">
    <w:name w:val="Note Bullet"/>
    <w:basedOn w:val="Note"/>
    <w:rsid w:val="002A1B02"/>
    <w:pPr>
      <w:tabs>
        <w:tab w:val="clear" w:pos="680"/>
      </w:tabs>
      <w:spacing w:before="60" w:after="60"/>
    </w:pPr>
  </w:style>
  <w:style w:type="paragraph" w:customStyle="1" w:styleId="SubHeading2">
    <w:name w:val="SubHeading2"/>
    <w:basedOn w:val="HeadingBase"/>
    <w:rsid w:val="002A1B02"/>
    <w:pPr>
      <w:spacing w:before="240" w:after="60"/>
    </w:pPr>
    <w:rPr>
      <w:sz w:val="20"/>
    </w:rPr>
  </w:style>
  <w:style w:type="paragraph" w:customStyle="1" w:styleId="SubHeading1">
    <w:name w:val="SubHeading1"/>
    <w:basedOn w:val="HeadingBase"/>
    <w:rsid w:val="002A1B02"/>
    <w:pPr>
      <w:spacing w:before="240" w:after="60"/>
    </w:pPr>
    <w:rPr>
      <w:color w:val="918585"/>
      <w:sz w:val="22"/>
    </w:rPr>
  </w:style>
  <w:style w:type="paragraph" w:customStyle="1" w:styleId="SideHeading">
    <w:name w:val="Side Heading"/>
    <w:basedOn w:val="HeadingBase"/>
    <w:rsid w:val="002A1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B02"/>
    <w:pPr>
      <w:numPr>
        <w:numId w:val="12"/>
      </w:numPr>
    </w:pPr>
  </w:style>
  <w:style w:type="paragraph" w:styleId="PlainText">
    <w:name w:val="Plain Text"/>
    <w:basedOn w:val="Normal"/>
    <w:link w:val="PlainTextChar"/>
    <w:rsid w:val="002A1B02"/>
    <w:rPr>
      <w:sz w:val="20"/>
    </w:rPr>
  </w:style>
  <w:style w:type="character" w:customStyle="1" w:styleId="PlainTextChar">
    <w:name w:val="Plain Text Char"/>
    <w:basedOn w:val="DefaultParagraphFont"/>
    <w:link w:val="PlainText"/>
    <w:rsid w:val="002A1B02"/>
    <w:rPr>
      <w:rFonts w:ascii="Courier New" w:eastAsia="Times New Roman" w:hAnsi="Courier New" w:cs="Times New Roman"/>
      <w:sz w:val="20"/>
      <w:szCs w:val="20"/>
      <w:lang w:eastAsia="en-US"/>
    </w:rPr>
  </w:style>
  <w:style w:type="character" w:customStyle="1" w:styleId="MenuOption">
    <w:name w:val="Menu Option"/>
    <w:basedOn w:val="DefaultParagraphFont"/>
    <w:rsid w:val="002A1B02"/>
    <w:rPr>
      <w:b/>
      <w:smallCaps/>
    </w:rPr>
  </w:style>
  <w:style w:type="paragraph" w:customStyle="1" w:styleId="TableListNumber">
    <w:name w:val="Table List Number"/>
    <w:basedOn w:val="ListNumber"/>
    <w:rsid w:val="002A1B02"/>
    <w:pPr>
      <w:numPr>
        <w:numId w:val="0"/>
      </w:numPr>
    </w:pPr>
  </w:style>
  <w:style w:type="paragraph" w:styleId="TOC4">
    <w:name w:val="toc 4"/>
    <w:basedOn w:val="TOCBase"/>
    <w:next w:val="Normal"/>
    <w:semiHidden/>
    <w:rsid w:val="002A1B02"/>
    <w:pPr>
      <w:tabs>
        <w:tab w:val="right" w:leader="dot" w:pos="9071"/>
      </w:tabs>
      <w:ind w:left="1701"/>
    </w:pPr>
  </w:style>
  <w:style w:type="paragraph" w:customStyle="1" w:styleId="ListAlpha">
    <w:name w:val="List Alpha"/>
    <w:basedOn w:val="List"/>
    <w:rsid w:val="002A1B02"/>
    <w:pPr>
      <w:numPr>
        <w:numId w:val="9"/>
      </w:numPr>
    </w:pPr>
  </w:style>
  <w:style w:type="paragraph" w:customStyle="1" w:styleId="ListAlpha2">
    <w:name w:val="List Alpha 2"/>
    <w:basedOn w:val="List2"/>
    <w:rsid w:val="002A1B02"/>
    <w:pPr>
      <w:numPr>
        <w:numId w:val="8"/>
      </w:numPr>
    </w:pPr>
  </w:style>
  <w:style w:type="paragraph" w:styleId="List2">
    <w:name w:val="List 2"/>
    <w:basedOn w:val="BodyText"/>
    <w:rsid w:val="002A1B02"/>
    <w:pPr>
      <w:tabs>
        <w:tab w:val="left" w:pos="680"/>
      </w:tabs>
      <w:spacing w:before="60" w:after="60"/>
      <w:ind w:left="680" w:hanging="340"/>
    </w:pPr>
  </w:style>
  <w:style w:type="paragraph" w:styleId="List3">
    <w:name w:val="List 3"/>
    <w:basedOn w:val="BodyText"/>
    <w:rsid w:val="002A1B02"/>
    <w:pPr>
      <w:tabs>
        <w:tab w:val="left" w:pos="1021"/>
      </w:tabs>
      <w:spacing w:before="60" w:after="60"/>
      <w:ind w:left="1020" w:hanging="340"/>
    </w:pPr>
  </w:style>
  <w:style w:type="paragraph" w:styleId="List4">
    <w:name w:val="List 4"/>
    <w:basedOn w:val="BodyText"/>
    <w:rsid w:val="002A1B02"/>
    <w:pPr>
      <w:tabs>
        <w:tab w:val="left" w:pos="1361"/>
      </w:tabs>
      <w:spacing w:before="60" w:after="60"/>
      <w:ind w:left="1361" w:hanging="340"/>
    </w:pPr>
  </w:style>
  <w:style w:type="paragraph" w:styleId="List5">
    <w:name w:val="List 5"/>
    <w:basedOn w:val="BodyText"/>
    <w:rsid w:val="002A1B02"/>
    <w:pPr>
      <w:tabs>
        <w:tab w:val="left" w:pos="1701"/>
      </w:tabs>
      <w:spacing w:before="60" w:after="60"/>
      <w:ind w:left="1701" w:hanging="340"/>
    </w:pPr>
  </w:style>
  <w:style w:type="paragraph" w:styleId="ListBullet3">
    <w:name w:val="List Bullet 3"/>
    <w:basedOn w:val="List3"/>
    <w:rsid w:val="002A1B02"/>
    <w:pPr>
      <w:numPr>
        <w:numId w:val="15"/>
      </w:numPr>
      <w:tabs>
        <w:tab w:val="clear" w:pos="1021"/>
      </w:tabs>
      <w:ind w:left="1037" w:hanging="357"/>
    </w:pPr>
  </w:style>
  <w:style w:type="paragraph" w:styleId="ListBullet4">
    <w:name w:val="List Bullet 4"/>
    <w:basedOn w:val="List4"/>
    <w:rsid w:val="002A1B02"/>
    <w:pPr>
      <w:numPr>
        <w:numId w:val="3"/>
      </w:numPr>
      <w:tabs>
        <w:tab w:val="clear" w:pos="1361"/>
      </w:tabs>
    </w:pPr>
  </w:style>
  <w:style w:type="paragraph" w:styleId="ListBullet5">
    <w:name w:val="List Bullet 5"/>
    <w:basedOn w:val="List5"/>
    <w:rsid w:val="002A1B02"/>
    <w:pPr>
      <w:numPr>
        <w:numId w:val="4"/>
      </w:numPr>
    </w:pPr>
  </w:style>
  <w:style w:type="paragraph" w:styleId="ListContinue2">
    <w:name w:val="List Continue 2"/>
    <w:basedOn w:val="List2"/>
    <w:rsid w:val="002A1B02"/>
    <w:pPr>
      <w:ind w:firstLine="0"/>
    </w:pPr>
  </w:style>
  <w:style w:type="paragraph" w:styleId="ListContinue3">
    <w:name w:val="List Continue 3"/>
    <w:basedOn w:val="List3"/>
    <w:rsid w:val="002A1B02"/>
    <w:pPr>
      <w:ind w:left="1021" w:firstLine="0"/>
    </w:pPr>
  </w:style>
  <w:style w:type="paragraph" w:styleId="ListContinue4">
    <w:name w:val="List Continue 4"/>
    <w:basedOn w:val="List4"/>
    <w:rsid w:val="002A1B02"/>
    <w:pPr>
      <w:ind w:firstLine="0"/>
    </w:pPr>
  </w:style>
  <w:style w:type="paragraph" w:styleId="ListContinue5">
    <w:name w:val="List Continue 5"/>
    <w:basedOn w:val="List5"/>
    <w:rsid w:val="002A1B02"/>
    <w:pPr>
      <w:ind w:firstLine="0"/>
    </w:pPr>
  </w:style>
  <w:style w:type="paragraph" w:styleId="ListNumber3">
    <w:name w:val="List Number 3"/>
    <w:basedOn w:val="List3"/>
    <w:rsid w:val="002A1B02"/>
    <w:pPr>
      <w:numPr>
        <w:numId w:val="5"/>
      </w:numPr>
    </w:pPr>
  </w:style>
  <w:style w:type="paragraph" w:styleId="ListNumber4">
    <w:name w:val="List Number 4"/>
    <w:basedOn w:val="List4"/>
    <w:rsid w:val="002A1B02"/>
    <w:pPr>
      <w:numPr>
        <w:numId w:val="6"/>
      </w:numPr>
    </w:pPr>
  </w:style>
  <w:style w:type="paragraph" w:styleId="ListNumber5">
    <w:name w:val="List Number 5"/>
    <w:basedOn w:val="List5"/>
    <w:rsid w:val="002A1B02"/>
    <w:pPr>
      <w:numPr>
        <w:numId w:val="7"/>
      </w:numPr>
    </w:pPr>
  </w:style>
  <w:style w:type="paragraph" w:styleId="BlockText">
    <w:name w:val="Block Text"/>
    <w:basedOn w:val="Normal"/>
    <w:rsid w:val="002A1B02"/>
    <w:pPr>
      <w:spacing w:after="120"/>
      <w:ind w:left="1440" w:right="1440"/>
    </w:pPr>
  </w:style>
  <w:style w:type="character" w:customStyle="1" w:styleId="Subscript">
    <w:name w:val="Subscript"/>
    <w:basedOn w:val="DefaultParagraphFont"/>
    <w:rsid w:val="002A1B02"/>
    <w:rPr>
      <w:sz w:val="16"/>
      <w:vertAlign w:val="subscript"/>
    </w:rPr>
  </w:style>
  <w:style w:type="character" w:customStyle="1" w:styleId="Superscript">
    <w:name w:val="Superscript"/>
    <w:basedOn w:val="DefaultParagraphFont"/>
    <w:rsid w:val="002A1B02"/>
    <w:rPr>
      <w:sz w:val="16"/>
      <w:vertAlign w:val="superscript"/>
    </w:rPr>
  </w:style>
  <w:style w:type="character" w:customStyle="1" w:styleId="Symbols">
    <w:name w:val="Symbols"/>
    <w:basedOn w:val="DefaultParagraphFont"/>
    <w:rsid w:val="002A1B02"/>
    <w:rPr>
      <w:rFonts w:ascii="Symbol" w:hAnsi="Symbol"/>
    </w:rPr>
  </w:style>
  <w:style w:type="character" w:customStyle="1" w:styleId="MenuOptions">
    <w:name w:val="Menu Options"/>
    <w:basedOn w:val="DefaultParagraphFont"/>
    <w:rsid w:val="002A1B02"/>
    <w:rPr>
      <w:rFonts w:ascii="Arial Narrow" w:hAnsi="Arial Narrow"/>
      <w:smallCaps/>
    </w:rPr>
  </w:style>
  <w:style w:type="character" w:customStyle="1" w:styleId="Buttons">
    <w:name w:val="Buttons"/>
    <w:basedOn w:val="DefaultParagraphFont"/>
    <w:rsid w:val="002A1B02"/>
    <w:rPr>
      <w:b/>
    </w:rPr>
  </w:style>
  <w:style w:type="character" w:customStyle="1" w:styleId="Underlined">
    <w:name w:val="Underlined"/>
    <w:basedOn w:val="DefaultParagraphFont"/>
    <w:rsid w:val="002A1B02"/>
    <w:rPr>
      <w:u w:val="single"/>
    </w:rPr>
  </w:style>
  <w:style w:type="paragraph" w:customStyle="1" w:styleId="TableBodyTextRight">
    <w:name w:val="Table Body Text Right"/>
    <w:basedOn w:val="TableBodyText"/>
    <w:rsid w:val="002A1B02"/>
    <w:pPr>
      <w:widowControl w:val="0"/>
      <w:autoSpaceDE w:val="0"/>
      <w:autoSpaceDN w:val="0"/>
      <w:adjustRightInd w:val="0"/>
      <w:jc w:val="right"/>
    </w:pPr>
    <w:rPr>
      <w:rFonts w:cs="Arial"/>
      <w:szCs w:val="18"/>
    </w:rPr>
  </w:style>
  <w:style w:type="paragraph" w:customStyle="1" w:styleId="CopyrightText">
    <w:name w:val="Copyright Text"/>
    <w:basedOn w:val="BodyText"/>
    <w:rsid w:val="002A1B02"/>
    <w:rPr>
      <w:sz w:val="18"/>
    </w:rPr>
  </w:style>
  <w:style w:type="paragraph" w:customStyle="1" w:styleId="BodySmallRight">
    <w:name w:val="Body Small Right"/>
    <w:basedOn w:val="BodyTextRight"/>
    <w:rsid w:val="002A1B02"/>
    <w:rPr>
      <w:sz w:val="18"/>
      <w:szCs w:val="18"/>
    </w:rPr>
  </w:style>
  <w:style w:type="paragraph" w:customStyle="1" w:styleId="MarginEdition">
    <w:name w:val="Margin Edition"/>
    <w:basedOn w:val="MarginNote"/>
    <w:rsid w:val="002A1B02"/>
    <w:pPr>
      <w:spacing w:before="0" w:after="0"/>
    </w:pPr>
    <w:rPr>
      <w:rFonts w:ascii="Times New Roman" w:hAnsi="Times New Roman"/>
      <w:color w:val="999999"/>
    </w:rPr>
  </w:style>
  <w:style w:type="paragraph" w:customStyle="1" w:styleId="Spacer">
    <w:name w:val="Spacer"/>
    <w:basedOn w:val="Normal"/>
    <w:rsid w:val="002A1B02"/>
    <w:rPr>
      <w:sz w:val="2"/>
      <w:szCs w:val="2"/>
    </w:rPr>
  </w:style>
  <w:style w:type="character" w:customStyle="1" w:styleId="Small">
    <w:name w:val="Small"/>
    <w:basedOn w:val="DefaultParagraphFont"/>
    <w:rsid w:val="002A1B02"/>
    <w:rPr>
      <w:sz w:val="16"/>
    </w:rPr>
  </w:style>
  <w:style w:type="paragraph" w:customStyle="1" w:styleId="WideTable">
    <w:name w:val="Wide Table"/>
    <w:basedOn w:val="Normal"/>
    <w:rsid w:val="002A1B02"/>
    <w:pPr>
      <w:ind w:left="-1418"/>
    </w:pPr>
    <w:rPr>
      <w:sz w:val="2"/>
      <w:szCs w:val="2"/>
    </w:rPr>
  </w:style>
  <w:style w:type="character" w:styleId="PageNumber">
    <w:name w:val="page number"/>
    <w:basedOn w:val="DefaultParagraphFont"/>
    <w:rsid w:val="002A1B02"/>
  </w:style>
  <w:style w:type="paragraph" w:styleId="Quote">
    <w:name w:val="Quote"/>
    <w:basedOn w:val="Heading1"/>
    <w:link w:val="QuoteChar"/>
    <w:qFormat/>
    <w:rsid w:val="002A1B02"/>
    <w:rPr>
      <w:b w:val="0"/>
      <w:sz w:val="72"/>
      <w:szCs w:val="72"/>
      <w:lang w:val="en-NZ"/>
    </w:rPr>
  </w:style>
  <w:style w:type="character" w:customStyle="1" w:styleId="QuoteChar">
    <w:name w:val="Quote Char"/>
    <w:basedOn w:val="DefaultParagraphFont"/>
    <w:link w:val="Quote"/>
    <w:rsid w:val="002A1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B02"/>
    <w:pPr>
      <w:pageBreakBefore/>
    </w:pPr>
  </w:style>
  <w:style w:type="paragraph" w:customStyle="1" w:styleId="Border">
    <w:name w:val="Border"/>
    <w:basedOn w:val="Normal"/>
    <w:qFormat/>
    <w:rsid w:val="002A1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B02"/>
    <w:rPr>
      <w:b/>
      <w:bCs/>
      <w:i/>
      <w:iCs/>
      <w:color w:val="auto"/>
    </w:rPr>
  </w:style>
  <w:style w:type="paragraph" w:styleId="IntenseQuote">
    <w:name w:val="Intense Quote"/>
    <w:basedOn w:val="Normal"/>
    <w:next w:val="Normal"/>
    <w:link w:val="IntenseQuoteChar"/>
    <w:uiPriority w:val="30"/>
    <w:qFormat/>
    <w:rsid w:val="002A1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B02"/>
    <w:rPr>
      <w:smallCaps/>
      <w:color w:val="auto"/>
      <w:u w:val="single"/>
    </w:rPr>
  </w:style>
  <w:style w:type="character" w:styleId="IntenseReference">
    <w:name w:val="Intense Reference"/>
    <w:basedOn w:val="DefaultParagraphFont"/>
    <w:uiPriority w:val="32"/>
    <w:qFormat/>
    <w:rsid w:val="002A1B02"/>
    <w:rPr>
      <w:b/>
      <w:bCs/>
      <w:smallCaps/>
      <w:color w:val="auto"/>
      <w:spacing w:val="5"/>
      <w:u w:val="single"/>
    </w:rPr>
  </w:style>
  <w:style w:type="paragraph" w:customStyle="1" w:styleId="2ColumnHeading">
    <w:name w:val="2Column Heading"/>
    <w:basedOn w:val="BodyText"/>
    <w:qFormat/>
    <w:rsid w:val="002A1B02"/>
    <w:pPr>
      <w:spacing w:after="60"/>
      <w:ind w:left="-2268"/>
    </w:pPr>
    <w:rPr>
      <w:b/>
    </w:rPr>
  </w:style>
  <w:style w:type="paragraph" w:customStyle="1" w:styleId="Heading1TOC">
    <w:name w:val="Heading1 TOC"/>
    <w:basedOn w:val="Normal"/>
    <w:qFormat/>
    <w:rsid w:val="002A1B02"/>
    <w:pPr>
      <w:spacing w:before="240" w:after="120"/>
    </w:pPr>
    <w:rPr>
      <w:rFonts w:ascii="Times New Roman" w:hAnsi="Times New Roman"/>
      <w:b/>
      <w:sz w:val="32"/>
    </w:rPr>
  </w:style>
  <w:style w:type="paragraph" w:customStyle="1" w:styleId="Heading2TOC">
    <w:name w:val="Heading2 TOC"/>
    <w:basedOn w:val="Normal"/>
    <w:qFormat/>
    <w:rsid w:val="002A1B02"/>
    <w:pPr>
      <w:spacing w:before="240" w:after="60"/>
    </w:pPr>
    <w:rPr>
      <w:rFonts w:ascii="Times New Roman" w:hAnsi="Times New Roman"/>
      <w:b/>
      <w:sz w:val="28"/>
    </w:rPr>
  </w:style>
  <w:style w:type="character" w:customStyle="1" w:styleId="Underline">
    <w:name w:val="Underline"/>
    <w:basedOn w:val="DefaultParagraphFont"/>
    <w:qFormat/>
    <w:rsid w:val="002A1B02"/>
    <w:rPr>
      <w:u w:val="single"/>
    </w:rPr>
  </w:style>
  <w:style w:type="character" w:customStyle="1" w:styleId="BoldandItalics">
    <w:name w:val="Bold and Italics"/>
    <w:qFormat/>
    <w:rsid w:val="002A1B02"/>
    <w:rPr>
      <w:b/>
      <w:i/>
      <w:u w:val="none"/>
    </w:rPr>
  </w:style>
  <w:style w:type="paragraph" w:styleId="BalloonText">
    <w:name w:val="Balloon Text"/>
    <w:basedOn w:val="Normal"/>
    <w:link w:val="BalloonTextChar"/>
    <w:rsid w:val="002A1B02"/>
    <w:rPr>
      <w:rFonts w:ascii="Tahoma" w:hAnsi="Tahoma" w:cs="Tahoma"/>
      <w:sz w:val="16"/>
      <w:szCs w:val="16"/>
    </w:rPr>
  </w:style>
  <w:style w:type="character" w:customStyle="1" w:styleId="BalloonTextChar">
    <w:name w:val="Balloon Text Char"/>
    <w:basedOn w:val="DefaultParagraphFont"/>
    <w:link w:val="BalloonText"/>
    <w:rsid w:val="002A1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B02"/>
    <w:rPr>
      <w:b/>
      <w:color w:val="660033"/>
      <w:spacing w:val="0"/>
    </w:rPr>
  </w:style>
  <w:style w:type="paragraph" w:customStyle="1" w:styleId="Nameditemlist">
    <w:name w:val="Named item list"/>
    <w:basedOn w:val="BodyText"/>
    <w:qFormat/>
    <w:rsid w:val="002A1B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2572</Words>
  <Characters>15613</Characters>
  <Application>Microsoft Office Word</Application>
  <DocSecurity>0</DocSecurity>
  <Lines>609</Lines>
  <Paragraphs>247</Paragraphs>
  <ScaleCrop>false</ScaleCrop>
  <Company>Author-it Software Corporation Ltd.</Company>
  <LinksUpToDate>false</LinksUpToDate>
  <CharactersWithSpaces>18014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UEENEEG172A Investigate and report on electrical incidents and causes</dc:title>
  <dc:subject>Approved</dc:subject>
  <dc:creator>E-OZ Training Standards</dc:creator>
  <cp:keywords>Release 3</cp:keywords>
  <dc:description>Review Date: 12 April 2008</dc:description>
  <cp:lastModifiedBy>HSD_TPCMSd.prod</cp:lastModifiedBy>
  <cp:revision>3</cp:revision>
  <dcterms:created xsi:type="dcterms:W3CDTF">2014-12-16T11:51:26Z</dcterms:created>
  <dcterms:modified xsi:type="dcterms:W3CDTF">2014-12-16T00:17:00Z</dcterms:modified>
</cp:coreProperties>
</file>