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B89" w:rsidP="00DC7B89">
      <w:pPr>
        <w:pStyle w:val="Title"/>
      </w:pPr>
      <w:r>
        <w:fldChar w:fldCharType="begin"/>
      </w:r>
      <w:r>
        <w:instrText xml:space="preserve"> TITLE   \* MERGEFORMAT </w:instrText>
      </w:r>
      <w:r>
        <w:fldChar w:fldCharType="separate"/>
      </w:r>
      <w:r>
        <w:t>UEENEEG167A Align and install traction lift equipment</w:t>
      </w:r>
      <w:r>
        <w:fldChar w:fldCharType="end"/>
      </w:r>
    </w:p>
    <w:p w:rsidR="00DC7B89" w:rsidP="00DC7B89">
      <w:pPr>
        <w:pStyle w:val="Version"/>
        <w:sectPr w:rsidSect="00340A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0AFF" w:rsidP="00340AFF">
      <w:pPr>
        <w:pStyle w:val="SuperHeading"/>
      </w:pPr>
      <w:r w:rsidRPr="00340AFF">
        <w:t>UEENEEG167A Align and install traction lift equipment</w:t>
      </w:r>
    </w:p>
    <w:p w:rsidR="00000000" w:rsidRPr="00340AFF" w:rsidP="00340AFF">
      <w:pPr>
        <w:pStyle w:val="Heading1"/>
      </w:pPr>
      <w:bookmarkStart w:id="1" w:name="O_586375"/>
      <w:bookmarkEnd w:id="1"/>
      <w:r w:rsidRPr="00340AFF">
        <w:t>Modification History</w:t>
      </w:r>
    </w:p>
    <w:p w:rsidR="00000000" w:rsidRPr="00340AFF" w:rsidP="00340AFF">
      <w:pPr>
        <w:pStyle w:val="BodyText"/>
      </w:pPr>
      <w:r w:rsidRPr="00340AFF">
        <w:t>Not applicable.</w:t>
      </w:r>
    </w:p>
    <w:p w:rsidR="00000000" w:rsidRPr="00340AFF" w:rsidP="00340AFF">
      <w:pPr>
        <w:pStyle w:val="AllowPageBreak"/>
      </w:pPr>
    </w:p>
    <w:p w:rsidR="00000000" w:rsidRPr="00340AFF" w:rsidP="00340AFF">
      <w:pPr>
        <w:pStyle w:val="Heading1"/>
      </w:pPr>
      <w:bookmarkStart w:id="2" w:name="O_586374"/>
      <w:bookmarkEnd w:id="2"/>
      <w:r w:rsidRPr="00340AFF">
        <w:t>Unit Descriptor</w:t>
      </w:r>
    </w:p>
    <w:tbl>
      <w:tblPr>
        <w:tblW w:w="0" w:type="auto"/>
        <w:tblLayout w:type="fixed"/>
        <w:tblCellMar>
          <w:left w:w="62" w:type="dxa"/>
          <w:right w:w="62" w:type="dxa"/>
        </w:tblCellMar>
        <w:tblLook w:val="0000"/>
      </w:tblPr>
      <w:tblGrid>
        <w:gridCol w:w="2700"/>
        <w:gridCol w:w="5760"/>
      </w:tblGrid>
      <w:tr w:rsidTr="00DC7B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1)</w:t>
            </w:r>
            <w:r w:rsidRPr="00340AFF">
              <w:t xml:space="preserve"> </w:t>
            </w:r>
            <w:r w:rsidRPr="00340AFF">
              <w:rPr>
                <w:rStyle w:val="SpecialBold"/>
              </w:rPr>
              <w:t>Scope:</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40AF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1.1) Descriptor</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t>This unit covers alignment and installation of lift mechanical and electrical equipment. It encompasses working safely, alig</w:t>
            </w:r>
            <w:r w:rsidRPr="00340AFF">
              <w:t>nment of lift structures such as measuring, marking out and aligning of lift installations including machine room equipment, lift well equipment, the lift car and associated equipment and landing door frames and doors, setting out of multiple lift wells in</w:t>
            </w:r>
            <w:r w:rsidRPr="00340AFF">
              <w:t xml:space="preserve"> varying configuration and the installations of well and pit equipment, lift car equipment, superstructure and counterweights, machine room equipment, landing, door frames and door, landing buttons and indicator boxes.</w:t>
            </w:r>
          </w:p>
        </w:tc>
      </w:tr>
    </w:tbl>
    <w:p w:rsidR="00000000" w:rsidRPr="00340AFF" w:rsidP="00340AFF">
      <w:pPr>
        <w:pStyle w:val="BodyText"/>
      </w:pPr>
    </w:p>
    <w:p w:rsidR="00000000" w:rsidRPr="00340AFF" w:rsidP="00340AFF">
      <w:pPr>
        <w:pStyle w:val="AllowPageBreak"/>
      </w:pPr>
    </w:p>
    <w:p w:rsidR="00000000" w:rsidRPr="00340AFF" w:rsidP="00340AFF">
      <w:pPr>
        <w:pStyle w:val="Heading1"/>
      </w:pPr>
      <w:bookmarkStart w:id="3" w:name="O_586373"/>
      <w:bookmarkEnd w:id="3"/>
      <w:r w:rsidRPr="00340AFF">
        <w:t>Application of the Unit</w:t>
      </w:r>
    </w:p>
    <w:tbl>
      <w:tblPr>
        <w:tblW w:w="0" w:type="auto"/>
        <w:tblLayout w:type="fixed"/>
        <w:tblCellMar>
          <w:left w:w="62" w:type="dxa"/>
          <w:right w:w="62" w:type="dxa"/>
        </w:tblCellMar>
        <w:tblLook w:val="0000"/>
      </w:tblPr>
      <w:tblGrid>
        <w:gridCol w:w="2672"/>
        <w:gridCol w:w="5699"/>
      </w:tblGrid>
      <w:tr w:rsidTr="00DC7B8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2)</w:t>
            </w:r>
          </w:p>
        </w:tc>
      </w:tr>
      <w:tr w:rsidTr="00DC7B8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t>This unit applies to any formal recognition for this standard at the aligned AQF 3 level or higher.</w:t>
            </w:r>
          </w:p>
        </w:tc>
      </w:tr>
    </w:tbl>
    <w:p w:rsidR="00000000" w:rsidRPr="00340AFF" w:rsidP="00340AFF">
      <w:pPr>
        <w:pStyle w:val="BodyText"/>
      </w:pPr>
    </w:p>
    <w:p w:rsidR="00000000" w:rsidRPr="00340AFF" w:rsidP="00340AFF">
      <w:pPr>
        <w:pStyle w:val="AllowPageBreak"/>
      </w:pPr>
    </w:p>
    <w:p w:rsidR="00000000" w:rsidRPr="00340AFF" w:rsidP="00340AFF">
      <w:pPr>
        <w:pStyle w:val="Heading1"/>
      </w:pPr>
      <w:bookmarkStart w:id="4" w:name="O_586372"/>
      <w:bookmarkEnd w:id="4"/>
      <w:r w:rsidRPr="00340AFF">
        <w:t>Licensing/Regulatory Information</w:t>
      </w:r>
    </w:p>
    <w:tbl>
      <w:tblPr>
        <w:tblW w:w="0" w:type="auto"/>
        <w:tblLayout w:type="fixed"/>
        <w:tblCellMar>
          <w:left w:w="62" w:type="dxa"/>
          <w:right w:w="62" w:type="dxa"/>
        </w:tblCellMar>
        <w:tblLook w:val="0000"/>
      </w:tblPr>
      <w:tblGrid>
        <w:gridCol w:w="2700"/>
        <w:gridCol w:w="5760"/>
      </w:tblGrid>
      <w:tr w:rsidTr="00DC7B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 xml:space="preserve">3) </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t xml:space="preserve">The skills and knowledge </w:t>
            </w:r>
            <w:r w:rsidRPr="00340AFF">
              <w:t>described in this unit require a license to practice in the workplace where plant and equipment operate at voltage above 50 V a.c. or 120 V d.c. However other conditions may apply in some jurisdictions subject to regulations related to electrical work. Pra</w:t>
            </w:r>
            <w:r w:rsidRPr="00340AFF">
              <w:t xml:space="preserve">ctice in the workplace and during training is also </w:t>
            </w:r>
            <w:r w:rsidRPr="00340AFF">
              <w:t>subject to regulations directly related to occupational health and safety and where applicable contracts of training such as apprenticeships.</w:t>
            </w:r>
          </w:p>
        </w:tc>
      </w:tr>
    </w:tbl>
    <w:p w:rsidR="00000000" w:rsidRPr="00340AFF" w:rsidP="00340AFF">
      <w:pPr>
        <w:pStyle w:val="BodyText"/>
      </w:pPr>
    </w:p>
    <w:p w:rsidR="00000000" w:rsidRPr="00340AFF" w:rsidP="00340AFF">
      <w:pPr>
        <w:pStyle w:val="AllowPageBreak"/>
      </w:pPr>
    </w:p>
    <w:p w:rsidR="00000000" w:rsidRPr="00340AFF" w:rsidP="00340AFF">
      <w:pPr>
        <w:pStyle w:val="Heading1"/>
      </w:pPr>
      <w:bookmarkStart w:id="5" w:name="O_586371"/>
      <w:bookmarkEnd w:id="5"/>
      <w:r w:rsidRPr="00340AFF">
        <w:t>Pre-Requisites</w:t>
      </w:r>
    </w:p>
    <w:tbl>
      <w:tblPr>
        <w:tblW w:w="0" w:type="auto"/>
        <w:tblLayout w:type="fixed"/>
        <w:tblCellMar>
          <w:left w:w="62" w:type="dxa"/>
          <w:right w:w="62" w:type="dxa"/>
        </w:tblCellMar>
        <w:tblLook w:val="0000"/>
      </w:tblPr>
      <w:tblGrid>
        <w:gridCol w:w="2700"/>
        <w:gridCol w:w="1440"/>
        <w:gridCol w:w="4320"/>
      </w:tblGrid>
      <w:tr w:rsidTr="00DC7B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 xml:space="preserve">4) </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4.1)</w:t>
            </w:r>
          </w:p>
        </w:tc>
      </w:tr>
      <w:tr w:rsidTr="00DC7B89">
        <w:tblPrEx>
          <w:tblW w:w="0" w:type="auto"/>
          <w:tblLayout w:type="fixed"/>
          <w:tblCellMar>
            <w:left w:w="62" w:type="dxa"/>
            <w:right w:w="62" w:type="dxa"/>
          </w:tblCellMar>
          <w:tblLook w:val="0000"/>
        </w:tblPrEx>
        <w:trPr>
          <w:trHeight w:val="72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Granting competency in this unit shall be made only after competency in the following unit(s) has/have been confirmed.</w:t>
            </w:r>
          </w:p>
        </w:tc>
      </w:tr>
      <w:tr w:rsidTr="00DC7B8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UEENEEE101A</w:t>
            </w:r>
          </w:p>
        </w:tc>
        <w:tc>
          <w:tcPr>
            <w:tcW w:w="43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Apply Occupational Health and Safety regulations, codes and practices in the workplace</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UEENEEE102A</w:t>
            </w:r>
          </w:p>
        </w:tc>
        <w:tc>
          <w:tcPr>
            <w:tcW w:w="43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Fabricate, dismantle, assemble of utilities components</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UEENEEE104A</w:t>
            </w:r>
          </w:p>
        </w:tc>
        <w:tc>
          <w:tcPr>
            <w:tcW w:w="43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Solve problems in d.c circuits</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UEENEEE105A</w:t>
            </w:r>
          </w:p>
        </w:tc>
        <w:tc>
          <w:tcPr>
            <w:tcW w:w="43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Fix and secure electrotechnology equipment</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UEENEEE107A</w:t>
            </w:r>
          </w:p>
        </w:tc>
        <w:tc>
          <w:tcPr>
            <w:tcW w:w="43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Use drawings, diagrams, schedules, standards, codes and specifications</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UEENEEG006A</w:t>
            </w:r>
          </w:p>
        </w:tc>
        <w:tc>
          <w:tcPr>
            <w:tcW w:w="43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Solve problems in single and three phase low voltage machines</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UEENEEG033A</w:t>
            </w:r>
          </w:p>
        </w:tc>
        <w:tc>
          <w:tcPr>
            <w:tcW w:w="43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Solve problems in single and three phase electrical apparatus and circuits</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UEENEEG063A</w:t>
            </w:r>
          </w:p>
        </w:tc>
        <w:tc>
          <w:tcPr>
            <w:tcW w:w="43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Arrange circuits, control and protection for general electrical installations</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 xml:space="preserve">UEENEEG101A </w:t>
            </w:r>
          </w:p>
        </w:tc>
        <w:tc>
          <w:tcPr>
            <w:tcW w:w="43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Solve problems in electromagnetic devices and related circuits</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UEENEEG102A</w:t>
            </w:r>
          </w:p>
        </w:tc>
        <w:tc>
          <w:tcPr>
            <w:tcW w:w="43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Solve problems in low voltage a.c. circuit</w:t>
            </w:r>
          </w:p>
        </w:tc>
      </w:tr>
      <w:tr w:rsidTr="00DC7B89">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UEENEEG106A</w:t>
            </w:r>
          </w:p>
        </w:tc>
        <w:tc>
          <w:tcPr>
            <w:tcW w:w="43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Terminate cables, cords and accessories for low voltage circuits</w:t>
            </w:r>
          </w:p>
        </w:tc>
      </w:tr>
      <w:tr w:rsidTr="00DC7B8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 xml:space="preserve">UEENEEG108A </w:t>
            </w:r>
          </w:p>
        </w:tc>
        <w:tc>
          <w:tcPr>
            <w:tcW w:w="43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Trouble-shoot and repair faults in low voltage electrical apparatus and circuits</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UEENEEG116A</w:t>
            </w:r>
          </w:p>
        </w:tc>
        <w:tc>
          <w:tcPr>
            <w:tcW w:w="432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t xml:space="preserve">Diagnose and rectify faults in traction lift systems </w:t>
            </w:r>
          </w:p>
        </w:tc>
      </w:tr>
    </w:tbl>
    <w:p w:rsidR="00000000" w:rsidRPr="00340AFF" w:rsidP="00340AF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C7B8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 xml:space="preserve">4.2) </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Participants are best equipped to achieve competency in this unit if they have reading, writing and numeracy skills indicated by the following scales. Description of each scale is given in Volume 2, Part 3 ‘Literacy and Numeracy’</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Reading</w:t>
            </w:r>
          </w:p>
        </w:tc>
        <w:tc>
          <w:tcPr>
            <w:tcW w:w="81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4</w:t>
            </w:r>
          </w:p>
        </w:tc>
        <w:tc>
          <w:tcPr>
            <w:tcW w:w="99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Writing</w:t>
            </w: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4</w:t>
            </w:r>
          </w:p>
        </w:tc>
        <w:tc>
          <w:tcPr>
            <w:tcW w:w="12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Numeracy</w:t>
            </w:r>
          </w:p>
        </w:tc>
        <w:tc>
          <w:tcPr>
            <w:tcW w:w="72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t>5</w:t>
            </w:r>
          </w:p>
        </w:tc>
      </w:tr>
    </w:tbl>
    <w:p w:rsidR="00000000" w:rsidRPr="00340AFF" w:rsidP="00340AFF">
      <w:pPr>
        <w:pStyle w:val="BodyText"/>
      </w:pPr>
    </w:p>
    <w:p w:rsidR="00000000" w:rsidRPr="00340AFF" w:rsidP="00340AFF">
      <w:pPr>
        <w:pStyle w:val="AllowPageBreak"/>
      </w:pPr>
    </w:p>
    <w:p w:rsidR="00000000" w:rsidRPr="00340AFF" w:rsidP="00340AFF">
      <w:pPr>
        <w:pStyle w:val="Heading1"/>
      </w:pPr>
      <w:bookmarkStart w:id="6" w:name="O_586370"/>
      <w:bookmarkEnd w:id="6"/>
      <w:r w:rsidRPr="00340AFF">
        <w:t>Employability Skills Information</w:t>
      </w:r>
    </w:p>
    <w:tbl>
      <w:tblPr>
        <w:tblW w:w="0" w:type="auto"/>
        <w:tblLayout w:type="fixed"/>
        <w:tblCellMar>
          <w:left w:w="62" w:type="dxa"/>
          <w:right w:w="62" w:type="dxa"/>
        </w:tblCellMar>
        <w:tblLook w:val="0000"/>
      </w:tblPr>
      <w:tblGrid>
        <w:gridCol w:w="2700"/>
        <w:gridCol w:w="5760"/>
      </w:tblGrid>
      <w:tr w:rsidTr="00DC7B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 xml:space="preserve">5) </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t>This unit contains Employability Skills</w:t>
            </w:r>
          </w:p>
          <w:p w:rsidR="00000000" w:rsidRPr="00340AFF" w:rsidP="00340AFF">
            <w:pPr>
              <w:pStyle w:val="BodyText"/>
            </w:pPr>
            <w:r w:rsidRPr="00340AF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40AFF">
              <w:t>requirements.</w:t>
            </w:r>
          </w:p>
        </w:tc>
      </w:tr>
    </w:tbl>
    <w:p w:rsidR="00000000" w:rsidRPr="00340AFF" w:rsidP="00340AFF">
      <w:pPr>
        <w:pStyle w:val="BodyText"/>
      </w:pPr>
    </w:p>
    <w:p w:rsidR="00000000" w:rsidRPr="00340AFF" w:rsidP="00340AFF">
      <w:pPr>
        <w:pStyle w:val="AllowPageBreak"/>
      </w:pPr>
    </w:p>
    <w:p w:rsidR="00000000" w:rsidRPr="00340AFF" w:rsidP="00340AFF">
      <w:pPr>
        <w:pStyle w:val="Heading1"/>
      </w:pPr>
      <w:bookmarkStart w:id="7" w:name="O_586369"/>
      <w:bookmarkEnd w:id="7"/>
      <w:r w:rsidRPr="00340AFF">
        <w:t>Elements and Performance Criteria Pre-Content</w:t>
      </w:r>
    </w:p>
    <w:tbl>
      <w:tblPr>
        <w:tblW w:w="0" w:type="auto"/>
        <w:tblLayout w:type="fixed"/>
        <w:tblCellMar>
          <w:left w:w="62" w:type="dxa"/>
          <w:right w:w="62" w:type="dxa"/>
        </w:tblCellMar>
        <w:tblLook w:val="0000"/>
      </w:tblPr>
      <w:tblGrid>
        <w:gridCol w:w="2700"/>
        <w:gridCol w:w="5760"/>
      </w:tblGrid>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6)</w:t>
            </w:r>
            <w:r w:rsidRPr="00340AF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t>Performance Criteria describe the required performance needed to demonstrate achievement of the element</w:t>
            </w:r>
            <w:r w:rsidRPr="00340AFF">
              <w:t>. Assessment of performance is to be consistent with the Evidence Guide.</w:t>
            </w:r>
          </w:p>
        </w:tc>
      </w:tr>
    </w:tbl>
    <w:p w:rsidR="00000000" w:rsidRPr="00340AFF" w:rsidP="00340AFF">
      <w:pPr>
        <w:pStyle w:val="BodyText"/>
      </w:pPr>
    </w:p>
    <w:p w:rsidR="00000000" w:rsidRPr="00340AFF" w:rsidP="00340AFF">
      <w:pPr>
        <w:pStyle w:val="AllowPageBreak"/>
      </w:pPr>
    </w:p>
    <w:p w:rsidR="00000000" w:rsidRPr="00340AFF" w:rsidP="00340AFF">
      <w:pPr>
        <w:pStyle w:val="Heading1"/>
      </w:pPr>
      <w:bookmarkStart w:id="8" w:name="O_586368"/>
      <w:bookmarkEnd w:id="8"/>
      <w:r w:rsidRPr="00340AFF">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DC7B8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PERFORMANCE CRITERIA</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1</w:t>
            </w:r>
          </w:p>
        </w:tc>
        <w:tc>
          <w:tcPr>
            <w:tcW w:w="2340" w:type="dxa"/>
            <w:vMerge w:val="restart"/>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Prepare to align and install lift equipment.</w:t>
            </w: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1.1</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 xml:space="preserve">OHS procedures for a given work area are identified, obtained and understood. </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1.2</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OHS risk control measures and procedures in preparation for the work are followed.</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1.3</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The likely ex</w:t>
            </w:r>
            <w:r w:rsidRPr="00340AFF">
              <w:t>tend of work to be undertaken is envisaged from site plans, drawings and specifications and/or discussions with appropriate person(s).</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1.4</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Advice is sought from the work supervisor to ensure the work is coordinated effectively with others.</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1.5</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Tools,</w:t>
            </w:r>
            <w:r w:rsidRPr="00340AFF">
              <w:t xml:space="preserve"> equipment and alignment devices needed to carry out the work are obtained in accordance with established procedures and checked for correct operation and safety.</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2</w:t>
            </w:r>
          </w:p>
        </w:tc>
        <w:tc>
          <w:tcPr>
            <w:tcW w:w="2340" w:type="dxa"/>
            <w:vMerge w:val="restart"/>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Align and install lift equipment.</w:t>
            </w: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2.1</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OHS risk control measures and procedures for carrying out the work are followed.</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2.2</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The need to test or measure live is determined in strict accordance with OHS requirements and when necessary conducted within established safety procedures.</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2.3</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Circuits/machines/plant are checked as being isolated where necessary in strict accordance OHS requirements and procedures.</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2.4</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Equipment are installed straight and square in the required locations and within acceptable tolerances.</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2.5</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Equipment alig</w:t>
            </w:r>
            <w:r w:rsidRPr="00340AFF">
              <w:t>n and install in accordance with manufacture’s specifications and regulatory requirements.</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2.6</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Established methods for dealing with unexpected situations are discussed with appropriate person or persons and documented.</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2.7</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Unexpected situations are dealt with safely and with the approval of an authorised person.</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2.8</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Ongoing checks of the quality of installed equipment are undertaken in accordance with established procedures.</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2.9</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Equipment installation is carried out ef</w:t>
            </w:r>
            <w:r w:rsidRPr="00340AFF">
              <w:t>ficiently without unnecessary waste of materials or damage to apparatus, circuits or the surrounding environment and using sustainable energy practices.</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3</w:t>
            </w:r>
          </w:p>
        </w:tc>
        <w:tc>
          <w:tcPr>
            <w:tcW w:w="234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Completion and report of alignment and installation activities</w:t>
            </w: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3.1</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OHS work completion risk control measures and procedures are followed.</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3.2</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Work site is cleaned and made safe in accordance with established procedures.</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3.3</w:t>
            </w:r>
          </w:p>
        </w:tc>
        <w:tc>
          <w:tcPr>
            <w:tcW w:w="48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Final checks are made to that the installed equipment conforms to requirements.</w:t>
            </w:r>
          </w:p>
        </w:tc>
      </w:tr>
      <w:tr w:rsidTr="00DC7B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3.4</w:t>
            </w:r>
          </w:p>
        </w:tc>
        <w:tc>
          <w:tcPr>
            <w:tcW w:w="486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t>‘As-in</w:t>
            </w:r>
            <w:r w:rsidRPr="00340AFF">
              <w:t>stalled’ equipment is documented and an appropriate person or persons notified in accordance with established procedures.</w:t>
            </w:r>
          </w:p>
        </w:tc>
      </w:tr>
    </w:tbl>
    <w:p w:rsidR="00000000" w:rsidRPr="00340AFF" w:rsidP="00340AFF">
      <w:pPr>
        <w:pStyle w:val="BodyText"/>
      </w:pPr>
    </w:p>
    <w:p w:rsidR="00000000" w:rsidRPr="00340AFF" w:rsidP="00340AFF">
      <w:pPr>
        <w:pStyle w:val="AllowPageBreak"/>
      </w:pPr>
    </w:p>
    <w:p w:rsidR="00000000" w:rsidRPr="00340AFF" w:rsidP="00340AFF">
      <w:pPr>
        <w:pStyle w:val="Heading1"/>
      </w:pPr>
      <w:bookmarkStart w:id="9" w:name="O_586367"/>
      <w:bookmarkEnd w:id="9"/>
      <w:r w:rsidRPr="00340AFF">
        <w:t>Required Skills and Knowledge</w:t>
      </w:r>
    </w:p>
    <w:tbl>
      <w:tblPr>
        <w:tblW w:w="0" w:type="auto"/>
        <w:tblLayout w:type="fixed"/>
        <w:tblCellMar>
          <w:left w:w="62" w:type="dxa"/>
          <w:right w:w="62" w:type="dxa"/>
        </w:tblCellMar>
        <w:tblLook w:val="0000"/>
      </w:tblPr>
      <w:tblGrid>
        <w:gridCol w:w="8460"/>
      </w:tblGrid>
      <w:tr w:rsidTr="00DC7B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REQUIRED SKILLS AND KNOWLEDGE</w:t>
            </w:r>
          </w:p>
        </w:tc>
      </w:tr>
      <w:tr w:rsidTr="00DC7B8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8)</w:t>
            </w:r>
            <w:r w:rsidRPr="00340AFF">
              <w:t xml:space="preserve"> This describes the essential skills and knowledge and their level, required for this unit.</w:t>
            </w:r>
          </w:p>
          <w:p w:rsidR="00000000" w:rsidRPr="00340AFF" w:rsidP="00340AFF">
            <w:pPr>
              <w:pStyle w:val="BodyText"/>
            </w:pPr>
            <w:r w:rsidRPr="00340AFF">
              <w:t>Evidence shall show that knowledge has been acquired of safe working practices and aligning and installing lift equipment.</w:t>
            </w:r>
          </w:p>
          <w:p w:rsidR="00000000" w:rsidRPr="00340AFF" w:rsidP="00340AFF">
            <w:pPr>
              <w:pStyle w:val="BodyText"/>
            </w:pPr>
            <w:r w:rsidRPr="00340AFF">
              <w:t>All knowledge and skills detailed in this</w:t>
            </w:r>
            <w:r w:rsidRPr="00340AFF">
              <w:t xml:space="preserve"> unit should be contextualised to current industry practices and technologies.</w:t>
            </w:r>
          </w:p>
          <w:p w:rsidR="00000000" w:rsidRPr="00340AFF" w:rsidP="00340AFF">
            <w:pPr>
              <w:pStyle w:val="BodyText"/>
            </w:pPr>
            <w:r w:rsidRPr="00340AFF">
              <w:rPr>
                <w:rStyle w:val="SpecialBold"/>
              </w:rPr>
              <w:t>KS01-EG167A</w:t>
            </w:r>
            <w:r w:rsidRPr="00340AFF">
              <w:rPr>
                <w:rStyle w:val="SpecialBold"/>
              </w:rPr>
              <w:tab/>
              <w:t xml:space="preserve">               Lift systems - installation</w:t>
            </w:r>
          </w:p>
          <w:p w:rsidR="00000000" w:rsidRPr="00340AFF" w:rsidP="00340AFF">
            <w:pPr>
              <w:pStyle w:val="BodyText"/>
            </w:pPr>
            <w:r w:rsidRPr="00340AFF">
              <w:t>Evidence shall show an understanding of aligning and installing lift equipment to an extent indicated by the following asp</w:t>
            </w:r>
            <w:r w:rsidRPr="00340AFF">
              <w:t>ects:</w:t>
            </w:r>
          </w:p>
          <w:p w:rsidR="00000000" w:rsidRPr="00340AFF" w:rsidP="00340AFF">
            <w:pPr>
              <w:pStyle w:val="BodyText"/>
            </w:pPr>
            <w:r w:rsidRPr="00340AFF">
              <w:t>T1</w:t>
            </w:r>
            <w:r w:rsidRPr="00340AFF">
              <w:tab/>
              <w:t>Single lift wells encompassing:</w:t>
            </w:r>
          </w:p>
          <w:p w:rsidR="00000000" w:rsidRPr="00340AFF" w:rsidP="00340AFF">
            <w:pPr>
              <w:pStyle w:val="ListBullet"/>
            </w:pPr>
            <w:r w:rsidRPr="00340AFF">
              <w:t>Purpose</w:t>
            </w:r>
          </w:p>
          <w:p w:rsidR="00000000" w:rsidRPr="00340AFF" w:rsidP="00340AFF">
            <w:pPr>
              <w:pStyle w:val="ListBullet"/>
            </w:pPr>
            <w:r w:rsidRPr="00340AFF">
              <w:t>Need for accuracy</w:t>
            </w:r>
          </w:p>
          <w:p w:rsidR="00000000" w:rsidRPr="00340AFF" w:rsidP="00340AFF">
            <w:pPr>
              <w:pStyle w:val="ListBullet"/>
            </w:pPr>
            <w:r w:rsidRPr="00340AFF">
              <w:t>Modification of errors</w:t>
            </w:r>
          </w:p>
          <w:p w:rsidR="00000000" w:rsidRPr="00340AFF" w:rsidP="00340AFF">
            <w:pPr>
              <w:pStyle w:val="ListBullet"/>
            </w:pPr>
            <w:r w:rsidRPr="00340AFF">
              <w:t>Use of template</w:t>
            </w:r>
          </w:p>
          <w:p w:rsidR="00000000" w:rsidRPr="00340AFF" w:rsidP="00340AFF">
            <w:pPr>
              <w:pStyle w:val="ListBullet"/>
            </w:pPr>
            <w:r w:rsidRPr="00340AFF">
              <w:t>Use of plumb lines and weights</w:t>
            </w:r>
          </w:p>
          <w:p w:rsidR="00000000" w:rsidRPr="00340AFF" w:rsidP="00340AFF">
            <w:pPr>
              <w:pStyle w:val="ListBullet"/>
            </w:pPr>
            <w:r w:rsidRPr="00340AFF">
              <w:t>Measuring and marking out lift wells</w:t>
            </w:r>
          </w:p>
          <w:p w:rsidR="00000000" w:rsidRPr="00340AFF" w:rsidP="00340AFF">
            <w:pPr>
              <w:pStyle w:val="ListBullet"/>
            </w:pPr>
            <w:r w:rsidRPr="00340AFF">
              <w:t>Measuring and marking out machine room (where appropriate)</w:t>
            </w:r>
          </w:p>
          <w:p w:rsidR="00000000" w:rsidRPr="00340AFF" w:rsidP="00340AFF">
            <w:pPr>
              <w:pStyle w:val="ListBullet"/>
            </w:pPr>
            <w:r w:rsidRPr="00340AFF">
              <w:t>Plumbing chart</w:t>
            </w:r>
          </w:p>
          <w:p w:rsidR="00000000" w:rsidRPr="00340AFF" w:rsidP="00340AFF">
            <w:pPr>
              <w:pStyle w:val="ListBullet"/>
            </w:pPr>
            <w:r w:rsidRPr="00340AFF">
              <w:t>Identification of clearances</w:t>
            </w:r>
          </w:p>
          <w:p w:rsidR="00000000" w:rsidRPr="00340AFF" w:rsidP="00340AFF">
            <w:pPr>
              <w:pStyle w:val="ListBullet"/>
            </w:pPr>
            <w:r w:rsidRPr="00340AFF">
              <w:t>Adjustment of templates</w:t>
            </w:r>
          </w:p>
          <w:p w:rsidR="00000000" w:rsidRPr="00340AFF" w:rsidP="00340AFF">
            <w:pPr>
              <w:pStyle w:val="ListBullet"/>
            </w:pPr>
            <w:r w:rsidRPr="00340AFF">
              <w:t>Use of laser level</w:t>
            </w:r>
          </w:p>
          <w:p w:rsidR="00000000" w:rsidRPr="00340AFF" w:rsidP="00340AFF">
            <w:pPr>
              <w:pStyle w:val="BodyText"/>
            </w:pPr>
            <w:r w:rsidRPr="00340AFF">
              <w:t>T2</w:t>
            </w:r>
            <w:r w:rsidRPr="00340AFF">
              <w:tab/>
              <w:t>Multiple lift wells encompassing:</w:t>
            </w:r>
          </w:p>
          <w:p w:rsidR="00000000" w:rsidRPr="00340AFF" w:rsidP="00340AFF">
            <w:pPr>
              <w:pStyle w:val="ListBullet"/>
            </w:pPr>
            <w:r w:rsidRPr="00340AFF">
              <w:t>Use of centre line/datum</w:t>
            </w:r>
          </w:p>
          <w:p w:rsidR="00000000" w:rsidRPr="00340AFF" w:rsidP="00340AFF">
            <w:pPr>
              <w:pStyle w:val="ListBullet"/>
            </w:pPr>
            <w:r w:rsidRPr="00340AFF">
              <w:t>Use of survey information and layouts</w:t>
            </w:r>
          </w:p>
          <w:p w:rsidR="00000000" w:rsidRPr="00340AFF" w:rsidP="00340AFF">
            <w:pPr>
              <w:pStyle w:val="ListBullet"/>
            </w:pPr>
            <w:r w:rsidRPr="00340AFF">
              <w:t>Setting of well templates</w:t>
            </w:r>
          </w:p>
          <w:p w:rsidR="00000000" w:rsidRPr="00340AFF" w:rsidP="00340AFF">
            <w:pPr>
              <w:pStyle w:val="ListBullet"/>
            </w:pPr>
            <w:r w:rsidRPr="00340AFF">
              <w:t>Plumb charts analysis for three dimensional impact</w:t>
            </w:r>
          </w:p>
          <w:p w:rsidR="00000000" w:rsidRPr="00340AFF" w:rsidP="00340AFF">
            <w:pPr>
              <w:pStyle w:val="ListBullet"/>
            </w:pPr>
            <w:r w:rsidRPr="00340AFF">
              <w:t>Correc</w:t>
            </w:r>
            <w:r w:rsidRPr="00340AFF">
              <w:t>tive action</w:t>
            </w:r>
          </w:p>
          <w:p w:rsidR="00000000" w:rsidRPr="00340AFF" w:rsidP="00340AFF">
            <w:pPr>
              <w:pStyle w:val="ListBullet"/>
            </w:pPr>
            <w:r w:rsidRPr="00340AFF">
              <w:t>Use of theodolite</w:t>
            </w:r>
          </w:p>
          <w:p w:rsidR="00000000" w:rsidRPr="00340AFF" w:rsidP="00340AFF">
            <w:pPr>
              <w:pStyle w:val="BodyText"/>
            </w:pPr>
            <w:r w:rsidRPr="00340AFF">
              <w:t>T3</w:t>
            </w:r>
            <w:r w:rsidRPr="00340AFF">
              <w:tab/>
              <w:t>Fixing devices and methods encompassing:</w:t>
            </w:r>
          </w:p>
          <w:p w:rsidR="00000000" w:rsidRPr="00340AFF" w:rsidP="00340AFF">
            <w:pPr>
              <w:pStyle w:val="ListBullet"/>
            </w:pPr>
            <w:r w:rsidRPr="00340AFF">
              <w:t>Inserts</w:t>
            </w:r>
          </w:p>
          <w:p w:rsidR="00000000" w:rsidRPr="00340AFF" w:rsidP="00340AFF">
            <w:pPr>
              <w:pStyle w:val="ListBullet"/>
            </w:pPr>
            <w:r w:rsidRPr="00340AFF">
              <w:t>Expansion anchors</w:t>
            </w:r>
          </w:p>
          <w:p w:rsidR="00000000" w:rsidRPr="00340AFF" w:rsidP="00340AFF">
            <w:pPr>
              <w:pStyle w:val="ListBullet"/>
            </w:pPr>
            <w:r w:rsidRPr="00340AFF">
              <w:t>Chemically bonded anchors</w:t>
            </w:r>
          </w:p>
          <w:p w:rsidR="00000000" w:rsidRPr="00340AFF" w:rsidP="00340AFF">
            <w:pPr>
              <w:pStyle w:val="BodyText"/>
            </w:pPr>
            <w:r w:rsidRPr="00340AFF">
              <w:t>T4</w:t>
            </w:r>
            <w:r w:rsidRPr="00340AFF">
              <w:tab/>
              <w:t>Equipment layout encompassing:</w:t>
            </w:r>
          </w:p>
          <w:p w:rsidR="00000000" w:rsidRPr="00340AFF" w:rsidP="00340AFF">
            <w:pPr>
              <w:pStyle w:val="ListBullet"/>
            </w:pPr>
            <w:r w:rsidRPr="00340AFF">
              <w:t>Specifications</w:t>
            </w:r>
          </w:p>
          <w:p w:rsidR="00000000" w:rsidRPr="00340AFF" w:rsidP="00340AFF">
            <w:pPr>
              <w:pStyle w:val="ListBullet"/>
            </w:pPr>
            <w:r w:rsidRPr="00340AFF">
              <w:t>Clearances</w:t>
            </w:r>
          </w:p>
          <w:p w:rsidR="00000000" w:rsidRPr="00340AFF" w:rsidP="00340AFF">
            <w:pPr>
              <w:pStyle w:val="ListBullet"/>
            </w:pPr>
            <w:r w:rsidRPr="00340AFF">
              <w:t>3D impact on layout</w:t>
            </w:r>
          </w:p>
          <w:p w:rsidR="00000000" w:rsidRPr="00340AFF" w:rsidP="00340AFF">
            <w:pPr>
              <w:pStyle w:val="ListBullet"/>
            </w:pPr>
            <w:r w:rsidRPr="00340AFF">
              <w:t>Lift code</w:t>
            </w:r>
          </w:p>
          <w:p w:rsidR="00000000" w:rsidRPr="00340AFF" w:rsidP="00340AFF">
            <w:pPr>
              <w:pStyle w:val="BodyText"/>
            </w:pPr>
            <w:r w:rsidRPr="00340AFF">
              <w:t>T5</w:t>
            </w:r>
            <w:r w:rsidRPr="00340AFF">
              <w:tab/>
              <w:t>Alignment equipment encompassing:</w:t>
            </w:r>
          </w:p>
          <w:p w:rsidR="00000000" w:rsidRPr="00340AFF" w:rsidP="00340AFF">
            <w:pPr>
              <w:pStyle w:val="ListBullet"/>
            </w:pPr>
            <w:r w:rsidRPr="00340AFF">
              <w:t>Gauges</w:t>
            </w:r>
          </w:p>
          <w:p w:rsidR="00000000" w:rsidRPr="00340AFF" w:rsidP="00340AFF">
            <w:pPr>
              <w:pStyle w:val="ListBullet"/>
            </w:pPr>
            <w:r w:rsidRPr="00340AFF">
              <w:t>Straight edges</w:t>
            </w:r>
          </w:p>
          <w:p w:rsidR="00000000" w:rsidRPr="00340AFF" w:rsidP="00340AFF">
            <w:pPr>
              <w:pStyle w:val="ListBullet"/>
            </w:pPr>
            <w:r w:rsidRPr="00340AFF">
              <w:t>Rail gauges</w:t>
            </w:r>
          </w:p>
          <w:p w:rsidR="00000000" w:rsidRPr="00340AFF" w:rsidP="00340AFF">
            <w:pPr>
              <w:pStyle w:val="ListBullet"/>
            </w:pPr>
            <w:r w:rsidRPr="00340AFF">
              <w:t>Shims/packers</w:t>
            </w:r>
          </w:p>
          <w:p w:rsidR="00000000" w:rsidRPr="00340AFF" w:rsidP="00340AFF">
            <w:pPr>
              <w:pStyle w:val="ListBullet"/>
            </w:pPr>
            <w:r w:rsidRPr="00340AFF">
              <w:t>Lasers</w:t>
            </w:r>
          </w:p>
          <w:p w:rsidR="00000000" w:rsidRPr="00340AFF" w:rsidP="00340AFF">
            <w:pPr>
              <w:pStyle w:val="BodyText"/>
            </w:pPr>
            <w:r w:rsidRPr="00340AFF">
              <w:t>T6</w:t>
            </w:r>
            <w:r w:rsidRPr="00340AFF">
              <w:tab/>
              <w:t>Machine room alignment encompassing:</w:t>
            </w:r>
          </w:p>
          <w:p w:rsidR="00000000" w:rsidRPr="00340AFF" w:rsidP="00340AFF">
            <w:pPr>
              <w:pStyle w:val="ListBullet"/>
            </w:pPr>
            <w:r w:rsidRPr="00340AFF">
              <w:t>Machine and fixings</w:t>
            </w:r>
          </w:p>
          <w:p w:rsidR="00000000" w:rsidRPr="00340AFF" w:rsidP="00340AFF">
            <w:pPr>
              <w:pStyle w:val="ListBullet"/>
            </w:pPr>
            <w:r w:rsidRPr="00340AFF">
              <w:t>Diverter sheave</w:t>
            </w:r>
          </w:p>
          <w:p w:rsidR="00000000" w:rsidRPr="00340AFF" w:rsidP="00340AFF">
            <w:pPr>
              <w:pStyle w:val="ListBullet"/>
            </w:pPr>
            <w:r w:rsidRPr="00340AFF">
              <w:t>Governor and tensioning sheaves</w:t>
            </w:r>
          </w:p>
          <w:p w:rsidR="00000000" w:rsidRPr="00340AFF" w:rsidP="00340AFF">
            <w:pPr>
              <w:pStyle w:val="ListBullet"/>
            </w:pPr>
            <w:r w:rsidRPr="00340AFF">
              <w:t>Counterweight centre lines</w:t>
            </w:r>
          </w:p>
          <w:p w:rsidR="00000000" w:rsidRPr="00340AFF" w:rsidP="00340AFF">
            <w:pPr>
              <w:pStyle w:val="ListBullet"/>
            </w:pPr>
            <w:r w:rsidRPr="00340AFF">
              <w:t>Sheave and roping system</w:t>
            </w:r>
          </w:p>
          <w:p w:rsidR="00000000" w:rsidRPr="00340AFF" w:rsidP="00340AFF">
            <w:pPr>
              <w:pStyle w:val="BodyText"/>
            </w:pPr>
            <w:r w:rsidRPr="00340AFF">
              <w:t>T7</w:t>
            </w:r>
            <w:r w:rsidRPr="00340AFF">
              <w:tab/>
              <w:t>Lift car alignment encompassing:</w:t>
            </w:r>
          </w:p>
          <w:p w:rsidR="00000000" w:rsidRPr="00340AFF" w:rsidP="00340AFF">
            <w:pPr>
              <w:pStyle w:val="ListBullet"/>
            </w:pPr>
            <w:r w:rsidRPr="00340AFF">
              <w:t>Sup</w:t>
            </w:r>
            <w:r w:rsidRPr="00340AFF">
              <w:t>erstructure</w:t>
            </w:r>
          </w:p>
          <w:p w:rsidR="00000000" w:rsidRPr="00340AFF" w:rsidP="00340AFF">
            <w:pPr>
              <w:pStyle w:val="ListBullet"/>
            </w:pPr>
            <w:r w:rsidRPr="00340AFF">
              <w:t>Frames</w:t>
            </w:r>
          </w:p>
          <w:p w:rsidR="00000000" w:rsidRPr="00340AFF" w:rsidP="00340AFF">
            <w:pPr>
              <w:pStyle w:val="ListBullet"/>
            </w:pPr>
            <w:r w:rsidRPr="00340AFF">
              <w:t>Doors</w:t>
            </w:r>
          </w:p>
          <w:p w:rsidR="00000000" w:rsidRPr="00340AFF" w:rsidP="00340AFF">
            <w:pPr>
              <w:pStyle w:val="BodyText"/>
            </w:pPr>
            <w:r w:rsidRPr="00340AFF">
              <w:t>T8</w:t>
            </w:r>
            <w:r w:rsidRPr="00340AFF">
              <w:tab/>
              <w:t>Lift well alignment encompassing:</w:t>
            </w:r>
          </w:p>
          <w:p w:rsidR="00000000" w:rsidRPr="00340AFF" w:rsidP="00340AFF">
            <w:pPr>
              <w:pStyle w:val="ListBullet"/>
            </w:pPr>
            <w:r w:rsidRPr="00340AFF">
              <w:t>Guides and brackets</w:t>
            </w:r>
          </w:p>
          <w:p w:rsidR="00000000" w:rsidRPr="00340AFF" w:rsidP="00340AFF">
            <w:pPr>
              <w:pStyle w:val="ListBullet"/>
            </w:pPr>
            <w:r w:rsidRPr="00340AFF">
              <w:t>Trimmer beams</w:t>
            </w:r>
          </w:p>
          <w:p w:rsidR="00000000" w:rsidRPr="00340AFF" w:rsidP="00340AFF">
            <w:pPr>
              <w:pStyle w:val="ListBullet"/>
            </w:pPr>
            <w:r w:rsidRPr="00340AFF">
              <w:t>Buffers</w:t>
            </w:r>
          </w:p>
          <w:p w:rsidR="00000000" w:rsidRPr="00340AFF" w:rsidP="00340AFF">
            <w:pPr>
              <w:pStyle w:val="ListBullet"/>
            </w:pPr>
            <w:r w:rsidRPr="00340AFF">
              <w:t>Landing doors and locks</w:t>
            </w:r>
          </w:p>
          <w:p w:rsidR="00000000" w:rsidRPr="00340AFF" w:rsidP="00340AFF">
            <w:pPr>
              <w:pStyle w:val="ListBullet"/>
            </w:pPr>
            <w:r w:rsidRPr="00340AFF">
              <w:t>Compensators</w:t>
            </w:r>
          </w:p>
          <w:p w:rsidR="00000000" w:rsidRPr="00340AFF" w:rsidP="00340AFF">
            <w:pPr>
              <w:pStyle w:val="BodyText"/>
            </w:pPr>
            <w:r w:rsidRPr="00340AFF">
              <w:t>T9</w:t>
            </w:r>
            <w:r w:rsidRPr="00340AFF">
              <w:tab/>
              <w:t>Running clearances encompassing:</w:t>
            </w:r>
          </w:p>
          <w:p w:rsidR="00000000" w:rsidRPr="00340AFF" w:rsidP="00340AFF">
            <w:pPr>
              <w:pStyle w:val="ListBullet"/>
            </w:pPr>
            <w:r w:rsidRPr="00340AFF">
              <w:t>Safety gear</w:t>
            </w:r>
          </w:p>
          <w:p w:rsidR="00000000" w:rsidRPr="00340AFF" w:rsidP="00340AFF">
            <w:pPr>
              <w:pStyle w:val="ListBullet"/>
            </w:pPr>
            <w:r w:rsidRPr="00340AFF">
              <w:t>Car sill</w:t>
            </w:r>
          </w:p>
          <w:p w:rsidR="00000000" w:rsidRPr="00340AFF" w:rsidP="00340AFF">
            <w:pPr>
              <w:pStyle w:val="ListBullet"/>
            </w:pPr>
            <w:r w:rsidRPr="00340AFF">
              <w:t>Door operator</w:t>
            </w:r>
          </w:p>
          <w:p w:rsidR="00000000" w:rsidRPr="00340AFF" w:rsidP="00340AFF">
            <w:pPr>
              <w:pStyle w:val="BodyText"/>
            </w:pPr>
            <w:r w:rsidRPr="00340AFF">
              <w:t>T10</w:t>
            </w:r>
            <w:r w:rsidRPr="00340AFF">
              <w:tab/>
              <w:t>Car operating devices encompassing:</w:t>
            </w:r>
          </w:p>
          <w:p w:rsidR="00000000" w:rsidRPr="00340AFF" w:rsidP="00340AFF">
            <w:pPr>
              <w:pStyle w:val="ListBullet"/>
            </w:pPr>
            <w:r w:rsidRPr="00340AFF">
              <w:t>Slowdown switch</w:t>
            </w:r>
          </w:p>
          <w:p w:rsidR="00000000" w:rsidRPr="00340AFF" w:rsidP="00340AFF">
            <w:pPr>
              <w:pStyle w:val="ListBullet"/>
            </w:pPr>
            <w:r w:rsidRPr="00340AFF">
              <w:t>Limits</w:t>
            </w:r>
          </w:p>
          <w:p w:rsidR="00000000" w:rsidRPr="00340AFF" w:rsidP="00340AFF">
            <w:pPr>
              <w:pStyle w:val="ListBullet"/>
            </w:pPr>
            <w:r w:rsidRPr="00340AFF">
              <w:t>Inductors</w:t>
            </w:r>
          </w:p>
          <w:p w:rsidR="00000000" w:rsidRPr="00340AFF" w:rsidP="00340AFF">
            <w:pPr>
              <w:pStyle w:val="ListBullet"/>
            </w:pPr>
            <w:r w:rsidRPr="00340AFF">
              <w:t>Door locks</w:t>
            </w:r>
          </w:p>
          <w:p w:rsidR="00000000" w:rsidRPr="00340AFF" w:rsidP="00340AFF">
            <w:pPr>
              <w:pStyle w:val="ListBullet"/>
            </w:pPr>
            <w:r w:rsidRPr="00340AFF">
              <w:t>Vanes and Shaft information</w:t>
            </w:r>
          </w:p>
          <w:p w:rsidR="00000000" w:rsidRPr="00340AFF" w:rsidP="00340AFF">
            <w:pPr>
              <w:pStyle w:val="BodyText"/>
            </w:pPr>
            <w:r w:rsidRPr="00340AFF">
              <w:t>T11</w:t>
            </w:r>
            <w:r w:rsidRPr="00340AFF">
              <w:tab/>
              <w:t>Installation and aligning hydraulic equipment procedure encompassing:</w:t>
            </w:r>
          </w:p>
          <w:p w:rsidR="00000000" w:rsidRPr="00340AFF" w:rsidP="00340AFF">
            <w:pPr>
              <w:pStyle w:val="ListBullet"/>
            </w:pPr>
            <w:r w:rsidRPr="00340AFF">
              <w:t>Ram/Cylinder</w:t>
            </w:r>
          </w:p>
          <w:p w:rsidR="00000000" w:rsidRPr="00340AFF" w:rsidP="00340AFF">
            <w:pPr>
              <w:pStyle w:val="ListBullet"/>
            </w:pPr>
            <w:r w:rsidRPr="00340AFF">
              <w:t>Hydraulic Lines</w:t>
            </w:r>
          </w:p>
          <w:p w:rsidR="00000000" w:rsidRPr="00340AFF" w:rsidP="00340AFF">
            <w:pPr>
              <w:pStyle w:val="ListBullet"/>
            </w:pPr>
            <w:r w:rsidRPr="00340AFF">
              <w:t>Bleeding Hydraulic system</w:t>
            </w:r>
          </w:p>
        </w:tc>
      </w:tr>
    </w:tbl>
    <w:p w:rsidR="00000000" w:rsidRPr="00340AFF" w:rsidP="00340AFF">
      <w:pPr>
        <w:pStyle w:val="BodyText"/>
      </w:pPr>
    </w:p>
    <w:p w:rsidR="00000000" w:rsidRPr="00340AFF" w:rsidP="00340AFF">
      <w:pPr>
        <w:pStyle w:val="AllowPageBreak"/>
      </w:pPr>
    </w:p>
    <w:p w:rsidR="00000000" w:rsidRPr="00340AFF" w:rsidP="00340AFF">
      <w:pPr>
        <w:pStyle w:val="Heading1"/>
      </w:pPr>
      <w:bookmarkStart w:id="10" w:name="O_586366"/>
      <w:bookmarkEnd w:id="10"/>
      <w:r w:rsidRPr="00340AFF">
        <w:t>Evidence Guide</w:t>
      </w:r>
    </w:p>
    <w:tbl>
      <w:tblPr>
        <w:tblW w:w="0" w:type="auto"/>
        <w:tblLayout w:type="fixed"/>
        <w:tblCellMar>
          <w:left w:w="62" w:type="dxa"/>
          <w:right w:w="62" w:type="dxa"/>
        </w:tblCellMar>
        <w:tblLook w:val="0000"/>
      </w:tblPr>
      <w:tblGrid>
        <w:gridCol w:w="8460"/>
      </w:tblGrid>
      <w:tr w:rsidTr="00DC7B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EVIDENCE GUIDE</w:t>
            </w:r>
          </w:p>
        </w:tc>
      </w:tr>
      <w:tr w:rsidTr="00DC7B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9)</w:t>
            </w:r>
            <w:r w:rsidRPr="00340AFF">
              <w:t xml:space="preserve"> The evidence guide provides advice on assessment and must be read in conjunction with the Performance Criteria, Required Skills and Knowledge, the Range Statement and the Assessment Guidelines for this Training Package. </w:t>
            </w:r>
          </w:p>
          <w:p w:rsidR="00000000" w:rsidRPr="00340AFF" w:rsidP="00340AFF">
            <w:pPr>
              <w:pStyle w:val="BodyText"/>
            </w:pPr>
            <w:r w:rsidRPr="00340AFF">
              <w:t>The Evidence Guide forms an integr</w:t>
            </w:r>
            <w:r w:rsidRPr="00340AFF">
              <w:t>al part of this unit. It must be used in conjunction with all parts of this unit and performed in accordance with the Assessment Guidelines of this Training Package.</w:t>
            </w:r>
          </w:p>
        </w:tc>
      </w:tr>
    </w:tbl>
    <w:p w:rsidR="00000000" w:rsidRPr="00340AFF" w:rsidP="00340AFF">
      <w:pPr>
        <w:pStyle w:val="BodyText"/>
      </w:pPr>
    </w:p>
    <w:tbl>
      <w:tblPr>
        <w:tblW w:w="0" w:type="auto"/>
        <w:tblLayout w:type="fixed"/>
        <w:tblCellMar>
          <w:left w:w="62" w:type="dxa"/>
          <w:right w:w="62" w:type="dxa"/>
        </w:tblCellMar>
        <w:tblLook w:val="0000"/>
      </w:tblPr>
      <w:tblGrid>
        <w:gridCol w:w="1890"/>
        <w:gridCol w:w="6570"/>
      </w:tblGrid>
      <w:tr w:rsidTr="00DC7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9.1)</w:t>
            </w:r>
          </w:p>
        </w:tc>
      </w:tr>
      <w:tr w:rsidTr="00DC7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t>Longitudinal competency development approaches to assessment, such as Profiling, require data to be reliably gathered in a form that can be consistently interpreted over time. This approach is best utilised in Apprenticeship programs and reduces assessment</w:t>
            </w:r>
            <w:r w:rsidRPr="00340AF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40AFF">
              <w:t>tency in a realistically simulated work environment. It is recognised that, in some circumstances, assessment in part or full can occur outside the workplace. However, it must be in accordance with industry and regulatory policy.</w:t>
            </w:r>
          </w:p>
          <w:p w:rsidR="00000000" w:rsidRPr="00340AFF" w:rsidP="00340AFF">
            <w:pPr>
              <w:pStyle w:val="BodyText"/>
            </w:pPr>
            <w:r w:rsidRPr="00340AFF">
              <w:t>Methods chosen for a parti</w:t>
            </w:r>
            <w:r w:rsidRPr="00340AFF">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340AFF">
              <w:t>the critical nature of the competencies being assessed.</w:t>
            </w:r>
          </w:p>
          <w:p w:rsidR="00000000" w:rsidRPr="00340AFF" w:rsidP="00340AFF">
            <w:pPr>
              <w:pStyle w:val="BodyText"/>
            </w:pPr>
            <w:r w:rsidRPr="00340AFF">
              <w:t>The critical safety nature of working with electricity, electrical equipment, gas or any other hazardous substance/material carries risk in deeming a person competent. Sources of evidence need to be ‘</w:t>
            </w:r>
            <w:r w:rsidRPr="00340AFF">
              <w:t>rich’ in nature to minimise error in judgment.</w:t>
            </w:r>
          </w:p>
          <w:p w:rsidR="00000000" w:rsidRPr="00340AFF" w:rsidP="00340AFF">
            <w:pPr>
              <w:pStyle w:val="BodyText"/>
            </w:pPr>
            <w:r w:rsidRPr="00340AFF">
              <w:t xml:space="preserve">Activities associated with normal every day work have a bearing on the decision as to how much and how detailed the data gathered will contribute to its ‘richness’. Some skills are more critical to safety and </w:t>
            </w:r>
            <w:r w:rsidRPr="00340AFF">
              <w:t>operational requirements while the same skills may be more or less frequently practised. These points are raised for the assessors to consider when choosing an assessment method and developing assessment instruments. Sample assessment instruments are inclu</w:t>
            </w:r>
            <w:r w:rsidRPr="00340AFF">
              <w:t>ded for Assessors in the Assessment Guidelines of this Training Package.</w:t>
            </w:r>
          </w:p>
        </w:tc>
      </w:tr>
    </w:tbl>
    <w:p w:rsidR="00000000" w:rsidRPr="00340AFF" w:rsidP="00340AFF">
      <w:pPr>
        <w:pStyle w:val="BodyText"/>
      </w:pPr>
    </w:p>
    <w:tbl>
      <w:tblPr>
        <w:tblW w:w="0" w:type="auto"/>
        <w:tblLayout w:type="fixed"/>
        <w:tblCellMar>
          <w:left w:w="62" w:type="dxa"/>
          <w:right w:w="62" w:type="dxa"/>
        </w:tblCellMar>
        <w:tblLook w:val="0000"/>
      </w:tblPr>
      <w:tblGrid>
        <w:gridCol w:w="1890"/>
        <w:gridCol w:w="1620"/>
        <w:gridCol w:w="4950"/>
      </w:tblGrid>
      <w:tr w:rsidTr="00DC7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9.2)</w:t>
            </w:r>
          </w:p>
        </w:tc>
      </w:tr>
      <w:tr w:rsidTr="00DC7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t>Before the critical aspects of evidence are considered all prerequisites shall be met.</w:t>
            </w:r>
          </w:p>
          <w:p w:rsidR="00000000" w:rsidRPr="00340AFF" w:rsidP="00340AFF">
            <w:pPr>
              <w:pStyle w:val="BodyText"/>
            </w:pPr>
            <w:r w:rsidRPr="00340AFF">
              <w:t xml:space="preserve">Evidence </w:t>
            </w:r>
            <w:r w:rsidRPr="00340AFF">
              <w:t>for competence in this unit shall be considered holistically.  Each element and associated performance criteria shall be demonstrated on at least two occasions in accordance with the ‘Assessment Guidelines – UEE11’.  Evidence shall also comprise:</w:t>
            </w:r>
          </w:p>
          <w:p w:rsidR="00000000" w:rsidRPr="00340AFF" w:rsidP="00340AFF">
            <w:pPr>
              <w:pStyle w:val="ListBullet"/>
            </w:pPr>
            <w:r w:rsidRPr="00340AFF">
              <w:t>A repres</w:t>
            </w:r>
            <w:r w:rsidRPr="00340AFF">
              <w:t>entative body of work performance demonstrated within the timeframes typically expected of the discipline, work function and industrial environment. In particular this shall incorporate evidence that shows a candidate is able to:</w:t>
            </w:r>
          </w:p>
          <w:p w:rsidR="00000000" w:rsidRPr="00340AFF" w:rsidP="00340AFF">
            <w:pPr>
              <w:pStyle w:val="ListBullet2"/>
            </w:pPr>
            <w:r w:rsidRPr="00340AFF">
              <w:t>Implement Occupational Health and Safety workplace procedures and practices including the use of risk control measures as specified in the performance criteria and range statement</w:t>
            </w:r>
          </w:p>
          <w:p w:rsidR="00000000" w:rsidRPr="00340AFF" w:rsidP="00340AFF">
            <w:pPr>
              <w:pStyle w:val="ListBullet2"/>
            </w:pPr>
            <w:r w:rsidRPr="00340AFF">
              <w:t>Apply sustainable energy principles and practices as specified in the perfor</w:t>
            </w:r>
            <w:r w:rsidRPr="00340AFF">
              <w:t>mance criteria and range statement</w:t>
            </w:r>
          </w:p>
          <w:p w:rsidR="00000000" w:rsidRPr="00340AFF" w:rsidP="00340AFF">
            <w:pPr>
              <w:pStyle w:val="ListBullet2"/>
            </w:pPr>
            <w:r w:rsidRPr="00340AFF">
              <w:t>Demonstrate an understanding of the essential knowledge and associated skills as described in this unit.  It may be required by some jurisdictions that RTOs provide a percentile graded result for the purpose of regulatory</w:t>
            </w:r>
            <w:r w:rsidRPr="00340AFF">
              <w:t xml:space="preserve"> or licensing requirements.   </w:t>
            </w:r>
          </w:p>
          <w:p w:rsidR="00000000" w:rsidRPr="00340AFF" w:rsidP="00340AFF">
            <w:pPr>
              <w:pStyle w:val="ListBullet2"/>
            </w:pPr>
            <w:r w:rsidRPr="00340AFF">
              <w:t>Demonstrate an appropriate level of skills enabling employment</w:t>
            </w:r>
          </w:p>
          <w:p w:rsidR="00000000" w:rsidRPr="00340AFF" w:rsidP="00340AFF">
            <w:pPr>
              <w:pStyle w:val="ListBullet2"/>
            </w:pPr>
            <w:r w:rsidRPr="00340AFF">
              <w:t>Conduct work observing the relevant Anti Discrimination legislation, regulations, polices and workplace procedures</w:t>
            </w:r>
          </w:p>
          <w:p w:rsidR="00000000" w:rsidRPr="00340AFF" w:rsidP="00340AFF">
            <w:pPr>
              <w:pStyle w:val="ListBullet"/>
            </w:pPr>
            <w:r w:rsidRPr="00340AFF">
              <w:t>Demonstrated consistent performance across a r</w:t>
            </w:r>
            <w:r w:rsidRPr="00340AFF">
              <w:t>epresentative range of contexts from the prescribed items below:</w:t>
            </w:r>
          </w:p>
          <w:p w:rsidR="00000000" w:rsidRPr="00340AFF" w:rsidP="00340AFF">
            <w:pPr>
              <w:pStyle w:val="ListBullet2"/>
            </w:pPr>
            <w:r w:rsidRPr="00340AFF">
              <w:t>Align and install lift equipment as described in 8) and including:</w:t>
            </w:r>
          </w:p>
          <w:p w:rsidR="00000000" w:rsidP="00340AFF">
            <w:pPr>
              <w:pStyle w:val="BodyText"/>
              <w:rPr>
                <w:lang w:val="en-NZ"/>
              </w:rPr>
            </w:pPr>
            <w:r w:rsidRPr="00340AFF">
              <w:t>Install at least two types of the following lift equipment as described below</w:t>
            </w:r>
          </w:p>
        </w:tc>
      </w:tr>
      <w:tr w:rsidTr="00DC7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A</w:t>
            </w:r>
          </w:p>
        </w:tc>
        <w:tc>
          <w:tcPr>
            <w:tcW w:w="495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Lift well equipment.</w:t>
            </w:r>
          </w:p>
        </w:tc>
      </w:tr>
      <w:tr w:rsidTr="00DC7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B</w:t>
            </w:r>
          </w:p>
        </w:tc>
        <w:tc>
          <w:tcPr>
            <w:tcW w:w="495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Lift cars.</w:t>
            </w:r>
          </w:p>
        </w:tc>
      </w:tr>
      <w:tr w:rsidTr="00DC7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C</w:t>
            </w:r>
          </w:p>
        </w:tc>
        <w:tc>
          <w:tcPr>
            <w:tcW w:w="495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Machine room equipment.</w:t>
            </w:r>
          </w:p>
        </w:tc>
      </w:tr>
      <w:tr w:rsidTr="00DC7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Carry out at least two types of set out and alignment functions as listed below:</w:t>
            </w:r>
          </w:p>
        </w:tc>
      </w:tr>
      <w:tr w:rsidTr="00DC7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A</w:t>
            </w:r>
          </w:p>
        </w:tc>
        <w:tc>
          <w:tcPr>
            <w:tcW w:w="495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Lift well alignment.</w:t>
            </w:r>
          </w:p>
        </w:tc>
      </w:tr>
      <w:tr w:rsidTr="00DC7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B</w:t>
            </w:r>
          </w:p>
        </w:tc>
        <w:tc>
          <w:tcPr>
            <w:tcW w:w="495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Lift car alignment.</w:t>
            </w:r>
          </w:p>
        </w:tc>
      </w:tr>
      <w:tr w:rsidTr="00DC7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C</w:t>
            </w:r>
          </w:p>
        </w:tc>
        <w:tc>
          <w:tcPr>
            <w:tcW w:w="495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Machine room alignment.</w:t>
            </w:r>
          </w:p>
        </w:tc>
      </w:tr>
      <w:tr w:rsidTr="00DC7B89">
        <w:tblPrEx>
          <w:tblW w:w="0" w:type="auto"/>
          <w:tblLayout w:type="fixed"/>
          <w:tblCellMar>
            <w:left w:w="62" w:type="dxa"/>
            <w:right w:w="62" w:type="dxa"/>
          </w:tblCellMar>
          <w:tblLook w:val="0000"/>
        </w:tblPrEx>
        <w:trPr>
          <w:trHeight w:val="119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D</w:t>
            </w:r>
          </w:p>
        </w:tc>
        <w:tc>
          <w:tcPr>
            <w:tcW w:w="495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t>Dealing with unplanned events by drawing on essential knowledge and skills to provide appropriate solutions incorporated in the holistic assessment with the above listed items.</w:t>
            </w:r>
          </w:p>
        </w:tc>
      </w:tr>
      <w:tr w:rsidTr="00DC7B89">
        <w:tblPrEx>
          <w:tblW w:w="0" w:type="auto"/>
          <w:tblLayout w:type="fixed"/>
          <w:tblCellMar>
            <w:left w:w="62" w:type="dxa"/>
            <w:right w:w="62" w:type="dxa"/>
          </w:tblCellMar>
          <w:tblLook w:val="0000"/>
        </w:tblPrEx>
        <w:trPr>
          <w:trHeight w:val="119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t xml:space="preserve">Note: </w:t>
            </w:r>
          </w:p>
          <w:p w:rsidR="00000000" w:rsidRPr="00340AFF" w:rsidP="00340AFF">
            <w:pPr>
              <w:pStyle w:val="BodyText"/>
            </w:pPr>
            <w:r w:rsidRPr="00340AFF">
              <w:t>Successful completion of relevant vendor training may be used to contribute to evidence on which competency is deemed. In these cases the alignment of outcomes of vendor training with performance criteria and critical aspects of evidence shall be clearly i</w:t>
            </w:r>
            <w:r w:rsidRPr="00340AFF">
              <w:t>dentified.</w:t>
            </w:r>
          </w:p>
        </w:tc>
      </w:tr>
    </w:tbl>
    <w:p w:rsidR="00000000" w:rsidRPr="00340AFF" w:rsidP="00340AFF">
      <w:pPr>
        <w:pStyle w:val="BodyText"/>
      </w:pPr>
    </w:p>
    <w:tbl>
      <w:tblPr>
        <w:tblW w:w="0" w:type="auto"/>
        <w:tblLayout w:type="fixed"/>
        <w:tblCellMar>
          <w:left w:w="62" w:type="dxa"/>
          <w:right w:w="62" w:type="dxa"/>
        </w:tblCellMar>
        <w:tblLook w:val="0000"/>
      </w:tblPr>
      <w:tblGrid>
        <w:gridCol w:w="1890"/>
        <w:gridCol w:w="6570"/>
      </w:tblGrid>
      <w:tr w:rsidTr="00DC7B8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9.3)</w:t>
            </w:r>
          </w:p>
        </w:tc>
      </w:tr>
      <w:tr w:rsidTr="00DC7B8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t>This unit should be assessed as it relates to normal work practice using procedures, information and resources typical of a workplace. This should include:</w:t>
            </w:r>
          </w:p>
          <w:p w:rsidR="00000000" w:rsidRPr="00340AFF" w:rsidP="00340AFF">
            <w:pPr>
              <w:pStyle w:val="BodyText"/>
            </w:pPr>
            <w:r w:rsidRPr="00340AFF">
              <w:t>OHS policy and work procedures and instructions.</w:t>
            </w:r>
          </w:p>
          <w:p w:rsidR="00000000" w:rsidRPr="00340AFF" w:rsidP="00340AFF">
            <w:pPr>
              <w:pStyle w:val="BodyText"/>
            </w:pPr>
            <w:r w:rsidRPr="00340AFF">
              <w:t>Suitable work environment, facilities, equipment and materials to undertake actual work as prescribed by this unit.</w:t>
            </w:r>
          </w:p>
          <w:p w:rsidR="00000000" w:rsidRPr="00340AFF" w:rsidP="00340AFF">
            <w:pPr>
              <w:pStyle w:val="BodyText"/>
            </w:pPr>
            <w:r w:rsidRPr="00340AFF">
              <w:t>Resources required to assess this unit are listed above in Context of assessment’, which sh</w:t>
            </w:r>
            <w:r w:rsidRPr="00340AFF">
              <w:t>ould also be used in the formal learning/assessment environment.</w:t>
            </w:r>
          </w:p>
          <w:p w:rsidR="00000000" w:rsidRPr="00340AFF" w:rsidP="00340AFF">
            <w:pPr>
              <w:pStyle w:val="BodyText"/>
            </w:pPr>
            <w:r w:rsidRPr="00340AFF">
              <w:t>Note:</w:t>
            </w:r>
          </w:p>
          <w:p w:rsidR="00000000" w:rsidRPr="00340AFF" w:rsidP="00340AFF">
            <w:pPr>
              <w:pStyle w:val="BodyText"/>
            </w:pPr>
            <w:r w:rsidRPr="00340AFF">
              <w:t>Where simulation is considered a suitable strategy for assessment, conditions must be authentic and as far as possible reproduce and replicate the workplace and be consistent with the a</w:t>
            </w:r>
            <w:r w:rsidRPr="00340AFF">
              <w:t>pproved industry simulation policy.</w:t>
            </w:r>
          </w:p>
          <w:p w:rsidR="00000000" w:rsidRPr="00340AFF" w:rsidP="00340AFF">
            <w:pPr>
              <w:pStyle w:val="BodyText"/>
            </w:pPr>
            <w:r w:rsidRPr="00340AFF">
              <w:t>The resources used for assessment should reflect current industry practices in relation to aligning and installing lift equipment.</w:t>
            </w:r>
          </w:p>
        </w:tc>
      </w:tr>
    </w:tbl>
    <w:p w:rsidR="00000000" w:rsidRPr="00340AFF" w:rsidP="00340AFF">
      <w:pPr>
        <w:pStyle w:val="BodyText"/>
      </w:pPr>
    </w:p>
    <w:tbl>
      <w:tblPr>
        <w:tblW w:w="0" w:type="auto"/>
        <w:tblLayout w:type="fixed"/>
        <w:tblCellMar>
          <w:left w:w="62" w:type="dxa"/>
          <w:right w:w="62" w:type="dxa"/>
        </w:tblCellMar>
        <w:tblLook w:val="0000"/>
      </w:tblPr>
      <w:tblGrid>
        <w:gridCol w:w="1890"/>
        <w:gridCol w:w="6570"/>
      </w:tblGrid>
      <w:tr w:rsidTr="00DC7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9.4)</w:t>
            </w:r>
          </w:p>
        </w:tc>
      </w:tr>
      <w:tr w:rsidTr="00DC7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t>This unit shall be assessed by methods given in Volume 1, P</w:t>
            </w:r>
            <w:r w:rsidRPr="00340AFF">
              <w:t>art 3 ‘Assessment Guidelines’.</w:t>
            </w:r>
          </w:p>
          <w:p w:rsidR="00000000" w:rsidRPr="00340AFF" w:rsidP="00340AFF">
            <w:pPr>
              <w:pStyle w:val="BodyText"/>
            </w:pPr>
            <w:r w:rsidRPr="00340AFF">
              <w:t xml:space="preserve">Note: </w:t>
            </w:r>
          </w:p>
          <w:p w:rsidR="00000000" w:rsidRPr="00340AFF" w:rsidP="00340AFF">
            <w:pPr>
              <w:pStyle w:val="BodyText"/>
            </w:pPr>
            <w:r w:rsidRPr="00340AFF">
              <w:t>Competent performance with inherent safe working practices is expected in the industry to which this unit applies. This requires assessment in a structured environment which is primarily intended for learning/assessmen</w:t>
            </w:r>
            <w:r w:rsidRPr="00340AFF">
              <w:t>t and incorporates all necessary equipment and facilities for learners to develop and demonstrate the essential knowledge and skills described in this unit.</w:t>
            </w:r>
          </w:p>
        </w:tc>
      </w:tr>
    </w:tbl>
    <w:p w:rsidR="00000000" w:rsidRPr="00340AFF" w:rsidP="00340AFF">
      <w:pPr>
        <w:pStyle w:val="BodyText"/>
      </w:pPr>
    </w:p>
    <w:tbl>
      <w:tblPr>
        <w:tblW w:w="0" w:type="auto"/>
        <w:tblLayout w:type="fixed"/>
        <w:tblCellMar>
          <w:left w:w="62" w:type="dxa"/>
          <w:right w:w="62" w:type="dxa"/>
        </w:tblCellMar>
        <w:tblLook w:val="0000"/>
      </w:tblPr>
      <w:tblGrid>
        <w:gridCol w:w="1890"/>
        <w:gridCol w:w="6570"/>
      </w:tblGrid>
      <w:tr w:rsidTr="00DC7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9.5)</w:t>
            </w:r>
          </w:p>
        </w:tc>
      </w:tr>
      <w:tr w:rsidTr="00DC7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t>There are no concurrent assessment</w:t>
            </w:r>
            <w:r w:rsidRPr="00340AFF">
              <w:t xml:space="preserve"> recommendations for this unit.</w:t>
            </w:r>
          </w:p>
        </w:tc>
      </w:tr>
    </w:tbl>
    <w:p w:rsidR="00000000" w:rsidRPr="00340AFF" w:rsidP="00340AFF">
      <w:pPr>
        <w:pStyle w:val="BodyText"/>
      </w:pPr>
    </w:p>
    <w:p w:rsidR="00000000" w:rsidRPr="00340AFF" w:rsidP="00340AFF">
      <w:pPr>
        <w:pStyle w:val="AllowPageBreak"/>
      </w:pPr>
    </w:p>
    <w:p w:rsidR="00000000" w:rsidRPr="00340AFF" w:rsidP="00340AFF">
      <w:pPr>
        <w:pStyle w:val="Heading1"/>
      </w:pPr>
      <w:bookmarkStart w:id="11" w:name="O_586365"/>
      <w:bookmarkEnd w:id="11"/>
      <w:r w:rsidRPr="00340AFF">
        <w:t>Range Statement</w:t>
      </w:r>
    </w:p>
    <w:tbl>
      <w:tblPr>
        <w:tblW w:w="0" w:type="auto"/>
        <w:tblLayout w:type="fixed"/>
        <w:tblCellMar>
          <w:left w:w="62" w:type="dxa"/>
          <w:right w:w="62" w:type="dxa"/>
        </w:tblCellMar>
        <w:tblLook w:val="0000"/>
      </w:tblPr>
      <w:tblGrid>
        <w:gridCol w:w="8460"/>
      </w:tblGrid>
      <w:tr w:rsidTr="00DC7B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RANGE STATEMENT</w:t>
            </w:r>
          </w:p>
        </w:tc>
      </w:tr>
      <w:tr w:rsidTr="00DC7B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10)</w:t>
            </w:r>
            <w:r w:rsidRPr="00340AFF">
              <w:t xml:space="preserve"> This relates to the unit as a whole providing the range of contexts and conditions to which the </w:t>
            </w:r>
            <w:r w:rsidRPr="00340AFF">
              <w:t>performance criteria apply. It allows for different work environments and situations that will affect performance.</w:t>
            </w:r>
          </w:p>
          <w:p w:rsidR="00000000" w:rsidRPr="00340AFF" w:rsidP="00340AFF">
            <w:pPr>
              <w:pStyle w:val="BodyText"/>
            </w:pPr>
            <w:r w:rsidRPr="00340AFF">
              <w:t>Competency shall be demonstrated in relation to align and install at least two of the following:</w:t>
            </w:r>
          </w:p>
          <w:p w:rsidR="00000000" w:rsidRPr="00340AFF" w:rsidP="00340AFF">
            <w:pPr>
              <w:pStyle w:val="ListBullet3"/>
            </w:pPr>
            <w:r w:rsidRPr="00340AFF">
              <w:t>Lift well equipment</w:t>
            </w:r>
          </w:p>
          <w:p w:rsidR="00000000" w:rsidRPr="00340AFF" w:rsidP="00340AFF">
            <w:pPr>
              <w:pStyle w:val="ListBullet3"/>
            </w:pPr>
            <w:r w:rsidRPr="00340AFF">
              <w:t xml:space="preserve">Lift cars </w:t>
            </w:r>
          </w:p>
          <w:p w:rsidR="00000000" w:rsidRPr="00340AFF" w:rsidP="00340AFF">
            <w:pPr>
              <w:pStyle w:val="ListBullet3"/>
            </w:pPr>
            <w:r w:rsidRPr="00340AFF">
              <w:t>Machine room</w:t>
            </w:r>
            <w:r w:rsidRPr="00340AFF">
              <w:t xml:space="preserve"> equipment</w:t>
            </w:r>
          </w:p>
          <w:p w:rsidR="00000000" w:rsidRPr="00340AFF" w:rsidP="00340AFF">
            <w:pPr>
              <w:pStyle w:val="ListBullet3"/>
            </w:pPr>
            <w:r w:rsidRPr="00340AFF">
              <w:t>Lift well alignment</w:t>
            </w:r>
          </w:p>
          <w:p w:rsidR="00000000" w:rsidRPr="00340AFF" w:rsidP="00340AFF">
            <w:pPr>
              <w:pStyle w:val="ListBullet3"/>
            </w:pPr>
            <w:r w:rsidRPr="00340AFF">
              <w:t>Lift car alignment</w:t>
            </w:r>
          </w:p>
          <w:p w:rsidR="00000000" w:rsidRPr="00340AFF" w:rsidP="00340AFF">
            <w:pPr>
              <w:pStyle w:val="ListBullet3"/>
            </w:pPr>
            <w:r w:rsidRPr="00340AFF">
              <w:t>Machine room alignment</w:t>
            </w:r>
          </w:p>
          <w:p w:rsidR="00000000" w:rsidRPr="00340AFF" w:rsidP="00340AFF">
            <w:pPr>
              <w:pStyle w:val="BodyText"/>
            </w:pPr>
            <w:r w:rsidRPr="00340AFF">
              <w:t>Generic terms used throughout this Vocational Standard shall be regarded as part of the Range Statement in which competency is demonstrated. The definition of these and other terms th</w:t>
            </w:r>
            <w:r w:rsidRPr="00340AFF">
              <w:t>at apply are given in Volume 2, Part 2.1.</w:t>
            </w:r>
          </w:p>
          <w:p w:rsidR="00000000" w:rsidRPr="00340AFF" w:rsidP="00340AFF">
            <w:pPr>
              <w:pStyle w:val="BodyText"/>
            </w:pPr>
          </w:p>
        </w:tc>
      </w:tr>
    </w:tbl>
    <w:p w:rsidR="00000000" w:rsidRPr="00340AFF" w:rsidP="00340AFF">
      <w:pPr>
        <w:pStyle w:val="BodyText"/>
      </w:pPr>
    </w:p>
    <w:p w:rsidR="00000000" w:rsidRPr="00340AFF" w:rsidP="00340AFF">
      <w:pPr>
        <w:pStyle w:val="AllowPageBreak"/>
      </w:pPr>
    </w:p>
    <w:p w:rsidR="00000000" w:rsidRPr="00340AFF" w:rsidP="00340AFF">
      <w:pPr>
        <w:pStyle w:val="Heading1"/>
      </w:pPr>
      <w:bookmarkStart w:id="12" w:name="O_586364"/>
      <w:bookmarkEnd w:id="12"/>
      <w:r w:rsidRPr="00340AFF">
        <w:t>Unit Sector(s)</w:t>
      </w:r>
    </w:p>
    <w:p w:rsidR="00000000" w:rsidRPr="00340AFF" w:rsidP="00340AFF">
      <w:pPr>
        <w:pStyle w:val="BodyText"/>
      </w:pPr>
      <w:r w:rsidRPr="00340AFF">
        <w:t>Not applicable.</w:t>
      </w:r>
    </w:p>
    <w:p w:rsidR="00000000" w:rsidRPr="00340AFF" w:rsidP="00340AFF">
      <w:pPr>
        <w:pStyle w:val="AllowPageBreak"/>
      </w:pPr>
    </w:p>
    <w:p w:rsidR="00000000" w:rsidRPr="00340AFF" w:rsidP="00340AFF">
      <w:pPr>
        <w:pStyle w:val="Heading1"/>
      </w:pPr>
      <w:bookmarkStart w:id="13" w:name="O_586363"/>
      <w:bookmarkEnd w:id="13"/>
      <w:r w:rsidRPr="00340AFF">
        <w:t>Competency Field</w:t>
      </w:r>
    </w:p>
    <w:tbl>
      <w:tblPr>
        <w:tblW w:w="0" w:type="auto"/>
        <w:tblLayout w:type="fixed"/>
        <w:tblCellMar>
          <w:left w:w="62" w:type="dxa"/>
          <w:right w:w="62" w:type="dxa"/>
        </w:tblCellMar>
        <w:tblLook w:val="0000"/>
      </w:tblPr>
      <w:tblGrid>
        <w:gridCol w:w="2700"/>
        <w:gridCol w:w="5760"/>
      </w:tblGrid>
      <w:tr w:rsidTr="00DC7B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40AFF">
            <w:pPr>
              <w:pStyle w:val="BodyText"/>
              <w:rPr>
                <w:lang w:val="en-NZ"/>
              </w:rPr>
            </w:pPr>
            <w:r w:rsidRPr="00340AFF">
              <w:rPr>
                <w:rStyle w:val="SpecialBold"/>
              </w:rPr>
              <w:t xml:space="preserve">11) </w:t>
            </w:r>
          </w:p>
        </w:tc>
      </w:tr>
      <w:tr w:rsidTr="00DC7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0AFF" w:rsidP="00340AFF">
            <w:pPr>
              <w:pStyle w:val="BodyText"/>
            </w:pPr>
            <w:r w:rsidRPr="00340AFF">
              <w:t>Electrical</w:t>
            </w:r>
          </w:p>
        </w:tc>
      </w:tr>
    </w:tbl>
    <w:p w:rsidR="00000000" w:rsidRPr="00340AFF" w:rsidP="00340AFF">
      <w:pPr>
        <w:pStyle w:val="BodyText"/>
      </w:pPr>
    </w:p>
    <w:p w:rsidR="00000000" w:rsidRPr="00340AFF" w:rsidP="00340AFF"/>
    <w:sectPr w:rsidSect="00340A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FF" w:rsidRPr="00DC7B89" w:rsidP="00DC7B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89" w:rsidP="00340A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C7B89" w:rsidP="00340A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C7B89" w:rsidP="00340A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FF" w:rsidRPr="00DC7B89" w:rsidP="00DC7B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89" w:rsidRPr="002D2AF8" w:rsidP="00340AFF">
    <w:pPr>
      <w:pStyle w:val="Header"/>
      <w:framePr w:wrap="around"/>
    </w:pPr>
    <w:r>
      <w:fldChar w:fldCharType="begin"/>
    </w:r>
    <w:r>
      <w:instrText xml:space="preserve"> TITLE   \* MERGEFORMAT </w:instrText>
    </w:r>
    <w:r>
      <w:fldChar w:fldCharType="separate"/>
    </w:r>
    <w:r>
      <w:t>UEENEEG167A Align and install traction lift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C7B89" w:rsidP="00340A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D67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DC0C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1E2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A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AFF"/>
    <w:pPr>
      <w:spacing w:before="360" w:after="60"/>
      <w:outlineLvl w:val="0"/>
    </w:pPr>
    <w:rPr>
      <w:sz w:val="32"/>
    </w:rPr>
  </w:style>
  <w:style w:type="paragraph" w:styleId="Heading2">
    <w:name w:val="heading 2"/>
    <w:basedOn w:val="HeadingBase"/>
    <w:next w:val="BodyText"/>
    <w:link w:val="Heading2Char"/>
    <w:qFormat/>
    <w:rsid w:val="00340AFF"/>
    <w:pPr>
      <w:keepLines/>
      <w:spacing w:before="240" w:after="120"/>
      <w:outlineLvl w:val="1"/>
    </w:pPr>
    <w:rPr>
      <w:sz w:val="28"/>
      <w:szCs w:val="40"/>
    </w:rPr>
  </w:style>
  <w:style w:type="paragraph" w:styleId="Heading3">
    <w:name w:val="heading 3"/>
    <w:basedOn w:val="HeadingBase"/>
    <w:next w:val="BodyText"/>
    <w:link w:val="Heading3Char"/>
    <w:qFormat/>
    <w:rsid w:val="00340AFF"/>
    <w:pPr>
      <w:spacing w:before="180" w:after="120"/>
      <w:outlineLvl w:val="2"/>
    </w:pPr>
    <w:rPr>
      <w:spacing w:val="-10"/>
      <w:kern w:val="32"/>
    </w:rPr>
  </w:style>
  <w:style w:type="paragraph" w:styleId="Heading4">
    <w:name w:val="heading 4"/>
    <w:basedOn w:val="HeadingBase"/>
    <w:next w:val="BodyText"/>
    <w:link w:val="Heading4Char"/>
    <w:qFormat/>
    <w:rsid w:val="00340AFF"/>
    <w:pPr>
      <w:spacing w:before="160" w:after="120"/>
      <w:outlineLvl w:val="3"/>
    </w:pPr>
    <w:rPr>
      <w:sz w:val="22"/>
    </w:rPr>
  </w:style>
  <w:style w:type="paragraph" w:styleId="Heading5">
    <w:name w:val="heading 5"/>
    <w:basedOn w:val="HeadingBase"/>
    <w:next w:val="Normal"/>
    <w:link w:val="Heading5Char"/>
    <w:qFormat/>
    <w:rsid w:val="00340AFF"/>
    <w:pPr>
      <w:spacing w:before="80"/>
      <w:outlineLvl w:val="4"/>
    </w:pPr>
    <w:rPr>
      <w:color w:val="918585"/>
      <w:sz w:val="20"/>
    </w:rPr>
  </w:style>
  <w:style w:type="paragraph" w:styleId="Heading6">
    <w:name w:val="heading 6"/>
    <w:basedOn w:val="HeadingBase"/>
    <w:next w:val="Normal"/>
    <w:link w:val="Heading6Char"/>
    <w:qFormat/>
    <w:rsid w:val="00340AFF"/>
    <w:pPr>
      <w:spacing w:before="60"/>
      <w:outlineLvl w:val="5"/>
    </w:pPr>
    <w:rPr>
      <w:color w:val="918585"/>
      <w:sz w:val="20"/>
    </w:rPr>
  </w:style>
  <w:style w:type="paragraph" w:styleId="Heading7">
    <w:name w:val="heading 7"/>
    <w:basedOn w:val="Normal"/>
    <w:next w:val="Normal"/>
    <w:link w:val="Heading7Char"/>
    <w:qFormat/>
    <w:rsid w:val="00340AFF"/>
    <w:pPr>
      <w:ind w:left="720"/>
      <w:outlineLvl w:val="6"/>
    </w:pPr>
    <w:rPr>
      <w:i/>
    </w:rPr>
  </w:style>
  <w:style w:type="paragraph" w:styleId="Heading8">
    <w:name w:val="heading 8"/>
    <w:basedOn w:val="Normal"/>
    <w:next w:val="Normal"/>
    <w:link w:val="Heading8Char"/>
    <w:qFormat/>
    <w:rsid w:val="00340AFF"/>
    <w:pPr>
      <w:ind w:left="720"/>
      <w:outlineLvl w:val="7"/>
    </w:pPr>
    <w:rPr>
      <w:i/>
    </w:rPr>
  </w:style>
  <w:style w:type="paragraph" w:styleId="Heading9">
    <w:name w:val="heading 9"/>
    <w:basedOn w:val="Normal"/>
    <w:next w:val="Normal"/>
    <w:link w:val="Heading9Char"/>
    <w:qFormat/>
    <w:rsid w:val="00340AFF"/>
    <w:pPr>
      <w:ind w:left="720"/>
      <w:outlineLvl w:val="8"/>
    </w:pPr>
    <w:rPr>
      <w:i/>
    </w:rPr>
  </w:style>
  <w:style w:type="character" w:default="1" w:styleId="DefaultParagraphFont">
    <w:name w:val="Default Paragraph Font"/>
    <w:uiPriority w:val="1"/>
    <w:unhideWhenUsed/>
    <w:rsid w:val="00340A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AFF"/>
  </w:style>
  <w:style w:type="character" w:customStyle="1" w:styleId="Heading1Char">
    <w:name w:val="Heading 1 Char"/>
    <w:basedOn w:val="DefaultParagraphFont"/>
    <w:link w:val="Heading1"/>
    <w:rsid w:val="00340AFF"/>
    <w:rPr>
      <w:rFonts w:ascii="Times New Roman" w:eastAsia="Times New Roman" w:hAnsi="Times New Roman" w:cs="Times New Roman"/>
      <w:b/>
      <w:sz w:val="32"/>
      <w:szCs w:val="20"/>
      <w:lang w:eastAsia="en-US"/>
    </w:rPr>
  </w:style>
  <w:style w:type="paragraph" w:styleId="BodyText">
    <w:name w:val="Body Text"/>
    <w:basedOn w:val="Normal"/>
    <w:link w:val="BodyTextChar"/>
    <w:rsid w:val="00340A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0AFF"/>
    <w:rPr>
      <w:rFonts w:ascii="Times New Roman" w:eastAsia="Times New Roman" w:hAnsi="Times New Roman" w:cs="Times New Roman"/>
      <w:sz w:val="24"/>
      <w:lang w:eastAsia="en-US"/>
    </w:rPr>
  </w:style>
  <w:style w:type="paragraph" w:styleId="ListBullet">
    <w:name w:val="List Bullet"/>
    <w:basedOn w:val="List"/>
    <w:rsid w:val="00340AFF"/>
    <w:pPr>
      <w:numPr>
        <w:numId w:val="14"/>
      </w:numPr>
      <w:tabs>
        <w:tab w:val="clear" w:pos="340"/>
      </w:tabs>
      <w:spacing w:before="40" w:after="40"/>
    </w:pPr>
  </w:style>
  <w:style w:type="character" w:customStyle="1" w:styleId="SpecialBold">
    <w:name w:val="Special Bold"/>
    <w:basedOn w:val="DefaultParagraphFont"/>
    <w:rsid w:val="00340AFF"/>
    <w:rPr>
      <w:b/>
      <w:spacing w:val="0"/>
    </w:rPr>
  </w:style>
  <w:style w:type="paragraph" w:styleId="ListBullet2">
    <w:name w:val="List Bullet 2"/>
    <w:basedOn w:val="List2"/>
    <w:rsid w:val="00340AFF"/>
    <w:pPr>
      <w:numPr>
        <w:numId w:val="15"/>
      </w:numPr>
      <w:tabs>
        <w:tab w:val="clear" w:pos="680"/>
      </w:tabs>
    </w:pPr>
  </w:style>
  <w:style w:type="paragraph" w:customStyle="1" w:styleId="SuperHeading">
    <w:name w:val="SuperHeading"/>
    <w:basedOn w:val="Normal"/>
    <w:rsid w:val="00340AFF"/>
    <w:pPr>
      <w:spacing w:before="240" w:after="120"/>
      <w:outlineLvl w:val="0"/>
    </w:pPr>
    <w:rPr>
      <w:rFonts w:ascii="Times New Roman" w:hAnsi="Times New Roman"/>
      <w:b/>
      <w:sz w:val="32"/>
    </w:rPr>
  </w:style>
  <w:style w:type="paragraph" w:customStyle="1" w:styleId="AllowPageBreak">
    <w:name w:val="AllowPageBreak"/>
    <w:rsid w:val="00340A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0AFF"/>
    <w:pPr>
      <w:numPr>
        <w:numId w:val="3"/>
      </w:numPr>
      <w:tabs>
        <w:tab w:val="clear" w:pos="1021"/>
      </w:tabs>
      <w:ind w:left="1037" w:hanging="357"/>
    </w:pPr>
  </w:style>
  <w:style w:type="character" w:customStyle="1" w:styleId="Heading2Char">
    <w:name w:val="Heading 2 Char"/>
    <w:basedOn w:val="DefaultParagraphFont"/>
    <w:link w:val="Heading2"/>
    <w:rsid w:val="00340A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A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A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A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A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A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A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AFF"/>
    <w:rPr>
      <w:rFonts w:ascii="Courier New" w:eastAsia="Times New Roman" w:hAnsi="Courier New" w:cs="Times New Roman"/>
      <w:i/>
      <w:szCs w:val="20"/>
      <w:lang w:eastAsia="en-US"/>
    </w:rPr>
  </w:style>
  <w:style w:type="paragraph" w:customStyle="1" w:styleId="HeadingBase">
    <w:name w:val="Heading Base"/>
    <w:rsid w:val="00340A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AFF"/>
    <w:pPr>
      <w:tabs>
        <w:tab w:val="right" w:leader="dot" w:pos="9072"/>
      </w:tabs>
      <w:ind w:left="567"/>
    </w:pPr>
    <w:rPr>
      <w:szCs w:val="22"/>
    </w:rPr>
  </w:style>
  <w:style w:type="paragraph" w:customStyle="1" w:styleId="TOCBase">
    <w:name w:val="TOC Base"/>
    <w:rsid w:val="00340A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AFF"/>
    <w:pPr>
      <w:tabs>
        <w:tab w:val="right" w:leader="dot" w:pos="9072"/>
      </w:tabs>
      <w:spacing w:before="40" w:after="40"/>
      <w:ind w:left="284"/>
    </w:pPr>
    <w:rPr>
      <w:rFonts w:ascii="Times New Roman" w:hAnsi="Times New Roman"/>
    </w:rPr>
  </w:style>
  <w:style w:type="paragraph" w:styleId="TOC1">
    <w:name w:val="toc 1"/>
    <w:basedOn w:val="TOCBase"/>
    <w:next w:val="Normal"/>
    <w:rsid w:val="00340A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A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AFF"/>
    <w:rPr>
      <w:rFonts w:ascii="Times New Roman" w:eastAsia="Times New Roman" w:hAnsi="Times New Roman" w:cs="Times New Roman"/>
      <w:sz w:val="16"/>
      <w:lang w:eastAsia="en-US"/>
    </w:rPr>
  </w:style>
  <w:style w:type="paragraph" w:styleId="Title">
    <w:name w:val="Title"/>
    <w:basedOn w:val="HeadingBase"/>
    <w:link w:val="TitleChar"/>
    <w:qFormat/>
    <w:rsid w:val="00340AFF"/>
    <w:pPr>
      <w:spacing w:before="5040"/>
      <w:jc w:val="center"/>
    </w:pPr>
    <w:rPr>
      <w:sz w:val="48"/>
      <w:szCs w:val="72"/>
      <w:lang w:val="en-US"/>
    </w:rPr>
  </w:style>
  <w:style w:type="character" w:customStyle="1" w:styleId="TitleChar">
    <w:name w:val="Title Char"/>
    <w:basedOn w:val="DefaultParagraphFont"/>
    <w:link w:val="Title"/>
    <w:rsid w:val="00340A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AFF"/>
    <w:pPr>
      <w:tabs>
        <w:tab w:val="left" w:pos="3600"/>
        <w:tab w:val="left" w:pos="3958"/>
      </w:tabs>
    </w:pPr>
  </w:style>
  <w:style w:type="paragraph" w:styleId="List">
    <w:name w:val="List"/>
    <w:basedOn w:val="BodyText"/>
    <w:next w:val="BodyText"/>
    <w:rsid w:val="00340AFF"/>
    <w:pPr>
      <w:tabs>
        <w:tab w:val="left" w:pos="340"/>
      </w:tabs>
      <w:spacing w:before="60" w:after="60"/>
      <w:ind w:left="340" w:hanging="340"/>
    </w:pPr>
  </w:style>
  <w:style w:type="paragraph" w:customStyle="1" w:styleId="Note">
    <w:name w:val="Note"/>
    <w:basedOn w:val="BodyText"/>
    <w:rsid w:val="00340A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AFF"/>
    <w:pPr>
      <w:framePr w:wrap="auto" w:hAnchor="text" w:y="6049"/>
    </w:pPr>
    <w:rPr>
      <w:color w:val="000000"/>
      <w:sz w:val="40"/>
    </w:rPr>
  </w:style>
  <w:style w:type="paragraph" w:customStyle="1" w:styleId="TOCTitle">
    <w:name w:val="TOCTitle"/>
    <w:basedOn w:val="Heading1"/>
    <w:rsid w:val="00340AFF"/>
    <w:pPr>
      <w:spacing w:after="240"/>
      <w:jc w:val="center"/>
      <w:outlineLvl w:val="9"/>
    </w:pPr>
    <w:rPr>
      <w:caps/>
    </w:rPr>
  </w:style>
  <w:style w:type="paragraph" w:customStyle="1" w:styleId="Version">
    <w:name w:val="Version"/>
    <w:rsid w:val="00340A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AFF"/>
    <w:pPr>
      <w:keepNext w:val="0"/>
      <w:tabs>
        <w:tab w:val="right" w:pos="4176"/>
      </w:tabs>
      <w:ind w:left="198" w:hanging="198"/>
    </w:pPr>
    <w:rPr>
      <w:rFonts w:ascii="Garamond" w:hAnsi="Garamond"/>
    </w:rPr>
  </w:style>
  <w:style w:type="paragraph" w:styleId="IndexHeading">
    <w:name w:val="index heading"/>
    <w:basedOn w:val="Normal"/>
    <w:next w:val="Index1"/>
    <w:semiHidden/>
    <w:rsid w:val="00340AFF"/>
    <w:pPr>
      <w:spacing w:before="120" w:after="120"/>
    </w:pPr>
    <w:rPr>
      <w:rFonts w:ascii="Arial" w:hAnsi="Arial"/>
      <w:b/>
      <w:color w:val="918585"/>
      <w:sz w:val="24"/>
    </w:rPr>
  </w:style>
  <w:style w:type="paragraph" w:styleId="Header">
    <w:name w:val="header"/>
    <w:basedOn w:val="Normal"/>
    <w:link w:val="HeaderChar"/>
    <w:rsid w:val="00340A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AFF"/>
    <w:rPr>
      <w:rFonts w:ascii="Times New Roman" w:eastAsia="Times New Roman" w:hAnsi="Times New Roman" w:cs="Times New Roman"/>
      <w:sz w:val="16"/>
      <w:szCs w:val="20"/>
      <w:lang w:val="en-GB" w:eastAsia="en-US"/>
    </w:rPr>
  </w:style>
  <w:style w:type="paragraph" w:customStyle="1" w:styleId="Chapter">
    <w:name w:val="Chapter"/>
    <w:basedOn w:val="Normal"/>
    <w:rsid w:val="00340AFF"/>
    <w:pPr>
      <w:spacing w:before="240"/>
    </w:pPr>
    <w:rPr>
      <w:rFonts w:ascii="Times New Roman" w:hAnsi="Times New Roman"/>
      <w:smallCaps/>
      <w:spacing w:val="80"/>
      <w:sz w:val="28"/>
    </w:rPr>
  </w:style>
  <w:style w:type="paragraph" w:customStyle="1" w:styleId="InChapter">
    <w:name w:val="InChapter"/>
    <w:basedOn w:val="Heading3"/>
    <w:rsid w:val="00340AFF"/>
    <w:pPr>
      <w:spacing w:after="240"/>
      <w:outlineLvl w:val="9"/>
    </w:pPr>
    <w:rPr>
      <w:noProof/>
    </w:rPr>
  </w:style>
  <w:style w:type="paragraph" w:styleId="Index2">
    <w:name w:val="index 2"/>
    <w:basedOn w:val="Normal"/>
    <w:next w:val="Normal"/>
    <w:semiHidden/>
    <w:rsid w:val="00340AFF"/>
    <w:pPr>
      <w:tabs>
        <w:tab w:val="right" w:pos="4176"/>
      </w:tabs>
      <w:ind w:left="568" w:hanging="284"/>
    </w:pPr>
    <w:rPr>
      <w:rFonts w:ascii="Garamond" w:hAnsi="Garamond"/>
    </w:rPr>
  </w:style>
  <w:style w:type="paragraph" w:customStyle="1" w:styleId="Byline">
    <w:name w:val="Byline"/>
    <w:rsid w:val="00340A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AFF"/>
    <w:pPr>
      <w:tabs>
        <w:tab w:val="clear" w:pos="3600"/>
        <w:tab w:val="clear" w:pos="3958"/>
      </w:tabs>
      <w:jc w:val="right"/>
    </w:pPr>
  </w:style>
  <w:style w:type="character" w:styleId="Emphasis">
    <w:name w:val="Emphasis"/>
    <w:basedOn w:val="DefaultParagraphFont"/>
    <w:qFormat/>
    <w:rsid w:val="00340AFF"/>
    <w:rPr>
      <w:i/>
    </w:rPr>
  </w:style>
  <w:style w:type="paragraph" w:styleId="Caption">
    <w:name w:val="caption"/>
    <w:basedOn w:val="BodyText"/>
    <w:next w:val="Normal"/>
    <w:qFormat/>
    <w:rsid w:val="00340AFF"/>
    <w:pPr>
      <w:framePr w:w="2268" w:hSpace="181" w:vSpace="181" w:wrap="around" w:vAnchor="text" w:hAnchor="page" w:x="1135" w:y="285" w:anchorLock="1"/>
    </w:pPr>
    <w:rPr>
      <w:i/>
    </w:rPr>
  </w:style>
  <w:style w:type="paragraph" w:customStyle="1" w:styleId="MiniTOCTitle">
    <w:name w:val="MiniTOCTitle"/>
    <w:basedOn w:val="Heading4"/>
    <w:rsid w:val="00340AFF"/>
    <w:pPr>
      <w:spacing w:before="240"/>
      <w:outlineLvl w:val="9"/>
    </w:pPr>
    <w:rPr>
      <w:noProof/>
      <w:sz w:val="24"/>
    </w:rPr>
  </w:style>
  <w:style w:type="paragraph" w:customStyle="1" w:styleId="MiniTOCItem">
    <w:name w:val="MiniTOCItem"/>
    <w:basedOn w:val="ListBullet"/>
    <w:rsid w:val="00340AFF"/>
    <w:pPr>
      <w:numPr>
        <w:numId w:val="0"/>
      </w:numPr>
      <w:tabs>
        <w:tab w:val="right" w:leader="dot" w:pos="6521"/>
      </w:tabs>
      <w:spacing w:before="0" w:after="0"/>
    </w:pPr>
  </w:style>
  <w:style w:type="paragraph" w:customStyle="1" w:styleId="TOFTitle">
    <w:name w:val="TOFTitle"/>
    <w:basedOn w:val="TOCTitle"/>
    <w:rsid w:val="00340AFF"/>
  </w:style>
  <w:style w:type="paragraph" w:styleId="TableofFigures">
    <w:name w:val="table of figures"/>
    <w:basedOn w:val="Normal"/>
    <w:next w:val="Normal"/>
    <w:semiHidden/>
    <w:rsid w:val="00340AFF"/>
    <w:pPr>
      <w:tabs>
        <w:tab w:val="right" w:leader="dot" w:pos="9072"/>
      </w:tabs>
      <w:ind w:left="970" w:hanging="403"/>
    </w:pPr>
    <w:rPr>
      <w:rFonts w:ascii="Times New Roman" w:hAnsi="Times New Roman"/>
      <w:b/>
    </w:rPr>
  </w:style>
  <w:style w:type="paragraph" w:styleId="ListNumber">
    <w:name w:val="List Number"/>
    <w:basedOn w:val="List"/>
    <w:rsid w:val="00340AFF"/>
    <w:pPr>
      <w:numPr>
        <w:numId w:val="12"/>
      </w:numPr>
    </w:pPr>
  </w:style>
  <w:style w:type="character" w:customStyle="1" w:styleId="WingdingSymbols">
    <w:name w:val="Wingding Symbols"/>
    <w:rsid w:val="00340AFF"/>
    <w:rPr>
      <w:rFonts w:ascii="Wingdings" w:hAnsi="Wingdings"/>
    </w:rPr>
  </w:style>
  <w:style w:type="paragraph" w:customStyle="1" w:styleId="TableHeading">
    <w:name w:val="Table Heading"/>
    <w:basedOn w:val="HeadingBase"/>
    <w:rsid w:val="00340AFF"/>
    <w:pPr>
      <w:keepLines/>
      <w:pBdr>
        <w:bottom w:val="single" w:sz="6" w:space="1" w:color="918585"/>
      </w:pBdr>
      <w:spacing w:before="240"/>
    </w:pPr>
  </w:style>
  <w:style w:type="character" w:customStyle="1" w:styleId="HotSpot">
    <w:name w:val="HotSpot"/>
    <w:rsid w:val="00340AFF"/>
    <w:rPr>
      <w:color w:val="0033CC"/>
      <w:u w:val="none"/>
    </w:rPr>
  </w:style>
  <w:style w:type="paragraph" w:customStyle="1" w:styleId="BodyTextRight">
    <w:name w:val="Body Text Right"/>
    <w:basedOn w:val="BodyText"/>
    <w:rsid w:val="00340AFF"/>
    <w:pPr>
      <w:spacing w:before="0" w:after="0"/>
      <w:jc w:val="right"/>
    </w:pPr>
  </w:style>
  <w:style w:type="paragraph" w:styleId="Index3">
    <w:name w:val="index 3"/>
    <w:basedOn w:val="ListNumber2"/>
    <w:next w:val="Normal"/>
    <w:semiHidden/>
    <w:rsid w:val="00340AFF"/>
    <w:pPr>
      <w:numPr>
        <w:numId w:val="0"/>
      </w:numPr>
      <w:tabs>
        <w:tab w:val="right" w:leader="dot" w:pos="4176"/>
      </w:tabs>
    </w:pPr>
  </w:style>
  <w:style w:type="paragraph" w:styleId="ListNumber2">
    <w:name w:val="List Number 2"/>
    <w:basedOn w:val="List2"/>
    <w:rsid w:val="00340AFF"/>
    <w:pPr>
      <w:numPr>
        <w:numId w:val="11"/>
      </w:numPr>
      <w:tabs>
        <w:tab w:val="clear" w:pos="1060"/>
      </w:tabs>
    </w:pPr>
  </w:style>
  <w:style w:type="paragraph" w:customStyle="1" w:styleId="MarginNote">
    <w:name w:val="Margin Note"/>
    <w:basedOn w:val="BodyText"/>
    <w:rsid w:val="00340A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A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A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AFF"/>
    <w:rPr>
      <w:sz w:val="32"/>
    </w:rPr>
  </w:style>
  <w:style w:type="paragraph" w:customStyle="1" w:styleId="HeadingProcedure">
    <w:name w:val="Heading Procedure"/>
    <w:basedOn w:val="HeadingBase"/>
    <w:next w:val="Normal"/>
    <w:rsid w:val="00340AFF"/>
    <w:pPr>
      <w:tabs>
        <w:tab w:val="left" w:pos="0"/>
      </w:tabs>
      <w:spacing w:before="120" w:after="60"/>
    </w:pPr>
    <w:rPr>
      <w:i/>
      <w:color w:val="918585"/>
      <w:sz w:val="22"/>
    </w:rPr>
  </w:style>
  <w:style w:type="paragraph" w:customStyle="1" w:styleId="TableBodyText">
    <w:name w:val="Table Body Text"/>
    <w:basedOn w:val="BodyText"/>
    <w:rsid w:val="00340AFF"/>
    <w:pPr>
      <w:spacing w:before="60" w:after="60"/>
    </w:pPr>
  </w:style>
  <w:style w:type="paragraph" w:styleId="ListContinue">
    <w:name w:val="List Continue"/>
    <w:basedOn w:val="List"/>
    <w:rsid w:val="00340AFF"/>
    <w:pPr>
      <w:ind w:firstLine="0"/>
    </w:pPr>
  </w:style>
  <w:style w:type="paragraph" w:customStyle="1" w:styleId="ListNote">
    <w:name w:val="List Note"/>
    <w:basedOn w:val="List"/>
    <w:rsid w:val="00340AFF"/>
    <w:pPr>
      <w:pBdr>
        <w:top w:val="single" w:sz="6" w:space="2" w:color="918585"/>
        <w:bottom w:val="single" w:sz="6" w:space="2" w:color="918585"/>
      </w:pBdr>
      <w:tabs>
        <w:tab w:val="left" w:pos="1021"/>
      </w:tabs>
      <w:ind w:firstLine="0"/>
    </w:pPr>
  </w:style>
  <w:style w:type="paragraph" w:customStyle="1" w:styleId="Warning">
    <w:name w:val="Warning"/>
    <w:basedOn w:val="BodyText"/>
    <w:rsid w:val="00340AFF"/>
    <w:pPr>
      <w:shd w:val="clear" w:color="auto" w:fill="D9D9D9"/>
      <w:tabs>
        <w:tab w:val="left" w:pos="992"/>
      </w:tabs>
      <w:ind w:left="119" w:right="119"/>
    </w:pPr>
    <w:rPr>
      <w:sz w:val="20"/>
    </w:rPr>
  </w:style>
  <w:style w:type="paragraph" w:customStyle="1" w:styleId="MarginIcons">
    <w:name w:val="Margin Icons"/>
    <w:basedOn w:val="BodyText"/>
    <w:rsid w:val="00340A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AFF"/>
    <w:rPr>
      <w:rFonts w:ascii="Courier New" w:hAnsi="Courier New"/>
    </w:rPr>
  </w:style>
  <w:style w:type="paragraph" w:customStyle="1" w:styleId="NoteBullet">
    <w:name w:val="Note Bullet"/>
    <w:basedOn w:val="Note"/>
    <w:rsid w:val="00340AFF"/>
    <w:pPr>
      <w:tabs>
        <w:tab w:val="clear" w:pos="680"/>
      </w:tabs>
      <w:spacing w:before="60" w:after="60"/>
    </w:pPr>
  </w:style>
  <w:style w:type="paragraph" w:customStyle="1" w:styleId="SubHeading2">
    <w:name w:val="SubHeading2"/>
    <w:basedOn w:val="HeadingBase"/>
    <w:rsid w:val="00340AFF"/>
    <w:pPr>
      <w:spacing w:before="240" w:after="60"/>
    </w:pPr>
    <w:rPr>
      <w:sz w:val="20"/>
    </w:rPr>
  </w:style>
  <w:style w:type="paragraph" w:customStyle="1" w:styleId="SubHeading1">
    <w:name w:val="SubHeading1"/>
    <w:basedOn w:val="HeadingBase"/>
    <w:rsid w:val="00340AFF"/>
    <w:pPr>
      <w:spacing w:before="240" w:after="60"/>
    </w:pPr>
    <w:rPr>
      <w:color w:val="918585"/>
      <w:sz w:val="22"/>
    </w:rPr>
  </w:style>
  <w:style w:type="paragraph" w:customStyle="1" w:styleId="SideHeading">
    <w:name w:val="Side Heading"/>
    <w:basedOn w:val="HeadingBase"/>
    <w:rsid w:val="00340A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AFF"/>
    <w:pPr>
      <w:numPr>
        <w:numId w:val="13"/>
      </w:numPr>
    </w:pPr>
  </w:style>
  <w:style w:type="paragraph" w:styleId="PlainText">
    <w:name w:val="Plain Text"/>
    <w:basedOn w:val="Normal"/>
    <w:link w:val="PlainTextChar"/>
    <w:rsid w:val="00340AFF"/>
    <w:rPr>
      <w:sz w:val="20"/>
    </w:rPr>
  </w:style>
  <w:style w:type="character" w:customStyle="1" w:styleId="PlainTextChar">
    <w:name w:val="Plain Text Char"/>
    <w:basedOn w:val="DefaultParagraphFont"/>
    <w:link w:val="PlainText"/>
    <w:rsid w:val="00340AFF"/>
    <w:rPr>
      <w:rFonts w:ascii="Courier New" w:eastAsia="Times New Roman" w:hAnsi="Courier New" w:cs="Times New Roman"/>
      <w:sz w:val="20"/>
      <w:szCs w:val="20"/>
      <w:lang w:eastAsia="en-US"/>
    </w:rPr>
  </w:style>
  <w:style w:type="character" w:customStyle="1" w:styleId="MenuOption">
    <w:name w:val="Menu Option"/>
    <w:basedOn w:val="DefaultParagraphFont"/>
    <w:rsid w:val="00340AFF"/>
    <w:rPr>
      <w:b/>
      <w:smallCaps/>
    </w:rPr>
  </w:style>
  <w:style w:type="paragraph" w:customStyle="1" w:styleId="TableListNumber">
    <w:name w:val="Table List Number"/>
    <w:basedOn w:val="ListNumber"/>
    <w:rsid w:val="00340AFF"/>
    <w:pPr>
      <w:numPr>
        <w:numId w:val="0"/>
      </w:numPr>
    </w:pPr>
  </w:style>
  <w:style w:type="paragraph" w:styleId="TOC4">
    <w:name w:val="toc 4"/>
    <w:basedOn w:val="TOCBase"/>
    <w:next w:val="Normal"/>
    <w:semiHidden/>
    <w:rsid w:val="00340AFF"/>
    <w:pPr>
      <w:tabs>
        <w:tab w:val="right" w:leader="dot" w:pos="9071"/>
      </w:tabs>
      <w:ind w:left="1701"/>
    </w:pPr>
  </w:style>
  <w:style w:type="paragraph" w:customStyle="1" w:styleId="ListAlpha">
    <w:name w:val="List Alpha"/>
    <w:basedOn w:val="List"/>
    <w:rsid w:val="00340AFF"/>
    <w:pPr>
      <w:numPr>
        <w:numId w:val="10"/>
      </w:numPr>
    </w:pPr>
  </w:style>
  <w:style w:type="paragraph" w:customStyle="1" w:styleId="ListAlpha2">
    <w:name w:val="List Alpha 2"/>
    <w:basedOn w:val="List2"/>
    <w:rsid w:val="00340AFF"/>
    <w:pPr>
      <w:numPr>
        <w:numId w:val="9"/>
      </w:numPr>
    </w:pPr>
  </w:style>
  <w:style w:type="paragraph" w:styleId="List2">
    <w:name w:val="List 2"/>
    <w:basedOn w:val="BodyText"/>
    <w:rsid w:val="00340AFF"/>
    <w:pPr>
      <w:tabs>
        <w:tab w:val="left" w:pos="680"/>
      </w:tabs>
      <w:spacing w:before="60" w:after="60"/>
      <w:ind w:left="680" w:hanging="340"/>
    </w:pPr>
  </w:style>
  <w:style w:type="paragraph" w:styleId="List3">
    <w:name w:val="List 3"/>
    <w:basedOn w:val="BodyText"/>
    <w:rsid w:val="00340AFF"/>
    <w:pPr>
      <w:tabs>
        <w:tab w:val="left" w:pos="1021"/>
      </w:tabs>
      <w:spacing w:before="60" w:after="60"/>
      <w:ind w:left="1020" w:hanging="340"/>
    </w:pPr>
  </w:style>
  <w:style w:type="paragraph" w:styleId="List4">
    <w:name w:val="List 4"/>
    <w:basedOn w:val="BodyText"/>
    <w:rsid w:val="00340AFF"/>
    <w:pPr>
      <w:tabs>
        <w:tab w:val="left" w:pos="1361"/>
      </w:tabs>
      <w:spacing w:before="60" w:after="60"/>
      <w:ind w:left="1361" w:hanging="340"/>
    </w:pPr>
  </w:style>
  <w:style w:type="paragraph" w:styleId="List5">
    <w:name w:val="List 5"/>
    <w:basedOn w:val="BodyText"/>
    <w:rsid w:val="00340AFF"/>
    <w:pPr>
      <w:tabs>
        <w:tab w:val="left" w:pos="1701"/>
      </w:tabs>
      <w:spacing w:before="60" w:after="60"/>
      <w:ind w:left="1701" w:hanging="340"/>
    </w:pPr>
  </w:style>
  <w:style w:type="paragraph" w:styleId="ListBullet4">
    <w:name w:val="List Bullet 4"/>
    <w:basedOn w:val="List4"/>
    <w:rsid w:val="00340AFF"/>
    <w:pPr>
      <w:numPr>
        <w:numId w:val="4"/>
      </w:numPr>
    </w:pPr>
  </w:style>
  <w:style w:type="paragraph" w:styleId="ListBullet5">
    <w:name w:val="List Bullet 5"/>
    <w:basedOn w:val="List5"/>
    <w:rsid w:val="00340AFF"/>
    <w:pPr>
      <w:numPr>
        <w:numId w:val="5"/>
      </w:numPr>
    </w:pPr>
  </w:style>
  <w:style w:type="paragraph" w:styleId="ListContinue2">
    <w:name w:val="List Continue 2"/>
    <w:basedOn w:val="List2"/>
    <w:rsid w:val="00340AFF"/>
    <w:pPr>
      <w:ind w:firstLine="0"/>
    </w:pPr>
  </w:style>
  <w:style w:type="paragraph" w:styleId="ListContinue3">
    <w:name w:val="List Continue 3"/>
    <w:basedOn w:val="List3"/>
    <w:rsid w:val="00340AFF"/>
    <w:pPr>
      <w:ind w:left="1021" w:firstLine="0"/>
    </w:pPr>
  </w:style>
  <w:style w:type="paragraph" w:styleId="ListContinue4">
    <w:name w:val="List Continue 4"/>
    <w:basedOn w:val="List4"/>
    <w:rsid w:val="00340AFF"/>
    <w:pPr>
      <w:ind w:firstLine="0"/>
    </w:pPr>
  </w:style>
  <w:style w:type="paragraph" w:styleId="ListContinue5">
    <w:name w:val="List Continue 5"/>
    <w:basedOn w:val="List5"/>
    <w:rsid w:val="00340AFF"/>
    <w:pPr>
      <w:ind w:firstLine="0"/>
    </w:pPr>
  </w:style>
  <w:style w:type="paragraph" w:styleId="ListNumber3">
    <w:name w:val="List Number 3"/>
    <w:basedOn w:val="List3"/>
    <w:rsid w:val="00340AFF"/>
    <w:pPr>
      <w:numPr>
        <w:numId w:val="6"/>
      </w:numPr>
    </w:pPr>
  </w:style>
  <w:style w:type="paragraph" w:styleId="ListNumber4">
    <w:name w:val="List Number 4"/>
    <w:basedOn w:val="List4"/>
    <w:rsid w:val="00340AFF"/>
    <w:pPr>
      <w:numPr>
        <w:numId w:val="7"/>
      </w:numPr>
    </w:pPr>
  </w:style>
  <w:style w:type="paragraph" w:styleId="ListNumber5">
    <w:name w:val="List Number 5"/>
    <w:basedOn w:val="List5"/>
    <w:rsid w:val="00340AFF"/>
    <w:pPr>
      <w:numPr>
        <w:numId w:val="8"/>
      </w:numPr>
    </w:pPr>
  </w:style>
  <w:style w:type="paragraph" w:styleId="BlockText">
    <w:name w:val="Block Text"/>
    <w:basedOn w:val="Normal"/>
    <w:rsid w:val="00340AFF"/>
    <w:pPr>
      <w:spacing w:after="120"/>
      <w:ind w:left="1440" w:right="1440"/>
    </w:pPr>
  </w:style>
  <w:style w:type="character" w:customStyle="1" w:styleId="Subscript">
    <w:name w:val="Subscript"/>
    <w:basedOn w:val="DefaultParagraphFont"/>
    <w:rsid w:val="00340AFF"/>
    <w:rPr>
      <w:sz w:val="16"/>
      <w:vertAlign w:val="subscript"/>
    </w:rPr>
  </w:style>
  <w:style w:type="character" w:customStyle="1" w:styleId="Superscript">
    <w:name w:val="Superscript"/>
    <w:basedOn w:val="DefaultParagraphFont"/>
    <w:rsid w:val="00340AFF"/>
    <w:rPr>
      <w:sz w:val="16"/>
      <w:vertAlign w:val="superscript"/>
    </w:rPr>
  </w:style>
  <w:style w:type="character" w:customStyle="1" w:styleId="Symbols">
    <w:name w:val="Symbols"/>
    <w:basedOn w:val="DefaultParagraphFont"/>
    <w:rsid w:val="00340AFF"/>
    <w:rPr>
      <w:rFonts w:ascii="Symbol" w:hAnsi="Symbol"/>
    </w:rPr>
  </w:style>
  <w:style w:type="character" w:customStyle="1" w:styleId="MenuOptions">
    <w:name w:val="Menu Options"/>
    <w:basedOn w:val="DefaultParagraphFont"/>
    <w:rsid w:val="00340AFF"/>
    <w:rPr>
      <w:rFonts w:ascii="Arial Narrow" w:hAnsi="Arial Narrow"/>
      <w:smallCaps/>
    </w:rPr>
  </w:style>
  <w:style w:type="character" w:customStyle="1" w:styleId="Buttons">
    <w:name w:val="Buttons"/>
    <w:basedOn w:val="DefaultParagraphFont"/>
    <w:rsid w:val="00340AFF"/>
    <w:rPr>
      <w:b/>
    </w:rPr>
  </w:style>
  <w:style w:type="character" w:customStyle="1" w:styleId="Underlined">
    <w:name w:val="Underlined"/>
    <w:basedOn w:val="DefaultParagraphFont"/>
    <w:rsid w:val="00340AFF"/>
    <w:rPr>
      <w:u w:val="single"/>
    </w:rPr>
  </w:style>
  <w:style w:type="paragraph" w:customStyle="1" w:styleId="TableBodyTextRight">
    <w:name w:val="Table Body Text Right"/>
    <w:basedOn w:val="TableBodyText"/>
    <w:rsid w:val="00340AFF"/>
    <w:pPr>
      <w:widowControl w:val="0"/>
      <w:autoSpaceDE w:val="0"/>
      <w:autoSpaceDN w:val="0"/>
      <w:adjustRightInd w:val="0"/>
      <w:jc w:val="right"/>
    </w:pPr>
    <w:rPr>
      <w:rFonts w:cs="Arial"/>
      <w:szCs w:val="18"/>
    </w:rPr>
  </w:style>
  <w:style w:type="paragraph" w:customStyle="1" w:styleId="CopyrightText">
    <w:name w:val="Copyright Text"/>
    <w:basedOn w:val="BodyText"/>
    <w:rsid w:val="00340AFF"/>
    <w:rPr>
      <w:sz w:val="18"/>
    </w:rPr>
  </w:style>
  <w:style w:type="paragraph" w:customStyle="1" w:styleId="BodySmallRight">
    <w:name w:val="Body Small Right"/>
    <w:basedOn w:val="BodyTextRight"/>
    <w:rsid w:val="00340AFF"/>
    <w:rPr>
      <w:sz w:val="18"/>
      <w:szCs w:val="18"/>
    </w:rPr>
  </w:style>
  <w:style w:type="paragraph" w:customStyle="1" w:styleId="MarginEdition">
    <w:name w:val="Margin Edition"/>
    <w:basedOn w:val="MarginNote"/>
    <w:rsid w:val="00340AFF"/>
    <w:pPr>
      <w:spacing w:before="0" w:after="0"/>
    </w:pPr>
    <w:rPr>
      <w:rFonts w:ascii="Times New Roman" w:hAnsi="Times New Roman"/>
      <w:color w:val="999999"/>
    </w:rPr>
  </w:style>
  <w:style w:type="paragraph" w:customStyle="1" w:styleId="Spacer">
    <w:name w:val="Spacer"/>
    <w:basedOn w:val="Normal"/>
    <w:rsid w:val="00340AFF"/>
    <w:rPr>
      <w:sz w:val="2"/>
      <w:szCs w:val="2"/>
    </w:rPr>
  </w:style>
  <w:style w:type="character" w:customStyle="1" w:styleId="Small">
    <w:name w:val="Small"/>
    <w:basedOn w:val="DefaultParagraphFont"/>
    <w:rsid w:val="00340AFF"/>
    <w:rPr>
      <w:sz w:val="16"/>
    </w:rPr>
  </w:style>
  <w:style w:type="paragraph" w:customStyle="1" w:styleId="WideTable">
    <w:name w:val="Wide Table"/>
    <w:basedOn w:val="Normal"/>
    <w:rsid w:val="00340AFF"/>
    <w:pPr>
      <w:ind w:left="-1418"/>
    </w:pPr>
    <w:rPr>
      <w:sz w:val="2"/>
      <w:szCs w:val="2"/>
    </w:rPr>
  </w:style>
  <w:style w:type="character" w:styleId="PageNumber">
    <w:name w:val="page number"/>
    <w:basedOn w:val="DefaultParagraphFont"/>
    <w:rsid w:val="00340AFF"/>
  </w:style>
  <w:style w:type="paragraph" w:styleId="Quote">
    <w:name w:val="Quote"/>
    <w:basedOn w:val="Heading1"/>
    <w:link w:val="QuoteChar"/>
    <w:qFormat/>
    <w:rsid w:val="00340AFF"/>
    <w:rPr>
      <w:b w:val="0"/>
      <w:sz w:val="72"/>
      <w:szCs w:val="72"/>
      <w:lang w:val="en-NZ"/>
    </w:rPr>
  </w:style>
  <w:style w:type="character" w:customStyle="1" w:styleId="QuoteChar">
    <w:name w:val="Quote Char"/>
    <w:basedOn w:val="DefaultParagraphFont"/>
    <w:link w:val="Quote"/>
    <w:rsid w:val="00340A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AFF"/>
    <w:pPr>
      <w:pageBreakBefore/>
    </w:pPr>
  </w:style>
  <w:style w:type="paragraph" w:customStyle="1" w:styleId="Border">
    <w:name w:val="Border"/>
    <w:basedOn w:val="Normal"/>
    <w:qFormat/>
    <w:rsid w:val="00340A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AFF"/>
    <w:rPr>
      <w:b/>
      <w:bCs/>
      <w:i/>
      <w:iCs/>
      <w:color w:val="auto"/>
    </w:rPr>
  </w:style>
  <w:style w:type="paragraph" w:styleId="IntenseQuote">
    <w:name w:val="Intense Quote"/>
    <w:basedOn w:val="Normal"/>
    <w:next w:val="Normal"/>
    <w:link w:val="IntenseQuoteChar"/>
    <w:uiPriority w:val="30"/>
    <w:qFormat/>
    <w:rsid w:val="00340A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A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AFF"/>
    <w:rPr>
      <w:smallCaps/>
      <w:color w:val="auto"/>
      <w:u w:val="single"/>
    </w:rPr>
  </w:style>
  <w:style w:type="character" w:styleId="IntenseReference">
    <w:name w:val="Intense Reference"/>
    <w:basedOn w:val="DefaultParagraphFont"/>
    <w:uiPriority w:val="32"/>
    <w:qFormat/>
    <w:rsid w:val="00340AFF"/>
    <w:rPr>
      <w:b/>
      <w:bCs/>
      <w:smallCaps/>
      <w:color w:val="auto"/>
      <w:spacing w:val="5"/>
      <w:u w:val="single"/>
    </w:rPr>
  </w:style>
  <w:style w:type="paragraph" w:customStyle="1" w:styleId="2ColumnHeading">
    <w:name w:val="2Column Heading"/>
    <w:basedOn w:val="BodyText"/>
    <w:qFormat/>
    <w:rsid w:val="00340AFF"/>
    <w:pPr>
      <w:spacing w:after="60"/>
      <w:ind w:left="-2268"/>
    </w:pPr>
    <w:rPr>
      <w:b/>
    </w:rPr>
  </w:style>
  <w:style w:type="paragraph" w:customStyle="1" w:styleId="Heading1TOC">
    <w:name w:val="Heading1 TOC"/>
    <w:basedOn w:val="Normal"/>
    <w:qFormat/>
    <w:rsid w:val="00340AFF"/>
    <w:pPr>
      <w:spacing w:before="240" w:after="120"/>
    </w:pPr>
    <w:rPr>
      <w:rFonts w:ascii="Times New Roman" w:hAnsi="Times New Roman"/>
      <w:b/>
      <w:sz w:val="32"/>
    </w:rPr>
  </w:style>
  <w:style w:type="paragraph" w:customStyle="1" w:styleId="Heading2TOC">
    <w:name w:val="Heading2 TOC"/>
    <w:basedOn w:val="Normal"/>
    <w:qFormat/>
    <w:rsid w:val="00340AFF"/>
    <w:pPr>
      <w:spacing w:before="240" w:after="60"/>
    </w:pPr>
    <w:rPr>
      <w:rFonts w:ascii="Times New Roman" w:hAnsi="Times New Roman"/>
      <w:b/>
      <w:sz w:val="28"/>
    </w:rPr>
  </w:style>
  <w:style w:type="character" w:customStyle="1" w:styleId="Underline">
    <w:name w:val="Underline"/>
    <w:basedOn w:val="DefaultParagraphFont"/>
    <w:qFormat/>
    <w:rsid w:val="00340AFF"/>
    <w:rPr>
      <w:u w:val="single"/>
    </w:rPr>
  </w:style>
  <w:style w:type="character" w:customStyle="1" w:styleId="BoldandItalics">
    <w:name w:val="Bold and Italics"/>
    <w:qFormat/>
    <w:rsid w:val="00340AFF"/>
    <w:rPr>
      <w:b/>
      <w:i/>
      <w:u w:val="none"/>
    </w:rPr>
  </w:style>
  <w:style w:type="paragraph" w:styleId="BalloonText">
    <w:name w:val="Balloon Text"/>
    <w:basedOn w:val="Normal"/>
    <w:link w:val="BalloonTextChar"/>
    <w:rsid w:val="00340AFF"/>
    <w:rPr>
      <w:rFonts w:ascii="Tahoma" w:hAnsi="Tahoma" w:cs="Tahoma"/>
      <w:sz w:val="16"/>
      <w:szCs w:val="16"/>
    </w:rPr>
  </w:style>
  <w:style w:type="character" w:customStyle="1" w:styleId="BalloonTextChar">
    <w:name w:val="Balloon Text Char"/>
    <w:basedOn w:val="DefaultParagraphFont"/>
    <w:link w:val="BalloonText"/>
    <w:rsid w:val="00340A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A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0A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AFF"/>
    <w:rPr>
      <w:b/>
      <w:color w:val="660033"/>
      <w:spacing w:val="0"/>
    </w:rPr>
  </w:style>
  <w:style w:type="paragraph" w:customStyle="1" w:styleId="Nameditemlist">
    <w:name w:val="Named item list"/>
    <w:basedOn w:val="BodyText"/>
    <w:qFormat/>
    <w:rsid w:val="00340A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2137</Words>
  <Characters>12774</Characters>
  <Application>Microsoft Office Word</Application>
  <DocSecurity>0</DocSecurity>
  <Lines>550</Lines>
  <Paragraphs>257</Paragraphs>
  <ScaleCrop>false</ScaleCrop>
  <Company>Author-it Software Corporation Ltd.</Company>
  <LinksUpToDate>false</LinksUpToDate>
  <CharactersWithSpaces>14755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UEENEEG167A Align and install traction lift equipment</dc:title>
  <dc:subject>Approved</dc:subject>
  <dc:creator>E-OZ Training Standards</dc:creator>
  <cp:keywords>Release: 2</cp:keywords>
  <dc:description>Review Date: 12 April 2008</dc:description>
  <cp:lastModifiedBy>TPCMS</cp:lastModifiedBy>
  <cp:revision>3</cp:revision>
  <dcterms:created xsi:type="dcterms:W3CDTF">2013-08-14T07:00:00Z</dcterms:created>
  <dcterms:modified xsi:type="dcterms:W3CDTF">2013-08-14T07:00:00Z</dcterms:modified>
</cp:coreProperties>
</file>