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E07" w:rsidP="00473E07">
      <w:pPr>
        <w:pStyle w:val="Title"/>
      </w:pPr>
      <w:r>
        <w:fldChar w:fldCharType="begin"/>
      </w:r>
      <w:r>
        <w:instrText xml:space="preserve"> TITLE   \* MERGEFORMAT </w:instrText>
      </w:r>
      <w:r>
        <w:fldChar w:fldCharType="separate"/>
      </w:r>
      <w:r>
        <w:t>UEENEEG164A Repair and maintain mechanical components of electrical machines</w:t>
      </w:r>
      <w:r>
        <w:fldChar w:fldCharType="end"/>
      </w:r>
    </w:p>
    <w:p w:rsidR="00473E07" w:rsidP="00473E07">
      <w:pPr>
        <w:pStyle w:val="Version"/>
        <w:sectPr w:rsidSect="00F40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026E" w:rsidP="00F4026E">
      <w:pPr>
        <w:pStyle w:val="SuperHeading"/>
      </w:pPr>
      <w:r w:rsidRPr="00F4026E">
        <w:t>UEENEEG164A Repair and maintain mechanical components of electrical machines</w:t>
      </w:r>
    </w:p>
    <w:p w:rsidR="00000000" w:rsidRPr="00F4026E" w:rsidP="00F4026E">
      <w:pPr>
        <w:pStyle w:val="Heading1"/>
      </w:pPr>
      <w:bookmarkStart w:id="1" w:name="O_586319"/>
      <w:bookmarkEnd w:id="1"/>
      <w:r w:rsidRPr="00F4026E">
        <w:t>Modification History</w:t>
      </w:r>
    </w:p>
    <w:p w:rsidR="00000000" w:rsidRPr="00F4026E" w:rsidP="00F4026E">
      <w:pPr>
        <w:pStyle w:val="BodyText"/>
      </w:pPr>
      <w:r w:rsidRPr="00F4026E">
        <w:t>Not applicable.</w:t>
      </w:r>
    </w:p>
    <w:p w:rsidR="00000000" w:rsidRPr="00F4026E" w:rsidP="00F4026E">
      <w:pPr>
        <w:pStyle w:val="AllowPageBreak"/>
      </w:pPr>
    </w:p>
    <w:p w:rsidR="00000000" w:rsidRPr="00F4026E" w:rsidP="00F4026E">
      <w:pPr>
        <w:pStyle w:val="Heading1"/>
      </w:pPr>
      <w:bookmarkStart w:id="2" w:name="O_586318"/>
      <w:bookmarkEnd w:id="2"/>
      <w:r w:rsidRPr="00F4026E">
        <w:t>Unit Descriptor</w:t>
      </w:r>
    </w:p>
    <w:tbl>
      <w:tblPr>
        <w:tblW w:w="0" w:type="auto"/>
        <w:tblLayout w:type="fixed"/>
        <w:tblCellMar>
          <w:left w:w="62" w:type="dxa"/>
          <w:right w:w="62" w:type="dxa"/>
        </w:tblCellMar>
        <w:tblLook w:val="0000"/>
      </w:tblPr>
      <w:tblGrid>
        <w:gridCol w:w="2700"/>
        <w:gridCol w:w="5760"/>
      </w:tblGrid>
      <w:tr w:rsidTr="00473E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1)</w:t>
            </w:r>
            <w:r w:rsidRPr="00F4026E">
              <w:t xml:space="preserve"> </w:t>
            </w:r>
            <w:r w:rsidRPr="00F4026E">
              <w:rPr>
                <w:rStyle w:val="SpecialBold"/>
              </w:rPr>
              <w:t>Scope:</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026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1.1) Descriptor</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This unit covers the repair and maintain of mechanical components of electrical machines including basic machining. The unit encompasses working safely and to standards, following written instructions and drawing, selecting and setting up machine tools, ba</w:t>
            </w:r>
            <w:r w:rsidRPr="00F4026E">
              <w:t>sic machining, measuring and documenting work activities.</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3" w:name="O_586317"/>
      <w:bookmarkEnd w:id="3"/>
      <w:r w:rsidRPr="00F4026E">
        <w:t>Application of the Unit</w:t>
      </w:r>
    </w:p>
    <w:tbl>
      <w:tblPr>
        <w:tblW w:w="0" w:type="auto"/>
        <w:tblLayout w:type="fixed"/>
        <w:tblCellMar>
          <w:left w:w="62" w:type="dxa"/>
          <w:right w:w="62" w:type="dxa"/>
        </w:tblCellMar>
        <w:tblLook w:val="0000"/>
      </w:tblPr>
      <w:tblGrid>
        <w:gridCol w:w="2672"/>
        <w:gridCol w:w="5699"/>
      </w:tblGrid>
      <w:tr w:rsidTr="00473E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2)</w:t>
            </w:r>
          </w:p>
        </w:tc>
      </w:tr>
      <w:tr w:rsidTr="00473E0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This unit is intended for competency development entry-le</w:t>
            </w:r>
            <w:r w:rsidRPr="00F4026E">
              <w:t>vel employment based programs incorporated in approved contracts of training.</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4" w:name="O_586316"/>
      <w:bookmarkEnd w:id="4"/>
      <w:r w:rsidRPr="00F4026E">
        <w:t>Licensing/Regulatory Information</w:t>
      </w:r>
    </w:p>
    <w:tbl>
      <w:tblPr>
        <w:tblW w:w="0" w:type="auto"/>
        <w:tblLayout w:type="fixed"/>
        <w:tblCellMar>
          <w:left w:w="62" w:type="dxa"/>
          <w:right w:w="62" w:type="dxa"/>
        </w:tblCellMar>
        <w:tblLook w:val="0000"/>
      </w:tblPr>
      <w:tblGrid>
        <w:gridCol w:w="2700"/>
        <w:gridCol w:w="5760"/>
      </w:tblGrid>
      <w:tr w:rsidTr="00473E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 xml:space="preserve">3) </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The skills and knowledge described in this unit do not require a license to practice in the workplac</w:t>
            </w:r>
            <w:r w:rsidRPr="00F4026E">
              <w:t>e. However, practice in this unit is subject to regulations directly related to occupational health and safety and where applicable contracts of training such as apprenticeships.</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5" w:name="O_586315"/>
      <w:bookmarkEnd w:id="5"/>
      <w:r w:rsidRPr="00F4026E">
        <w:t>Pre-Requisites</w:t>
      </w:r>
    </w:p>
    <w:tbl>
      <w:tblPr>
        <w:tblW w:w="0" w:type="auto"/>
        <w:tblLayout w:type="fixed"/>
        <w:tblCellMar>
          <w:left w:w="62" w:type="dxa"/>
          <w:right w:w="62" w:type="dxa"/>
        </w:tblCellMar>
        <w:tblLook w:val="0000"/>
      </w:tblPr>
      <w:tblGrid>
        <w:gridCol w:w="2700"/>
        <w:gridCol w:w="1440"/>
        <w:gridCol w:w="4320"/>
      </w:tblGrid>
      <w:tr w:rsidTr="00473E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 xml:space="preserve">4) </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4.1)</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Granting competency in this unit shall be made only after competency in the following unit(s) has/have been confirmed.</w:t>
            </w:r>
          </w:p>
        </w:tc>
      </w:tr>
      <w:tr w:rsidTr="00473E0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UEENEEE101A</w:t>
            </w:r>
          </w:p>
        </w:tc>
        <w:tc>
          <w:tcPr>
            <w:tcW w:w="432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Apply Occupational Health and Safety regulations, codes and practices in the workplace</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UEENEEE102A</w:t>
            </w:r>
          </w:p>
        </w:tc>
        <w:tc>
          <w:tcPr>
            <w:tcW w:w="432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Fabricate, assemble and dismantle utilities industry components</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UEENEEE105A</w:t>
            </w:r>
          </w:p>
        </w:tc>
        <w:tc>
          <w:tcPr>
            <w:tcW w:w="432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Fix and secure electrotechnology equipment</w:t>
            </w:r>
          </w:p>
        </w:tc>
      </w:tr>
      <w:tr w:rsidTr="00473E0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UEENEEE107A</w:t>
            </w:r>
          </w:p>
        </w:tc>
        <w:tc>
          <w:tcPr>
            <w:tcW w:w="432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Use drawings, diagrams, schedules, standards, codes and specifications</w:t>
            </w:r>
          </w:p>
        </w:tc>
      </w:tr>
      <w:tr w:rsidTr="00473E0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UEENEEG111A</w:t>
            </w:r>
          </w:p>
        </w:tc>
        <w:tc>
          <w:tcPr>
            <w:tcW w:w="432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Carry out basic repairs to electrical components and equipment</w:t>
            </w:r>
          </w:p>
        </w:tc>
      </w:tr>
    </w:tbl>
    <w:p w:rsidR="00000000" w:rsidRPr="00F4026E" w:rsidP="00F4026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73E0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 xml:space="preserve">4.2) </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 xml:space="preserve">Participants are best equipped to achieve competency in this unit if they have reading, writing and numeracy skills indicated by the following </w:t>
            </w:r>
            <w:r w:rsidRPr="00F4026E">
              <w:t>scales. Description of each scale is given in Volume 2, Part 3 ‘Literacy and Numeracy’</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Reading</w:t>
            </w:r>
          </w:p>
        </w:tc>
        <w:tc>
          <w:tcPr>
            <w:tcW w:w="81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4</w:t>
            </w:r>
          </w:p>
        </w:tc>
        <w:tc>
          <w:tcPr>
            <w:tcW w:w="99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Writing</w:t>
            </w: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4</w:t>
            </w:r>
          </w:p>
        </w:tc>
        <w:tc>
          <w:tcPr>
            <w:tcW w:w="12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Numeracy</w:t>
            </w:r>
          </w:p>
        </w:tc>
        <w:tc>
          <w:tcPr>
            <w:tcW w:w="72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4</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6" w:name="O_586314"/>
      <w:bookmarkEnd w:id="6"/>
      <w:r w:rsidRPr="00F4026E">
        <w:t>Employability Skills Information</w:t>
      </w:r>
    </w:p>
    <w:tbl>
      <w:tblPr>
        <w:tblW w:w="0" w:type="auto"/>
        <w:tblLayout w:type="fixed"/>
        <w:tblCellMar>
          <w:left w:w="62" w:type="dxa"/>
          <w:right w:w="62" w:type="dxa"/>
        </w:tblCellMar>
        <w:tblLook w:val="0000"/>
      </w:tblPr>
      <w:tblGrid>
        <w:gridCol w:w="2700"/>
        <w:gridCol w:w="5760"/>
      </w:tblGrid>
      <w:tr w:rsidTr="00473E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 xml:space="preserve">5) </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This unit contains Employability Skills</w:t>
            </w:r>
          </w:p>
          <w:p w:rsidR="00000000" w:rsidRPr="00F4026E" w:rsidP="00F4026E">
            <w:pPr>
              <w:pStyle w:val="BodyText"/>
            </w:pPr>
            <w:r w:rsidRPr="00F4026E">
              <w:t xml:space="preserve">The required outcomes described in this unit of competency contain applicable facets of Employability Skills. The Employability Skills Summary of the </w:t>
            </w:r>
            <w:r w:rsidRPr="00F4026E">
              <w:t xml:space="preserve">qualification in which this unit of competency is packaged will assist in identifying Employability Skill </w:t>
            </w:r>
            <w:r w:rsidRPr="00F4026E">
              <w:t>requirements.</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7" w:name="O_586313"/>
      <w:bookmarkEnd w:id="7"/>
      <w:r w:rsidRPr="00F4026E">
        <w:t>Elements and Performance Criteria Pre-Content</w:t>
      </w:r>
    </w:p>
    <w:tbl>
      <w:tblPr>
        <w:tblW w:w="0" w:type="auto"/>
        <w:tblLayout w:type="fixed"/>
        <w:tblCellMar>
          <w:left w:w="62" w:type="dxa"/>
          <w:right w:w="62" w:type="dxa"/>
        </w:tblCellMar>
        <w:tblLook w:val="0000"/>
      </w:tblPr>
      <w:tblGrid>
        <w:gridCol w:w="2700"/>
        <w:gridCol w:w="5760"/>
      </w:tblGrid>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6)</w:t>
            </w:r>
            <w:r w:rsidRPr="00F4026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Performance Criteria describe the required performance needed to demonstrate achievement of the element</w:t>
            </w:r>
            <w:r w:rsidRPr="00F4026E">
              <w:t>. Assessment of performance is to be consistent with the Evidence Guide.</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8" w:name="O_586312"/>
      <w:bookmarkEnd w:id="8"/>
      <w:r w:rsidRPr="00F4026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3E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PERFORMANCE CRITERIA</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w:t>
            </w:r>
          </w:p>
        </w:tc>
        <w:tc>
          <w:tcPr>
            <w:tcW w:w="2296" w:type="dxa"/>
            <w:vMerge w:val="restart"/>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Prepare to repair component.</w:t>
            </w: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1.1</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OHS procedures for a given work area are obtained and understood through established routines and procedures.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1.2</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Established OHS risk control measures and procedures in preparation for the work are followed.</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1.3</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Safety hazards which</w:t>
            </w:r>
            <w:r w:rsidRPr="00F4026E">
              <w:t xml:space="preserve"> have not previously been identified are reported and advise on risk control measures are sought from the work supervisor.</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1.4</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The nature of repair work is obtained from documentation or from work supervisor to establish the scope of work to be undertak</w:t>
            </w:r>
            <w:r w:rsidRPr="00F4026E">
              <w:t>en.</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1.5</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 xml:space="preserve">Advice is sought from the work supervisor to ensure the work is coordinated effectively with others. </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1.6</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Sources of materials that may be required for the work are established in accordance with established routines and procedures.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1.7</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Tools, equipment and testing devices needed to carry out the work are obtained and checked for correct operation and safety.</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1.8</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 xml:space="preserve">Appropriate machine is selected, checked for safety and prepared for any necessary machining operation. </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1.9</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Cutting tool</w:t>
            </w:r>
            <w:r w:rsidRPr="00F4026E">
              <w:t>s are selected, sharpened and set up for correctly for each particular machining operation.</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w:t>
            </w:r>
          </w:p>
        </w:tc>
        <w:tc>
          <w:tcPr>
            <w:tcW w:w="2296" w:type="dxa"/>
            <w:vMerge w:val="restart"/>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Repair components.</w:t>
            </w: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2.1</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Established OHS risk control measures and procedures for carrying out the work are followed.</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2.2</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Circuits/machines/plant are checked as being isolated where necessary in strict accordance OHS requirements and procedures.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2.3</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Component being machined is positioned and clamped appropriately.</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2.4</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Machining is carried out safely and to suit the component and material being machined.</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2.5</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Appropriate measurements are taken to ensure repairs comply with technical standards and job specifications and requirements.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2.6</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Components are repaired to comply with technical standards and job specifications and requirements.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2.7</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Established methods for dealing with unexpected situations are discussed with appropriate person or persons and documented.</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2.8</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Unexpected situati</w:t>
            </w:r>
            <w:r w:rsidRPr="00F4026E">
              <w:t>ons are dealt with safely and with the approval of an authorised person.</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2.9</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Ongoing checks of the quality of repair work are undertaken in accordance with established procedures.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2.10</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Repairs are carried out efficiently without unnecessary waste of materials and energy and damage to apparatus, circuits, the surrounding environment or services.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3</w:t>
            </w:r>
          </w:p>
        </w:tc>
        <w:tc>
          <w:tcPr>
            <w:tcW w:w="2296"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Complete work and report.</w:t>
            </w: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3.1</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 xml:space="preserve">OHS work completion risk control measures and procedures are </w:t>
            </w:r>
            <w:r w:rsidRPr="00F4026E">
              <w:t>followed.</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3.2</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Work area is cleaned and made safe in accordance with established procedures.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3.3</w:t>
            </w:r>
          </w:p>
        </w:tc>
        <w:tc>
          <w:tcPr>
            <w:tcW w:w="48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Fits are made to verify that repaired component conforms to requirements.</w:t>
            </w:r>
          </w:p>
        </w:tc>
      </w:tr>
      <w:tr w:rsidTr="00473E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t>3.4</w:t>
            </w:r>
          </w:p>
        </w:tc>
        <w:tc>
          <w:tcPr>
            <w:tcW w:w="48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Work completion is documented and an appropriate person or persons notifi</w:t>
            </w:r>
            <w:r w:rsidRPr="00F4026E">
              <w:t>ed in accordance with established procedures.</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9" w:name="O_586311"/>
      <w:bookmarkEnd w:id="9"/>
      <w:r w:rsidRPr="00F4026E">
        <w:t>Required Skills and Knowledge</w:t>
      </w:r>
    </w:p>
    <w:tbl>
      <w:tblPr>
        <w:tblW w:w="0" w:type="auto"/>
        <w:tblLayout w:type="fixed"/>
        <w:tblCellMar>
          <w:left w:w="62" w:type="dxa"/>
          <w:right w:w="62" w:type="dxa"/>
        </w:tblCellMar>
        <w:tblLook w:val="0000"/>
      </w:tblPr>
      <w:tblGrid>
        <w:gridCol w:w="8460"/>
      </w:tblGrid>
      <w:tr w:rsidTr="00473E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REQUIRED SKILLS AND KNOWLEDGE</w:t>
            </w:r>
          </w:p>
        </w:tc>
      </w:tr>
      <w:tr w:rsidTr="00473E0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8)</w:t>
            </w:r>
            <w:r w:rsidRPr="00F4026E">
              <w:t xml:space="preserve"> This describes the essential skills and knowledge and their level, required for this unit.</w:t>
            </w:r>
          </w:p>
          <w:p w:rsidR="00000000" w:rsidRPr="00F4026E" w:rsidP="00F4026E">
            <w:pPr>
              <w:pStyle w:val="BodyText"/>
            </w:pPr>
            <w:r w:rsidRPr="00F4026E">
              <w:t>Evidence shall show tha</w:t>
            </w:r>
            <w:r w:rsidRPr="00F4026E">
              <w:t>t knowledge has been acquired of safe working practices and repairing and maintaining mechanical components of electrical machines.</w:t>
            </w:r>
          </w:p>
          <w:p w:rsidR="00000000" w:rsidRPr="00F4026E" w:rsidP="00F4026E">
            <w:pPr>
              <w:pStyle w:val="BodyText"/>
            </w:pPr>
            <w:r w:rsidRPr="00F4026E">
              <w:t>All knowledge and skills detailed in this unit should be contextualised to current industry practices and technologies.</w:t>
            </w:r>
          </w:p>
          <w:p w:rsidR="00000000" w:rsidRPr="00F4026E" w:rsidP="00F4026E">
            <w:pPr>
              <w:pStyle w:val="BodyText"/>
            </w:pPr>
            <w:r w:rsidRPr="00F4026E">
              <w:rPr>
                <w:rStyle w:val="SpecialBold"/>
              </w:rPr>
              <w:t>KS01</w:t>
            </w:r>
            <w:r w:rsidRPr="00F4026E">
              <w:rPr>
                <w:rStyle w:val="SpecialBold"/>
              </w:rPr>
              <w:t>-EG164A</w:t>
            </w:r>
            <w:r w:rsidRPr="00F4026E">
              <w:rPr>
                <w:rStyle w:val="SpecialBold"/>
              </w:rPr>
              <w:tab/>
              <w:t xml:space="preserve">              Electrical machines, mechanical components</w:t>
            </w:r>
          </w:p>
          <w:p w:rsidR="00000000" w:rsidRPr="00F4026E" w:rsidP="00F4026E">
            <w:pPr>
              <w:pStyle w:val="BodyText"/>
            </w:pPr>
            <w:r w:rsidRPr="00F4026E">
              <w:t>Evidence shall show an understanding of repairing mechanical components of electrical machines to an extent indicated by the following aspects:</w:t>
            </w:r>
          </w:p>
          <w:p w:rsidR="00000000" w:rsidRPr="00F4026E" w:rsidP="00F4026E">
            <w:pPr>
              <w:pStyle w:val="BodyText"/>
            </w:pPr>
            <w:r w:rsidRPr="00F4026E">
              <w:t>T1</w:t>
            </w:r>
            <w:r w:rsidRPr="00F4026E">
              <w:tab/>
              <w:t>Dangers and safety precautions</w:t>
            </w:r>
          </w:p>
          <w:p w:rsidR="00000000" w:rsidRPr="00F4026E" w:rsidP="00F4026E">
            <w:pPr>
              <w:pStyle w:val="ListBullet2"/>
            </w:pPr>
            <w:r w:rsidRPr="00F4026E">
              <w:t>hazardous du</w:t>
            </w:r>
            <w:r w:rsidRPr="00F4026E">
              <w:t>st</w:t>
            </w:r>
          </w:p>
          <w:p w:rsidR="00000000" w:rsidRPr="00F4026E" w:rsidP="00F4026E">
            <w:pPr>
              <w:pStyle w:val="ListBullet2"/>
            </w:pPr>
            <w:r w:rsidRPr="00F4026E">
              <w:t>cleaning material</w:t>
            </w:r>
          </w:p>
          <w:p w:rsidR="00000000" w:rsidRPr="00F4026E" w:rsidP="00F4026E">
            <w:pPr>
              <w:pStyle w:val="ListBullet2"/>
            </w:pPr>
            <w:r w:rsidRPr="00F4026E">
              <w:t>safe working practices</w:t>
            </w:r>
          </w:p>
          <w:p w:rsidR="00000000" w:rsidRPr="00F4026E" w:rsidP="00F4026E">
            <w:pPr>
              <w:pStyle w:val="ListBullet"/>
            </w:pPr>
            <w:r w:rsidRPr="00F4026E">
              <w:t>T2        Electrical Machine Bearings</w:t>
            </w:r>
          </w:p>
          <w:p w:rsidR="00000000" w:rsidRPr="00F4026E" w:rsidP="00F4026E">
            <w:pPr>
              <w:pStyle w:val="ListBullet2"/>
            </w:pPr>
            <w:r w:rsidRPr="00F4026E">
              <w:t>Types of bearings</w:t>
            </w:r>
          </w:p>
          <w:p w:rsidR="00000000" w:rsidRPr="00F4026E" w:rsidP="00F4026E">
            <w:pPr>
              <w:pStyle w:val="ListBullet2"/>
            </w:pPr>
            <w:r w:rsidRPr="00F4026E">
              <w:t>Bearing clearances</w:t>
            </w:r>
          </w:p>
          <w:p w:rsidR="00000000" w:rsidRPr="00F4026E" w:rsidP="00F4026E">
            <w:pPr>
              <w:pStyle w:val="ListBullet2"/>
            </w:pPr>
            <w:r w:rsidRPr="00F4026E">
              <w:t xml:space="preserve">Techniques for removing and fitting bearings </w:t>
            </w:r>
          </w:p>
          <w:p w:rsidR="00000000" w:rsidRPr="00F4026E" w:rsidP="00F4026E">
            <w:pPr>
              <w:pStyle w:val="ListBullet2"/>
            </w:pPr>
            <w:r w:rsidRPr="00F4026E">
              <w:t>Handling and storage of bearings</w:t>
            </w:r>
          </w:p>
          <w:p w:rsidR="00000000" w:rsidRPr="00F4026E" w:rsidP="00F4026E">
            <w:pPr>
              <w:pStyle w:val="ListBullet2"/>
            </w:pPr>
            <w:r w:rsidRPr="00F4026E">
              <w:t xml:space="preserve">Lubrication of bearings </w:t>
            </w:r>
          </w:p>
          <w:p w:rsidR="00000000" w:rsidRPr="00F4026E" w:rsidP="00F4026E">
            <w:pPr>
              <w:pStyle w:val="ListBullet2"/>
            </w:pPr>
            <w:r w:rsidRPr="00F4026E">
              <w:t xml:space="preserve">Calculation of bearing life </w:t>
            </w:r>
          </w:p>
          <w:p w:rsidR="00000000" w:rsidRPr="00F4026E" w:rsidP="00F4026E">
            <w:pPr>
              <w:pStyle w:val="ListBullet2"/>
            </w:pPr>
            <w:r w:rsidRPr="00F4026E">
              <w:t xml:space="preserve">Bearing damage and remedial action </w:t>
            </w:r>
          </w:p>
          <w:p w:rsidR="00000000" w:rsidRPr="00F4026E" w:rsidP="00F4026E">
            <w:pPr>
              <w:pStyle w:val="ListBullet"/>
            </w:pPr>
            <w:r w:rsidRPr="00F4026E">
              <w:t>T3        Machines Couplings</w:t>
            </w:r>
          </w:p>
          <w:p w:rsidR="00000000" w:rsidRPr="00F4026E" w:rsidP="00F4026E">
            <w:pPr>
              <w:pStyle w:val="ListBullet2"/>
            </w:pPr>
            <w:r w:rsidRPr="00F4026E">
              <w:t xml:space="preserve">Types of couplings, applications </w:t>
            </w:r>
          </w:p>
          <w:p w:rsidR="00000000" w:rsidRPr="00F4026E" w:rsidP="00F4026E">
            <w:pPr>
              <w:pStyle w:val="ListBullet2"/>
            </w:pPr>
            <w:r w:rsidRPr="00F4026E">
              <w:t xml:space="preserve">Fitting and aligning couplings </w:t>
            </w:r>
          </w:p>
          <w:p w:rsidR="00000000" w:rsidRPr="00F4026E" w:rsidP="00F4026E">
            <w:pPr>
              <w:pStyle w:val="ListBullet2"/>
            </w:pPr>
            <w:r w:rsidRPr="00F4026E">
              <w:t xml:space="preserve">Types of belts and their applications </w:t>
            </w:r>
          </w:p>
          <w:p w:rsidR="00000000" w:rsidRPr="00F4026E" w:rsidP="00F4026E">
            <w:pPr>
              <w:pStyle w:val="ListBullet2"/>
            </w:pPr>
            <w:r w:rsidRPr="00F4026E">
              <w:t xml:space="preserve">Fittings and aligning pulleys </w:t>
            </w:r>
          </w:p>
          <w:p w:rsidR="00000000" w:rsidRPr="00F4026E" w:rsidP="00F4026E">
            <w:pPr>
              <w:pStyle w:val="ListBullet"/>
            </w:pPr>
            <w:r w:rsidRPr="00F4026E">
              <w:t xml:space="preserve">T4        Machine </w:t>
            </w:r>
          </w:p>
          <w:p w:rsidR="00000000" w:rsidRPr="00F4026E" w:rsidP="00F4026E">
            <w:pPr>
              <w:pStyle w:val="ListBullet2"/>
            </w:pPr>
            <w:r w:rsidRPr="00F4026E">
              <w:t>components of electrical machines</w:t>
            </w:r>
          </w:p>
          <w:p w:rsidR="00000000" w:rsidRPr="00F4026E" w:rsidP="00F4026E">
            <w:pPr>
              <w:pStyle w:val="ListBullet"/>
            </w:pPr>
            <w:r w:rsidRPr="00F4026E">
              <w:t>T5        Machine faults and testing procedures</w:t>
            </w:r>
          </w:p>
          <w:p w:rsidR="00000000" w:rsidRPr="00F4026E" w:rsidP="00F4026E">
            <w:pPr>
              <w:pStyle w:val="ListBullet2"/>
            </w:pPr>
            <w:r w:rsidRPr="00F4026E">
              <w:t>faults</w:t>
            </w:r>
          </w:p>
          <w:p w:rsidR="00000000" w:rsidRPr="00F4026E" w:rsidP="00F4026E">
            <w:pPr>
              <w:pStyle w:val="ListBullet2"/>
            </w:pPr>
            <w:r w:rsidRPr="00F4026E">
              <w:t>testing</w:t>
            </w:r>
          </w:p>
          <w:p w:rsidR="00000000" w:rsidRPr="00F4026E" w:rsidP="00F4026E">
            <w:pPr>
              <w:pStyle w:val="ListBullet2"/>
            </w:pPr>
            <w:r w:rsidRPr="00F4026E">
              <w:t>inspecting</w:t>
            </w:r>
          </w:p>
          <w:p w:rsidR="00000000" w:rsidRPr="00F4026E" w:rsidP="00F4026E">
            <w:pPr>
              <w:pStyle w:val="ListBullet"/>
            </w:pPr>
            <w:r w:rsidRPr="00F4026E">
              <w:t>T6        Dismantling /assembling and repair procedures</w:t>
            </w:r>
          </w:p>
          <w:p w:rsidR="00000000" w:rsidRPr="00F4026E" w:rsidP="00F4026E">
            <w:pPr>
              <w:pStyle w:val="ListBullet2"/>
            </w:pPr>
            <w:r w:rsidRPr="00F4026E">
              <w:t>marking of electrical connections</w:t>
            </w:r>
          </w:p>
          <w:p w:rsidR="00000000" w:rsidRPr="00F4026E" w:rsidP="00F4026E">
            <w:pPr>
              <w:pStyle w:val="ListBullet2"/>
            </w:pPr>
            <w:r w:rsidRPr="00F4026E">
              <w:t>recording positions of gears/pulleys/couplings</w:t>
            </w:r>
          </w:p>
          <w:p w:rsidR="00000000" w:rsidRPr="00F4026E" w:rsidP="00F4026E">
            <w:pPr>
              <w:pStyle w:val="ListBullet2"/>
            </w:pPr>
            <w:r w:rsidRPr="00F4026E">
              <w:t>dismant</w:t>
            </w:r>
            <w:r w:rsidRPr="00F4026E">
              <w:t>le procedures</w:t>
            </w:r>
          </w:p>
          <w:p w:rsidR="00000000" w:rsidRPr="00F4026E" w:rsidP="00F4026E">
            <w:pPr>
              <w:pStyle w:val="ListBullet2"/>
            </w:pPr>
            <w:r w:rsidRPr="00F4026E">
              <w:t>bearing removal/replacement</w:t>
            </w:r>
          </w:p>
          <w:p w:rsidR="00000000" w:rsidRPr="00F4026E" w:rsidP="00F4026E">
            <w:pPr>
              <w:pStyle w:val="ListBullet2"/>
            </w:pPr>
            <w:r w:rsidRPr="00F4026E">
              <w:t>test run</w:t>
            </w:r>
          </w:p>
          <w:p w:rsidR="00000000" w:rsidRPr="00F4026E" w:rsidP="00F4026E">
            <w:pPr>
              <w:pStyle w:val="ListBullet"/>
            </w:pPr>
            <w:r w:rsidRPr="00F4026E">
              <w:t xml:space="preserve">T7        Brushes </w:t>
            </w:r>
          </w:p>
          <w:p w:rsidR="00000000" w:rsidRPr="00F4026E" w:rsidP="00F4026E">
            <w:pPr>
              <w:pStyle w:val="ListBullet2"/>
            </w:pPr>
            <w:r w:rsidRPr="00F4026E">
              <w:t xml:space="preserve">characteristics </w:t>
            </w:r>
          </w:p>
          <w:p w:rsidR="00000000" w:rsidRPr="00F4026E" w:rsidP="00F4026E">
            <w:pPr>
              <w:pStyle w:val="ListBullet2"/>
            </w:pPr>
            <w:r w:rsidRPr="00F4026E">
              <w:t xml:space="preserve">types </w:t>
            </w:r>
          </w:p>
          <w:p w:rsidR="00000000" w:rsidRPr="00F4026E" w:rsidP="00F4026E">
            <w:pPr>
              <w:pStyle w:val="ListBullet2"/>
            </w:pPr>
            <w:r w:rsidRPr="00F4026E">
              <w:t>selection</w:t>
            </w:r>
          </w:p>
          <w:p w:rsidR="00000000" w:rsidRPr="00F4026E" w:rsidP="00F4026E">
            <w:pPr>
              <w:pStyle w:val="ListBullet"/>
            </w:pPr>
            <w:r w:rsidRPr="00F4026E">
              <w:t>T8        Removal and installation</w:t>
            </w:r>
          </w:p>
          <w:p w:rsidR="00000000" w:rsidRPr="00F4026E" w:rsidP="00F4026E">
            <w:pPr>
              <w:pStyle w:val="ListBullet2"/>
            </w:pPr>
            <w:r w:rsidRPr="00F4026E">
              <w:t>marking of winding connections</w:t>
            </w:r>
          </w:p>
          <w:p w:rsidR="00000000" w:rsidRPr="00F4026E" w:rsidP="00F4026E">
            <w:pPr>
              <w:pStyle w:val="ListBullet2"/>
            </w:pPr>
            <w:r w:rsidRPr="00F4026E">
              <w:t>motor alignment</w:t>
            </w:r>
          </w:p>
          <w:p w:rsidR="00000000" w:rsidRPr="00F4026E" w:rsidP="00F4026E">
            <w:pPr>
              <w:pStyle w:val="ListBullet2"/>
            </w:pPr>
            <w:r w:rsidRPr="00F4026E">
              <w:t>alignment procedures</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10" w:name="O_586310"/>
      <w:bookmarkEnd w:id="10"/>
      <w:r w:rsidRPr="00F4026E">
        <w:t>Evidence Guide</w:t>
      </w:r>
    </w:p>
    <w:tbl>
      <w:tblPr>
        <w:tblW w:w="0" w:type="auto"/>
        <w:tblLayout w:type="fixed"/>
        <w:tblCellMar>
          <w:left w:w="62" w:type="dxa"/>
          <w:right w:w="62" w:type="dxa"/>
        </w:tblCellMar>
        <w:tblLook w:val="0000"/>
      </w:tblPr>
      <w:tblGrid>
        <w:gridCol w:w="8460"/>
      </w:tblGrid>
      <w:tr w:rsidTr="00473E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EVIDENCE GUIDE</w:t>
            </w:r>
          </w:p>
        </w:tc>
      </w:tr>
      <w:tr w:rsidTr="00473E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9)</w:t>
            </w:r>
            <w:r w:rsidRPr="00F4026E">
              <w:t xml:space="preserve"> The evidence guide provides advice on assessment and must be read in conjunction with the Performance Criteria, Required Skills and Knowledge, the Range Statement and the Assessment Guidelines for this Training Package. </w:t>
            </w:r>
          </w:p>
          <w:p w:rsidR="00000000" w:rsidRPr="00F4026E" w:rsidP="00F4026E">
            <w:pPr>
              <w:pStyle w:val="BodyText"/>
            </w:pPr>
            <w:r w:rsidRPr="00F4026E">
              <w:t>The Evidence Gui</w:t>
            </w:r>
            <w:r w:rsidRPr="00F4026E">
              <w:t>de forms an integral part of this unit. It must be used in conjunction with all parts of this unit and performed in accordance with the Assessment Guidelines of this Training Package.</w:t>
            </w:r>
          </w:p>
        </w:tc>
      </w:tr>
    </w:tbl>
    <w:p w:rsidR="00000000" w:rsidRPr="00F4026E" w:rsidP="00F4026E">
      <w:pPr>
        <w:pStyle w:val="BodyText"/>
      </w:pPr>
    </w:p>
    <w:tbl>
      <w:tblPr>
        <w:tblW w:w="0" w:type="auto"/>
        <w:tblLayout w:type="fixed"/>
        <w:tblCellMar>
          <w:left w:w="62" w:type="dxa"/>
          <w:right w:w="62" w:type="dxa"/>
        </w:tblCellMar>
        <w:tblLook w:val="0000"/>
      </w:tblPr>
      <w:tblGrid>
        <w:gridCol w:w="1890"/>
        <w:gridCol w:w="6570"/>
      </w:tblGrid>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9.1)</w:t>
            </w:r>
          </w:p>
        </w:tc>
      </w:tr>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Longitudinal competency development approaches to assessment, such as Profiling, require data to be reliably gathered in a form that can be consistently interpreted over time. This approach is best utilised in Apprenticeship programs and reduces assessment</w:t>
            </w:r>
            <w:r w:rsidRPr="00F4026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4026E">
              <w:t>tency in a realistically simulated work environment. It is recognised that, in some circumstances, assessment in part or full can occur outside the workplace. However, it must be in accordance with industry and regulatory policy.</w:t>
            </w:r>
          </w:p>
          <w:p w:rsidR="00000000" w:rsidRPr="00F4026E" w:rsidP="00F4026E">
            <w:pPr>
              <w:pStyle w:val="BodyText"/>
            </w:pPr>
            <w:r w:rsidRPr="00F4026E">
              <w:t>Methods chosen for a parti</w:t>
            </w:r>
            <w:r w:rsidRPr="00F4026E">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F4026E">
              <w:t>the critical nature of the competencies being assessed.</w:t>
            </w:r>
          </w:p>
          <w:p w:rsidR="00000000" w:rsidRPr="00F4026E" w:rsidP="00F4026E">
            <w:pPr>
              <w:pStyle w:val="BodyText"/>
            </w:pPr>
            <w:r w:rsidRPr="00F4026E">
              <w:t>The critical safety nature of working with electricity, electrical equipment, gas or any other hazardous substance/material carries risk in deeming a person competent. Sources of evidence need to be ‘</w:t>
            </w:r>
            <w:r w:rsidRPr="00F4026E">
              <w:t>rich’ in nature to minimise error in judgment.</w:t>
            </w:r>
          </w:p>
          <w:p w:rsidR="00000000" w:rsidRPr="00F4026E" w:rsidP="00F4026E">
            <w:pPr>
              <w:pStyle w:val="BodyText"/>
            </w:pPr>
            <w:r w:rsidRPr="00F4026E">
              <w:t xml:space="preserve">Activities associated with normal every day work have a bearing on the decision as to how much and how detailed the data gathered will contribute to its ‘richness’. Some skills are more critical to safety and </w:t>
            </w:r>
            <w:r w:rsidRPr="00F4026E">
              <w:t>operational requirements while the same skills may be more or less frequently practised. These points are raised for the assessors to consider when choosing an assessment method and developing assessment instruments. Sample assessment instruments are inclu</w:t>
            </w:r>
            <w:r w:rsidRPr="00F4026E">
              <w:t>ded for Assessors in the Assessment Guidelines of this Training Package.</w:t>
            </w:r>
          </w:p>
        </w:tc>
      </w:tr>
    </w:tbl>
    <w:p w:rsidR="00000000" w:rsidRPr="00F4026E" w:rsidP="00F4026E">
      <w:pPr>
        <w:pStyle w:val="BodyText"/>
      </w:pPr>
    </w:p>
    <w:tbl>
      <w:tblPr>
        <w:tblW w:w="0" w:type="auto"/>
        <w:tblLayout w:type="fixed"/>
        <w:tblCellMar>
          <w:left w:w="62" w:type="dxa"/>
          <w:right w:w="62" w:type="dxa"/>
        </w:tblCellMar>
        <w:tblLook w:val="0000"/>
      </w:tblPr>
      <w:tblGrid>
        <w:gridCol w:w="1890"/>
        <w:gridCol w:w="6570"/>
      </w:tblGrid>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9.2)</w:t>
            </w:r>
          </w:p>
        </w:tc>
      </w:tr>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Before the critical aspects of evidence are considered all prerequisites shall be met.</w:t>
            </w:r>
          </w:p>
          <w:p w:rsidR="00000000" w:rsidRPr="00F4026E" w:rsidP="00F4026E">
            <w:pPr>
              <w:pStyle w:val="BodyText"/>
            </w:pPr>
            <w:r w:rsidRPr="00F4026E">
              <w:t>Evidence f</w:t>
            </w:r>
            <w:r w:rsidRPr="00F4026E">
              <w:t>or competence in this unit shall be considered holistically.  Each element and associated performance criteria shall be demonstrated on at least two occasions in accordance with the ‘Assessment Guidelines – UEE11’.  Evidence shall also comprise:</w:t>
            </w:r>
          </w:p>
          <w:p w:rsidR="00000000" w:rsidRPr="00F4026E" w:rsidP="00F4026E">
            <w:pPr>
              <w:pStyle w:val="ListBullet"/>
            </w:pPr>
            <w:r w:rsidRPr="00F4026E">
              <w:t>A represe</w:t>
            </w:r>
            <w:r w:rsidRPr="00F4026E">
              <w:t>ntative body of work performance demonstrated within the timeframes typically expected of the discipline, work function and industrial environment. In particular this shall incorporate evidence that shows a candidate is able to:</w:t>
            </w:r>
          </w:p>
          <w:p w:rsidR="00000000" w:rsidRPr="00F4026E" w:rsidP="00F4026E">
            <w:pPr>
              <w:pStyle w:val="ListBullet2"/>
            </w:pPr>
            <w:r w:rsidRPr="00F4026E">
              <w:t>Implement Occupational Health and Safety workplace procedures and practices including the use of risk control measures as specified in the performance criteria and range statement</w:t>
            </w:r>
          </w:p>
          <w:p w:rsidR="00000000" w:rsidRPr="00F4026E" w:rsidP="00F4026E">
            <w:pPr>
              <w:pStyle w:val="ListBullet2"/>
            </w:pPr>
            <w:r w:rsidRPr="00F4026E">
              <w:t>Apply sustainable energy principles and practices as specified in the perfor</w:t>
            </w:r>
            <w:r w:rsidRPr="00F4026E">
              <w:t>mance criteria and range statement</w:t>
            </w:r>
          </w:p>
          <w:p w:rsidR="00000000" w:rsidRPr="00F4026E" w:rsidP="00F4026E">
            <w:pPr>
              <w:pStyle w:val="ListBullet2"/>
            </w:pPr>
            <w:r w:rsidRPr="00F4026E">
              <w:t>Demonstrate an understanding of the essential knowledge and associated skills as described in this unit.  It may be required by some jurisdictions that RTOs provide a percentile graded result for the purpose of regulatory</w:t>
            </w:r>
            <w:r w:rsidRPr="00F4026E">
              <w:t xml:space="preserve"> or licensing requirements.   </w:t>
            </w:r>
          </w:p>
          <w:p w:rsidR="00000000" w:rsidRPr="00F4026E" w:rsidP="00F4026E">
            <w:pPr>
              <w:pStyle w:val="ListBullet2"/>
            </w:pPr>
            <w:r w:rsidRPr="00F4026E">
              <w:t>Demonstrate an appropriate level of skills enabling employment</w:t>
            </w:r>
          </w:p>
          <w:p w:rsidR="00000000" w:rsidRPr="00F4026E" w:rsidP="00F4026E">
            <w:pPr>
              <w:pStyle w:val="ListBullet2"/>
            </w:pPr>
            <w:r w:rsidRPr="00F4026E">
              <w:t>Conduct work observing the relevant Anti Discrimination legislation, regulations, polices and workplace procedures</w:t>
            </w:r>
          </w:p>
          <w:p w:rsidR="00000000" w:rsidRPr="00F4026E" w:rsidP="00F4026E">
            <w:pPr>
              <w:pStyle w:val="ListBullet"/>
            </w:pPr>
            <w:r w:rsidRPr="00F4026E">
              <w:t>Demonstrated consistent performance across a r</w:t>
            </w:r>
            <w:r w:rsidRPr="00F4026E">
              <w:t>epresentative range of contexts from the prescribed items below:</w:t>
            </w:r>
          </w:p>
          <w:p w:rsidR="00000000" w:rsidRPr="00F4026E" w:rsidP="00F4026E">
            <w:pPr>
              <w:pStyle w:val="ListBullet2"/>
            </w:pPr>
            <w:r w:rsidRPr="00F4026E">
              <w:t>Repair mechanical components of electrical machines as described as described in 8) and including:</w:t>
            </w:r>
          </w:p>
          <w:p w:rsidR="00000000" w:rsidRPr="00F4026E" w:rsidP="00F4026E">
            <w:pPr>
              <w:pStyle w:val="BodyText"/>
            </w:pPr>
            <w:r w:rsidRPr="00F4026E">
              <w:t>A</w:t>
            </w:r>
            <w:r w:rsidRPr="00F4026E">
              <w:tab/>
              <w:t>Establishing the nature of the repair work.</w:t>
            </w:r>
          </w:p>
          <w:p w:rsidR="00000000" w:rsidRPr="00F4026E" w:rsidP="00F4026E">
            <w:pPr>
              <w:pStyle w:val="BodyText"/>
            </w:pPr>
            <w:r w:rsidRPr="00F4026E">
              <w:t>B</w:t>
            </w:r>
            <w:r w:rsidRPr="00F4026E">
              <w:tab/>
              <w:t>Selecting appropriate method of repair.</w:t>
            </w:r>
          </w:p>
          <w:p w:rsidR="00000000" w:rsidRPr="00F4026E" w:rsidP="00F4026E">
            <w:pPr>
              <w:pStyle w:val="BodyText"/>
            </w:pPr>
            <w:r w:rsidRPr="00F4026E">
              <w:t>C</w:t>
            </w:r>
            <w:r w:rsidRPr="00F4026E">
              <w:tab/>
              <w:t>S</w:t>
            </w:r>
            <w:r w:rsidRPr="00F4026E">
              <w:t>harpening cutting tools/twist drills correctly.</w:t>
            </w:r>
          </w:p>
          <w:p w:rsidR="00000000" w:rsidRPr="00F4026E" w:rsidP="00F4026E">
            <w:pPr>
              <w:pStyle w:val="BodyText"/>
            </w:pPr>
            <w:r w:rsidRPr="00F4026E">
              <w:t>D</w:t>
            </w:r>
            <w:r w:rsidRPr="00F4026E">
              <w:tab/>
              <w:t>Securing work piece correctly.</w:t>
            </w:r>
          </w:p>
          <w:p w:rsidR="00000000" w:rsidRPr="00F4026E" w:rsidP="00F4026E">
            <w:pPr>
              <w:pStyle w:val="BodyText"/>
            </w:pPr>
            <w:r w:rsidRPr="00F4026E">
              <w:t>E</w:t>
            </w:r>
            <w:r w:rsidRPr="00F4026E">
              <w:tab/>
              <w:t>Repairing component to required standard.</w:t>
            </w:r>
          </w:p>
          <w:p w:rsidR="00000000" w:rsidRPr="00F4026E" w:rsidP="00F4026E">
            <w:pPr>
              <w:pStyle w:val="BodyText"/>
            </w:pPr>
            <w:r w:rsidRPr="00F4026E">
              <w:t>F</w:t>
            </w:r>
            <w:r w:rsidRPr="00F4026E">
              <w:tab/>
              <w:t>Documenting repairs in accordance with established procedures.</w:t>
            </w:r>
          </w:p>
          <w:p w:rsidR="00000000" w:rsidRPr="00F4026E" w:rsidP="00F4026E">
            <w:pPr>
              <w:pStyle w:val="BodyText"/>
            </w:pPr>
            <w:r w:rsidRPr="00F4026E">
              <w:t>G</w:t>
            </w:r>
            <w:r w:rsidRPr="00F4026E">
              <w:tab/>
            </w:r>
            <w:r w:rsidRPr="00F4026E">
              <w:t>Dealing with unplanned events by drawing on essential knowledge and skills to provide appropriate solutions incorporated in the holistic assessment with the above listed items.</w:t>
            </w:r>
          </w:p>
          <w:p w:rsidR="00000000" w:rsidRPr="00F4026E" w:rsidP="00F4026E">
            <w:pPr>
              <w:pStyle w:val="BodyText"/>
            </w:pPr>
            <w:r w:rsidRPr="00F4026E">
              <w:t xml:space="preserve">Note: </w:t>
            </w:r>
          </w:p>
          <w:p w:rsidR="00000000" w:rsidRPr="00F4026E" w:rsidP="00F4026E">
            <w:pPr>
              <w:pStyle w:val="BodyText"/>
            </w:pPr>
            <w:r w:rsidRPr="00F4026E">
              <w:t>Successful completion of relevant vendor training may be used to contrib</w:t>
            </w:r>
            <w:r w:rsidRPr="00F4026E">
              <w:t>ute to evidence on which competency is deemed. In these cases the alignment of outcomes of vendor training with performance criteria and critical aspects of evidence shall be clearly identified</w:t>
            </w:r>
          </w:p>
        </w:tc>
      </w:tr>
    </w:tbl>
    <w:p w:rsidR="00000000" w:rsidRPr="00F4026E" w:rsidP="00F4026E">
      <w:pPr>
        <w:pStyle w:val="BodyText"/>
      </w:pPr>
    </w:p>
    <w:tbl>
      <w:tblPr>
        <w:tblW w:w="0" w:type="auto"/>
        <w:tblLayout w:type="fixed"/>
        <w:tblCellMar>
          <w:left w:w="62" w:type="dxa"/>
          <w:right w:w="62" w:type="dxa"/>
        </w:tblCellMar>
        <w:tblLook w:val="0000"/>
      </w:tblPr>
      <w:tblGrid>
        <w:gridCol w:w="1890"/>
        <w:gridCol w:w="6570"/>
      </w:tblGrid>
      <w:tr w:rsidTr="00473E0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9.3)</w:t>
            </w:r>
          </w:p>
        </w:tc>
      </w:tr>
      <w:tr w:rsidTr="00473E0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This</w:t>
            </w:r>
            <w:r w:rsidRPr="00F4026E">
              <w:t xml:space="preserve"> unit should be assessed as it relates to normal work practice using procedures, information and resources typical of a workplace. This should include:</w:t>
            </w:r>
          </w:p>
          <w:p w:rsidR="00000000" w:rsidRPr="00F4026E" w:rsidP="00F4026E">
            <w:pPr>
              <w:pStyle w:val="BodyText"/>
            </w:pPr>
            <w:r w:rsidRPr="00F4026E">
              <w:t>OHS policy and work procedures and instructions.</w:t>
            </w:r>
          </w:p>
          <w:p w:rsidR="00000000" w:rsidRPr="00F4026E" w:rsidP="00F4026E">
            <w:pPr>
              <w:pStyle w:val="BodyText"/>
            </w:pPr>
            <w:r w:rsidRPr="00F4026E">
              <w:t>Suitable work environment, facilities, equipment and ma</w:t>
            </w:r>
            <w:r w:rsidRPr="00F4026E">
              <w:t>terials to undertake actual work as prescribed by this unit.</w:t>
            </w:r>
          </w:p>
          <w:p w:rsidR="00000000" w:rsidRPr="00F4026E" w:rsidP="00F4026E">
            <w:pPr>
              <w:pStyle w:val="BodyText"/>
            </w:pPr>
            <w:r w:rsidRPr="00F4026E">
              <w:t>These should be part of the formal learning/assessment environment.</w:t>
            </w:r>
          </w:p>
          <w:p w:rsidR="00000000" w:rsidRPr="00F4026E" w:rsidP="00F4026E">
            <w:pPr>
              <w:pStyle w:val="BodyText"/>
            </w:pPr>
            <w:r w:rsidRPr="00F4026E">
              <w:t>Note:</w:t>
            </w:r>
          </w:p>
          <w:p w:rsidR="00000000" w:rsidRPr="00F4026E" w:rsidP="00F4026E">
            <w:pPr>
              <w:pStyle w:val="BodyText"/>
            </w:pPr>
            <w:r w:rsidRPr="00F4026E">
              <w:t>Where simulation is considered a suitable strategy for assessment, conditions must be authentic and as far as possible re</w:t>
            </w:r>
            <w:r w:rsidRPr="00F4026E">
              <w:t>produce and replicate the workplace and be consistent with the approved industry simulation policy.</w:t>
            </w:r>
          </w:p>
          <w:p w:rsidR="00000000" w:rsidRPr="00F4026E" w:rsidP="00F4026E">
            <w:pPr>
              <w:pStyle w:val="BodyText"/>
            </w:pPr>
            <w:r w:rsidRPr="00F4026E">
              <w:t>The resources used for assessment should reflect current industry practices in relation to repairing mechanical components of electrical machines.</w:t>
            </w:r>
          </w:p>
        </w:tc>
      </w:tr>
    </w:tbl>
    <w:p w:rsidR="00000000" w:rsidRPr="00F4026E" w:rsidP="00F4026E">
      <w:pPr>
        <w:pStyle w:val="BodyText"/>
      </w:pPr>
    </w:p>
    <w:tbl>
      <w:tblPr>
        <w:tblW w:w="0" w:type="auto"/>
        <w:tblLayout w:type="fixed"/>
        <w:tblCellMar>
          <w:left w:w="62" w:type="dxa"/>
          <w:right w:w="62" w:type="dxa"/>
        </w:tblCellMar>
        <w:tblLook w:val="0000"/>
      </w:tblPr>
      <w:tblGrid>
        <w:gridCol w:w="1890"/>
        <w:gridCol w:w="6570"/>
      </w:tblGrid>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9.4)</w:t>
            </w:r>
          </w:p>
        </w:tc>
      </w:tr>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This unit shall be assessed by methods given in Volume 1, Part 3 ‘Assessment Guidelines’.</w:t>
            </w:r>
          </w:p>
          <w:p w:rsidR="00000000" w:rsidRPr="00F4026E" w:rsidP="00F4026E">
            <w:pPr>
              <w:pStyle w:val="BodyText"/>
            </w:pPr>
            <w:r w:rsidRPr="00F4026E">
              <w:t xml:space="preserve">Note: </w:t>
            </w:r>
          </w:p>
          <w:p w:rsidR="00000000" w:rsidRPr="00F4026E" w:rsidP="00F4026E">
            <w:pPr>
              <w:pStyle w:val="BodyText"/>
            </w:pPr>
            <w:r w:rsidRPr="00F4026E">
              <w:t>Competent performance with inherent safe working practices is expected in the industry to which this unit applies. This requires as</w:t>
            </w:r>
            <w:r w:rsidRPr="00F4026E">
              <w:t>sessment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F4026E" w:rsidP="00F4026E">
      <w:pPr>
        <w:pStyle w:val="BodyText"/>
      </w:pPr>
    </w:p>
    <w:tbl>
      <w:tblPr>
        <w:tblW w:w="0" w:type="auto"/>
        <w:tblLayout w:type="fixed"/>
        <w:tblCellMar>
          <w:left w:w="62" w:type="dxa"/>
          <w:right w:w="62" w:type="dxa"/>
        </w:tblCellMar>
        <w:tblLook w:val="0000"/>
      </w:tblPr>
      <w:tblGrid>
        <w:gridCol w:w="1890"/>
        <w:gridCol w:w="6570"/>
      </w:tblGrid>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Concurrent</w:t>
            </w:r>
            <w:r w:rsidRPr="00F4026E">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9.5)</w:t>
            </w:r>
          </w:p>
        </w:tc>
      </w:tr>
      <w:tr w:rsidTr="00473E0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There are no concurrent assessment recommendations for this unit.</w:t>
            </w:r>
          </w:p>
          <w:p w:rsidR="00000000" w:rsidRPr="00F4026E" w:rsidP="00F4026E">
            <w:pPr>
              <w:pStyle w:val="BodyText"/>
            </w:pPr>
            <w:r w:rsidRPr="00F4026E">
              <w:t>The critical aspects of occupational health and safety covered in unit UEENEEE101A and other discipline specific occupational health and safety units shall be incorporated in relation to this unit.</w:t>
            </w: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11" w:name="O_586309"/>
      <w:bookmarkEnd w:id="11"/>
      <w:r w:rsidRPr="00F4026E">
        <w:t>Range Statement</w:t>
      </w:r>
    </w:p>
    <w:tbl>
      <w:tblPr>
        <w:tblW w:w="0" w:type="auto"/>
        <w:tblLayout w:type="fixed"/>
        <w:tblCellMar>
          <w:left w:w="62" w:type="dxa"/>
          <w:right w:w="62" w:type="dxa"/>
        </w:tblCellMar>
        <w:tblLook w:val="0000"/>
      </w:tblPr>
      <w:tblGrid>
        <w:gridCol w:w="8460"/>
      </w:tblGrid>
      <w:tr w:rsidTr="00473E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RANGE STATEMENT</w:t>
            </w:r>
          </w:p>
        </w:tc>
      </w:tr>
      <w:tr w:rsidTr="00473E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10)</w:t>
            </w:r>
            <w:r w:rsidRPr="00F4026E">
              <w:t xml:space="preserve"> Th</w:t>
            </w:r>
            <w:r w:rsidRPr="00F4026E">
              <w:t>is relates to the unit as a whole providing the range of contexts and conditions to which the performance criteria apply. It allows for different work environments and situations that will affect performance.</w:t>
            </w:r>
          </w:p>
          <w:p w:rsidR="00000000" w:rsidRPr="00F4026E" w:rsidP="00F4026E">
            <w:pPr>
              <w:pStyle w:val="BodyText"/>
            </w:pPr>
            <w:r w:rsidRPr="00F4026E">
              <w:t xml:space="preserve">This unit shall be demonstrated in relation to </w:t>
            </w:r>
            <w:r w:rsidRPr="00F4026E">
              <w:t>repairs and maintenance of at least two of the following electrical machine components:</w:t>
            </w:r>
          </w:p>
          <w:p w:rsidR="00000000" w:rsidRPr="00F4026E" w:rsidP="00F4026E">
            <w:pPr>
              <w:pStyle w:val="ListBullet3"/>
            </w:pPr>
            <w:r w:rsidRPr="00F4026E">
              <w:t>Shaft</w:t>
            </w:r>
          </w:p>
          <w:p w:rsidR="00000000" w:rsidRPr="00F4026E" w:rsidP="00F4026E">
            <w:pPr>
              <w:pStyle w:val="ListBullet3"/>
            </w:pPr>
            <w:r w:rsidRPr="00F4026E">
              <w:t>Bearing housing</w:t>
            </w:r>
          </w:p>
          <w:p w:rsidR="00000000" w:rsidRPr="00F4026E" w:rsidP="00F4026E">
            <w:pPr>
              <w:pStyle w:val="ListBullet3"/>
            </w:pPr>
            <w:r w:rsidRPr="00F4026E">
              <w:t>End shield</w:t>
            </w:r>
          </w:p>
          <w:p w:rsidR="00000000" w:rsidRPr="00F4026E" w:rsidP="00F4026E">
            <w:pPr>
              <w:pStyle w:val="ListBullet3"/>
            </w:pPr>
            <w:r w:rsidRPr="00F4026E">
              <w:t>Fan</w:t>
            </w:r>
          </w:p>
          <w:p w:rsidR="00000000" w:rsidRPr="00F4026E" w:rsidP="00F4026E">
            <w:pPr>
              <w:pStyle w:val="ListBullet3"/>
            </w:pPr>
            <w:r w:rsidRPr="00F4026E">
              <w:t>Coupling</w:t>
            </w:r>
          </w:p>
          <w:p w:rsidR="00000000" w:rsidRPr="00F4026E" w:rsidP="00F4026E">
            <w:pPr>
              <w:pStyle w:val="ListBullet3"/>
            </w:pPr>
            <w:r w:rsidRPr="00F4026E">
              <w:t>Machine housing</w:t>
            </w:r>
          </w:p>
          <w:p w:rsidR="00000000" w:rsidRPr="00F4026E" w:rsidP="00F4026E">
            <w:pPr>
              <w:pStyle w:val="BodyText"/>
            </w:pPr>
            <w:r w:rsidRPr="00F4026E">
              <w:t>Generic terms used throughout this Vocational Standard shall b</w:t>
            </w:r>
            <w:r w:rsidRPr="00F4026E">
              <w:t>e regarded as part of the Range Statement in which competency is demonstrated. The definition of these and other terms that apply are given in Volume 2, Part 2.1.</w:t>
            </w:r>
          </w:p>
          <w:p w:rsidR="00000000" w:rsidRPr="00F4026E" w:rsidP="00F4026E">
            <w:pPr>
              <w:pStyle w:val="BodyText"/>
            </w:pPr>
          </w:p>
        </w:tc>
      </w:tr>
    </w:tbl>
    <w:p w:rsidR="00000000" w:rsidRPr="00F4026E" w:rsidP="00F4026E">
      <w:pPr>
        <w:pStyle w:val="BodyText"/>
      </w:pPr>
    </w:p>
    <w:p w:rsidR="00000000" w:rsidRPr="00F4026E" w:rsidP="00F4026E">
      <w:pPr>
        <w:pStyle w:val="AllowPageBreak"/>
      </w:pPr>
    </w:p>
    <w:p w:rsidR="00000000" w:rsidRPr="00F4026E" w:rsidP="00F4026E">
      <w:pPr>
        <w:pStyle w:val="Heading1"/>
      </w:pPr>
      <w:bookmarkStart w:id="12" w:name="O_586308"/>
      <w:bookmarkEnd w:id="12"/>
      <w:r w:rsidRPr="00F4026E">
        <w:t>Unit Sector(s)</w:t>
      </w:r>
    </w:p>
    <w:p w:rsidR="00000000" w:rsidRPr="00F4026E" w:rsidP="00F4026E">
      <w:pPr>
        <w:pStyle w:val="BodyText"/>
      </w:pPr>
      <w:r w:rsidRPr="00F4026E">
        <w:t>Not applicable.</w:t>
      </w:r>
    </w:p>
    <w:p w:rsidR="00000000" w:rsidRPr="00F4026E" w:rsidP="00F4026E">
      <w:pPr>
        <w:pStyle w:val="AllowPageBreak"/>
      </w:pPr>
    </w:p>
    <w:p w:rsidR="00000000" w:rsidRPr="00F4026E" w:rsidP="00F4026E">
      <w:pPr>
        <w:pStyle w:val="Heading1"/>
      </w:pPr>
      <w:bookmarkStart w:id="13" w:name="O_586307"/>
      <w:bookmarkEnd w:id="13"/>
      <w:r w:rsidRPr="00F4026E">
        <w:t>Competency Field</w:t>
      </w:r>
    </w:p>
    <w:tbl>
      <w:tblPr>
        <w:tblW w:w="0" w:type="auto"/>
        <w:tblLayout w:type="fixed"/>
        <w:tblCellMar>
          <w:left w:w="62" w:type="dxa"/>
          <w:right w:w="62" w:type="dxa"/>
        </w:tblCellMar>
        <w:tblLook w:val="0000"/>
      </w:tblPr>
      <w:tblGrid>
        <w:gridCol w:w="2700"/>
        <w:gridCol w:w="5760"/>
      </w:tblGrid>
      <w:tr w:rsidTr="00473E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026E">
            <w:pPr>
              <w:pStyle w:val="BodyText"/>
              <w:rPr>
                <w:lang w:val="en-NZ"/>
              </w:rPr>
            </w:pPr>
            <w:r w:rsidRPr="00F4026E">
              <w:rPr>
                <w:rStyle w:val="SpecialBold"/>
              </w:rPr>
              <w:t xml:space="preserve">11) </w:t>
            </w:r>
          </w:p>
        </w:tc>
      </w:tr>
      <w:tr w:rsidTr="00473E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026E" w:rsidP="00F4026E">
            <w:pPr>
              <w:pStyle w:val="BodyText"/>
            </w:pPr>
            <w:r w:rsidRPr="00F4026E">
              <w:t>Electrical</w:t>
            </w:r>
          </w:p>
        </w:tc>
      </w:tr>
    </w:tbl>
    <w:p w:rsidR="00000000" w:rsidRPr="00F4026E" w:rsidP="00F4026E">
      <w:pPr>
        <w:pStyle w:val="BodyText"/>
      </w:pPr>
    </w:p>
    <w:p w:rsidR="00000000" w:rsidRPr="00F4026E" w:rsidP="00F4026E"/>
    <w:sectPr w:rsidSect="00F40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rsidRPr="00473E07" w:rsidP="00473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07" w:rsidP="00F40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3E07" w:rsidP="00F402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73E07" w:rsidP="00F40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rsidRPr="00473E07" w:rsidP="00473E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E07" w:rsidRPr="002D2AF8" w:rsidP="00F4026E">
    <w:pPr>
      <w:pStyle w:val="Header"/>
      <w:framePr w:wrap="around"/>
    </w:pPr>
    <w:r>
      <w:fldChar w:fldCharType="begin"/>
    </w:r>
    <w:r>
      <w:instrText xml:space="preserve"> TITLE   \* MERGEFORMAT </w:instrText>
    </w:r>
    <w:r>
      <w:fldChar w:fldCharType="separate"/>
    </w:r>
    <w:r>
      <w:t>UEENEEG164A Repair and maintain mechanical components of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73E07" w:rsidP="00F40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8A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AB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0A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26E"/>
    <w:pPr>
      <w:spacing w:before="360" w:after="60"/>
      <w:outlineLvl w:val="0"/>
    </w:pPr>
    <w:rPr>
      <w:sz w:val="32"/>
    </w:rPr>
  </w:style>
  <w:style w:type="paragraph" w:styleId="Heading2">
    <w:name w:val="heading 2"/>
    <w:basedOn w:val="HeadingBase"/>
    <w:next w:val="BodyText"/>
    <w:link w:val="Heading2Char"/>
    <w:qFormat/>
    <w:rsid w:val="00F4026E"/>
    <w:pPr>
      <w:keepLines/>
      <w:spacing w:before="240" w:after="120"/>
      <w:outlineLvl w:val="1"/>
    </w:pPr>
    <w:rPr>
      <w:sz w:val="28"/>
      <w:szCs w:val="40"/>
    </w:rPr>
  </w:style>
  <w:style w:type="paragraph" w:styleId="Heading3">
    <w:name w:val="heading 3"/>
    <w:basedOn w:val="HeadingBase"/>
    <w:next w:val="BodyText"/>
    <w:link w:val="Heading3Char"/>
    <w:qFormat/>
    <w:rsid w:val="00F4026E"/>
    <w:pPr>
      <w:spacing w:before="180" w:after="120"/>
      <w:outlineLvl w:val="2"/>
    </w:pPr>
    <w:rPr>
      <w:spacing w:val="-10"/>
      <w:kern w:val="32"/>
    </w:rPr>
  </w:style>
  <w:style w:type="paragraph" w:styleId="Heading4">
    <w:name w:val="heading 4"/>
    <w:basedOn w:val="HeadingBase"/>
    <w:next w:val="BodyText"/>
    <w:link w:val="Heading4Char"/>
    <w:qFormat/>
    <w:rsid w:val="00F4026E"/>
    <w:pPr>
      <w:spacing w:before="160" w:after="120"/>
      <w:outlineLvl w:val="3"/>
    </w:pPr>
    <w:rPr>
      <w:sz w:val="22"/>
    </w:rPr>
  </w:style>
  <w:style w:type="paragraph" w:styleId="Heading5">
    <w:name w:val="heading 5"/>
    <w:basedOn w:val="HeadingBase"/>
    <w:next w:val="Normal"/>
    <w:link w:val="Heading5Char"/>
    <w:qFormat/>
    <w:rsid w:val="00F4026E"/>
    <w:pPr>
      <w:spacing w:before="80"/>
      <w:outlineLvl w:val="4"/>
    </w:pPr>
    <w:rPr>
      <w:color w:val="918585"/>
      <w:sz w:val="20"/>
    </w:rPr>
  </w:style>
  <w:style w:type="paragraph" w:styleId="Heading6">
    <w:name w:val="heading 6"/>
    <w:basedOn w:val="HeadingBase"/>
    <w:next w:val="Normal"/>
    <w:link w:val="Heading6Char"/>
    <w:qFormat/>
    <w:rsid w:val="00F4026E"/>
    <w:pPr>
      <w:spacing w:before="60"/>
      <w:outlineLvl w:val="5"/>
    </w:pPr>
    <w:rPr>
      <w:color w:val="918585"/>
      <w:sz w:val="20"/>
    </w:rPr>
  </w:style>
  <w:style w:type="paragraph" w:styleId="Heading7">
    <w:name w:val="heading 7"/>
    <w:basedOn w:val="Normal"/>
    <w:next w:val="Normal"/>
    <w:link w:val="Heading7Char"/>
    <w:qFormat/>
    <w:rsid w:val="00F4026E"/>
    <w:pPr>
      <w:ind w:left="720"/>
      <w:outlineLvl w:val="6"/>
    </w:pPr>
    <w:rPr>
      <w:i/>
    </w:rPr>
  </w:style>
  <w:style w:type="paragraph" w:styleId="Heading8">
    <w:name w:val="heading 8"/>
    <w:basedOn w:val="Normal"/>
    <w:next w:val="Normal"/>
    <w:link w:val="Heading8Char"/>
    <w:qFormat/>
    <w:rsid w:val="00F4026E"/>
    <w:pPr>
      <w:ind w:left="720"/>
      <w:outlineLvl w:val="7"/>
    </w:pPr>
    <w:rPr>
      <w:i/>
    </w:rPr>
  </w:style>
  <w:style w:type="paragraph" w:styleId="Heading9">
    <w:name w:val="heading 9"/>
    <w:basedOn w:val="Normal"/>
    <w:next w:val="Normal"/>
    <w:link w:val="Heading9Char"/>
    <w:qFormat/>
    <w:rsid w:val="00F4026E"/>
    <w:pPr>
      <w:ind w:left="720"/>
      <w:outlineLvl w:val="8"/>
    </w:pPr>
    <w:rPr>
      <w:i/>
    </w:rPr>
  </w:style>
  <w:style w:type="character" w:default="1" w:styleId="DefaultParagraphFont">
    <w:name w:val="Default Paragraph Font"/>
    <w:uiPriority w:val="1"/>
    <w:unhideWhenUsed/>
    <w:rsid w:val="00F4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26E"/>
  </w:style>
  <w:style w:type="character" w:customStyle="1" w:styleId="Heading1Char">
    <w:name w:val="Heading 1 Char"/>
    <w:basedOn w:val="DefaultParagraphFont"/>
    <w:link w:val="Heading1"/>
    <w:rsid w:val="00F4026E"/>
    <w:rPr>
      <w:rFonts w:ascii="Times New Roman" w:eastAsia="Times New Roman" w:hAnsi="Times New Roman" w:cs="Times New Roman"/>
      <w:b/>
      <w:sz w:val="32"/>
      <w:szCs w:val="20"/>
      <w:lang w:eastAsia="en-US"/>
    </w:rPr>
  </w:style>
  <w:style w:type="paragraph" w:styleId="BodyText">
    <w:name w:val="Body Text"/>
    <w:basedOn w:val="Normal"/>
    <w:link w:val="BodyTextChar"/>
    <w:rsid w:val="00F40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26E"/>
    <w:rPr>
      <w:rFonts w:ascii="Times New Roman" w:eastAsia="Times New Roman" w:hAnsi="Times New Roman" w:cs="Times New Roman"/>
      <w:sz w:val="24"/>
      <w:lang w:eastAsia="en-US"/>
    </w:rPr>
  </w:style>
  <w:style w:type="paragraph" w:styleId="ListBullet">
    <w:name w:val="List Bullet"/>
    <w:basedOn w:val="List"/>
    <w:rsid w:val="00F4026E"/>
    <w:pPr>
      <w:numPr>
        <w:numId w:val="14"/>
      </w:numPr>
      <w:tabs>
        <w:tab w:val="clear" w:pos="340"/>
      </w:tabs>
      <w:spacing w:before="40" w:after="40"/>
    </w:pPr>
  </w:style>
  <w:style w:type="character" w:customStyle="1" w:styleId="SpecialBold">
    <w:name w:val="Special Bold"/>
    <w:basedOn w:val="DefaultParagraphFont"/>
    <w:rsid w:val="00F4026E"/>
    <w:rPr>
      <w:b/>
      <w:spacing w:val="0"/>
    </w:rPr>
  </w:style>
  <w:style w:type="paragraph" w:styleId="ListBullet2">
    <w:name w:val="List Bullet 2"/>
    <w:basedOn w:val="List2"/>
    <w:rsid w:val="00F4026E"/>
    <w:pPr>
      <w:numPr>
        <w:numId w:val="15"/>
      </w:numPr>
      <w:tabs>
        <w:tab w:val="clear" w:pos="680"/>
      </w:tabs>
    </w:pPr>
  </w:style>
  <w:style w:type="paragraph" w:customStyle="1" w:styleId="SuperHeading">
    <w:name w:val="SuperHeading"/>
    <w:basedOn w:val="Normal"/>
    <w:rsid w:val="00F4026E"/>
    <w:pPr>
      <w:spacing w:before="240" w:after="120"/>
      <w:outlineLvl w:val="0"/>
    </w:pPr>
    <w:rPr>
      <w:rFonts w:ascii="Times New Roman" w:hAnsi="Times New Roman"/>
      <w:b/>
      <w:sz w:val="32"/>
    </w:rPr>
  </w:style>
  <w:style w:type="paragraph" w:customStyle="1" w:styleId="AllowPageBreak">
    <w:name w:val="AllowPageBreak"/>
    <w:rsid w:val="00F402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026E"/>
    <w:pPr>
      <w:numPr>
        <w:numId w:val="3"/>
      </w:numPr>
      <w:tabs>
        <w:tab w:val="clear" w:pos="1021"/>
      </w:tabs>
      <w:ind w:left="1037" w:hanging="357"/>
    </w:pPr>
  </w:style>
  <w:style w:type="character" w:customStyle="1" w:styleId="Heading2Char">
    <w:name w:val="Heading 2 Char"/>
    <w:basedOn w:val="DefaultParagraphFont"/>
    <w:link w:val="Heading2"/>
    <w:rsid w:val="00F40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26E"/>
    <w:rPr>
      <w:rFonts w:ascii="Courier New" w:eastAsia="Times New Roman" w:hAnsi="Courier New" w:cs="Times New Roman"/>
      <w:i/>
      <w:szCs w:val="20"/>
      <w:lang w:eastAsia="en-US"/>
    </w:rPr>
  </w:style>
  <w:style w:type="paragraph" w:customStyle="1" w:styleId="HeadingBase">
    <w:name w:val="Heading Base"/>
    <w:rsid w:val="00F40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26E"/>
    <w:pPr>
      <w:tabs>
        <w:tab w:val="right" w:leader="dot" w:pos="9072"/>
      </w:tabs>
      <w:ind w:left="567"/>
    </w:pPr>
    <w:rPr>
      <w:szCs w:val="22"/>
    </w:rPr>
  </w:style>
  <w:style w:type="paragraph" w:customStyle="1" w:styleId="TOCBase">
    <w:name w:val="TOC Base"/>
    <w:rsid w:val="00F40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26E"/>
    <w:pPr>
      <w:tabs>
        <w:tab w:val="right" w:leader="dot" w:pos="9072"/>
      </w:tabs>
      <w:spacing w:before="40" w:after="40"/>
      <w:ind w:left="284"/>
    </w:pPr>
    <w:rPr>
      <w:rFonts w:ascii="Times New Roman" w:hAnsi="Times New Roman"/>
    </w:rPr>
  </w:style>
  <w:style w:type="paragraph" w:styleId="TOC1">
    <w:name w:val="toc 1"/>
    <w:basedOn w:val="TOCBase"/>
    <w:next w:val="Normal"/>
    <w:rsid w:val="00F40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26E"/>
    <w:rPr>
      <w:rFonts w:ascii="Times New Roman" w:eastAsia="Times New Roman" w:hAnsi="Times New Roman" w:cs="Times New Roman"/>
      <w:sz w:val="16"/>
      <w:lang w:eastAsia="en-US"/>
    </w:rPr>
  </w:style>
  <w:style w:type="paragraph" w:styleId="Title">
    <w:name w:val="Title"/>
    <w:basedOn w:val="HeadingBase"/>
    <w:link w:val="TitleChar"/>
    <w:qFormat/>
    <w:rsid w:val="00F4026E"/>
    <w:pPr>
      <w:spacing w:before="5040"/>
      <w:jc w:val="center"/>
    </w:pPr>
    <w:rPr>
      <w:sz w:val="48"/>
      <w:szCs w:val="72"/>
      <w:lang w:val="en-US"/>
    </w:rPr>
  </w:style>
  <w:style w:type="character" w:customStyle="1" w:styleId="TitleChar">
    <w:name w:val="Title Char"/>
    <w:basedOn w:val="DefaultParagraphFont"/>
    <w:link w:val="Title"/>
    <w:rsid w:val="00F40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26E"/>
    <w:pPr>
      <w:tabs>
        <w:tab w:val="left" w:pos="3600"/>
        <w:tab w:val="left" w:pos="3958"/>
      </w:tabs>
    </w:pPr>
  </w:style>
  <w:style w:type="paragraph" w:styleId="List">
    <w:name w:val="List"/>
    <w:basedOn w:val="BodyText"/>
    <w:next w:val="BodyText"/>
    <w:rsid w:val="00F4026E"/>
    <w:pPr>
      <w:tabs>
        <w:tab w:val="left" w:pos="340"/>
      </w:tabs>
      <w:spacing w:before="60" w:after="60"/>
      <w:ind w:left="340" w:hanging="340"/>
    </w:pPr>
  </w:style>
  <w:style w:type="paragraph" w:customStyle="1" w:styleId="Note">
    <w:name w:val="Note"/>
    <w:basedOn w:val="BodyText"/>
    <w:rsid w:val="00F40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26E"/>
    <w:pPr>
      <w:framePr w:wrap="auto" w:hAnchor="text" w:y="6049"/>
    </w:pPr>
    <w:rPr>
      <w:color w:val="000000"/>
      <w:sz w:val="40"/>
    </w:rPr>
  </w:style>
  <w:style w:type="paragraph" w:customStyle="1" w:styleId="TOCTitle">
    <w:name w:val="TOCTitle"/>
    <w:basedOn w:val="Heading1"/>
    <w:rsid w:val="00F4026E"/>
    <w:pPr>
      <w:spacing w:after="240"/>
      <w:jc w:val="center"/>
      <w:outlineLvl w:val="9"/>
    </w:pPr>
    <w:rPr>
      <w:caps/>
    </w:rPr>
  </w:style>
  <w:style w:type="paragraph" w:customStyle="1" w:styleId="Version">
    <w:name w:val="Version"/>
    <w:rsid w:val="00F40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26E"/>
    <w:pPr>
      <w:keepNext w:val="0"/>
      <w:tabs>
        <w:tab w:val="right" w:pos="4176"/>
      </w:tabs>
      <w:ind w:left="198" w:hanging="198"/>
    </w:pPr>
    <w:rPr>
      <w:rFonts w:ascii="Garamond" w:hAnsi="Garamond"/>
    </w:rPr>
  </w:style>
  <w:style w:type="paragraph" w:styleId="IndexHeading">
    <w:name w:val="index heading"/>
    <w:basedOn w:val="Normal"/>
    <w:next w:val="Index1"/>
    <w:semiHidden/>
    <w:rsid w:val="00F4026E"/>
    <w:pPr>
      <w:spacing w:before="120" w:after="120"/>
    </w:pPr>
    <w:rPr>
      <w:rFonts w:ascii="Arial" w:hAnsi="Arial"/>
      <w:b/>
      <w:color w:val="918585"/>
      <w:sz w:val="24"/>
    </w:rPr>
  </w:style>
  <w:style w:type="paragraph" w:styleId="Header">
    <w:name w:val="header"/>
    <w:basedOn w:val="Normal"/>
    <w:link w:val="HeaderChar"/>
    <w:rsid w:val="00F40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26E"/>
    <w:rPr>
      <w:rFonts w:ascii="Times New Roman" w:eastAsia="Times New Roman" w:hAnsi="Times New Roman" w:cs="Times New Roman"/>
      <w:sz w:val="16"/>
      <w:szCs w:val="20"/>
      <w:lang w:val="en-GB" w:eastAsia="en-US"/>
    </w:rPr>
  </w:style>
  <w:style w:type="paragraph" w:customStyle="1" w:styleId="Chapter">
    <w:name w:val="Chapter"/>
    <w:basedOn w:val="Normal"/>
    <w:rsid w:val="00F4026E"/>
    <w:pPr>
      <w:spacing w:before="240"/>
    </w:pPr>
    <w:rPr>
      <w:rFonts w:ascii="Times New Roman" w:hAnsi="Times New Roman"/>
      <w:smallCaps/>
      <w:spacing w:val="80"/>
      <w:sz w:val="28"/>
    </w:rPr>
  </w:style>
  <w:style w:type="paragraph" w:customStyle="1" w:styleId="InChapter">
    <w:name w:val="InChapter"/>
    <w:basedOn w:val="Heading3"/>
    <w:rsid w:val="00F4026E"/>
    <w:pPr>
      <w:spacing w:after="240"/>
      <w:outlineLvl w:val="9"/>
    </w:pPr>
    <w:rPr>
      <w:noProof/>
    </w:rPr>
  </w:style>
  <w:style w:type="paragraph" w:styleId="Index2">
    <w:name w:val="index 2"/>
    <w:basedOn w:val="Normal"/>
    <w:next w:val="Normal"/>
    <w:semiHidden/>
    <w:rsid w:val="00F4026E"/>
    <w:pPr>
      <w:tabs>
        <w:tab w:val="right" w:pos="4176"/>
      </w:tabs>
      <w:ind w:left="568" w:hanging="284"/>
    </w:pPr>
    <w:rPr>
      <w:rFonts w:ascii="Garamond" w:hAnsi="Garamond"/>
    </w:rPr>
  </w:style>
  <w:style w:type="paragraph" w:customStyle="1" w:styleId="Byline">
    <w:name w:val="Byline"/>
    <w:rsid w:val="00F40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26E"/>
    <w:pPr>
      <w:tabs>
        <w:tab w:val="clear" w:pos="3600"/>
        <w:tab w:val="clear" w:pos="3958"/>
      </w:tabs>
      <w:jc w:val="right"/>
    </w:pPr>
  </w:style>
  <w:style w:type="character" w:styleId="Emphasis">
    <w:name w:val="Emphasis"/>
    <w:basedOn w:val="DefaultParagraphFont"/>
    <w:qFormat/>
    <w:rsid w:val="00F4026E"/>
    <w:rPr>
      <w:i/>
    </w:rPr>
  </w:style>
  <w:style w:type="paragraph" w:styleId="Caption">
    <w:name w:val="caption"/>
    <w:basedOn w:val="BodyText"/>
    <w:next w:val="Normal"/>
    <w:qFormat/>
    <w:rsid w:val="00F4026E"/>
    <w:pPr>
      <w:framePr w:w="2268" w:hSpace="181" w:vSpace="181" w:wrap="around" w:vAnchor="text" w:hAnchor="page" w:x="1135" w:y="285" w:anchorLock="1"/>
    </w:pPr>
    <w:rPr>
      <w:i/>
    </w:rPr>
  </w:style>
  <w:style w:type="paragraph" w:customStyle="1" w:styleId="MiniTOCTitle">
    <w:name w:val="MiniTOCTitle"/>
    <w:basedOn w:val="Heading4"/>
    <w:rsid w:val="00F4026E"/>
    <w:pPr>
      <w:spacing w:before="240"/>
      <w:outlineLvl w:val="9"/>
    </w:pPr>
    <w:rPr>
      <w:noProof/>
      <w:sz w:val="24"/>
    </w:rPr>
  </w:style>
  <w:style w:type="paragraph" w:customStyle="1" w:styleId="MiniTOCItem">
    <w:name w:val="MiniTOCItem"/>
    <w:basedOn w:val="ListBullet"/>
    <w:rsid w:val="00F4026E"/>
    <w:pPr>
      <w:numPr>
        <w:numId w:val="0"/>
      </w:numPr>
      <w:tabs>
        <w:tab w:val="right" w:leader="dot" w:pos="6521"/>
      </w:tabs>
      <w:spacing w:before="0" w:after="0"/>
    </w:pPr>
  </w:style>
  <w:style w:type="paragraph" w:customStyle="1" w:styleId="TOFTitle">
    <w:name w:val="TOFTitle"/>
    <w:basedOn w:val="TOCTitle"/>
    <w:rsid w:val="00F4026E"/>
  </w:style>
  <w:style w:type="paragraph" w:styleId="TableofFigures">
    <w:name w:val="table of figures"/>
    <w:basedOn w:val="Normal"/>
    <w:next w:val="Normal"/>
    <w:semiHidden/>
    <w:rsid w:val="00F4026E"/>
    <w:pPr>
      <w:tabs>
        <w:tab w:val="right" w:leader="dot" w:pos="9072"/>
      </w:tabs>
      <w:ind w:left="970" w:hanging="403"/>
    </w:pPr>
    <w:rPr>
      <w:rFonts w:ascii="Times New Roman" w:hAnsi="Times New Roman"/>
      <w:b/>
    </w:rPr>
  </w:style>
  <w:style w:type="paragraph" w:styleId="ListNumber">
    <w:name w:val="List Number"/>
    <w:basedOn w:val="List"/>
    <w:rsid w:val="00F4026E"/>
    <w:pPr>
      <w:numPr>
        <w:numId w:val="12"/>
      </w:numPr>
    </w:pPr>
  </w:style>
  <w:style w:type="character" w:customStyle="1" w:styleId="WingdingSymbols">
    <w:name w:val="Wingding Symbols"/>
    <w:rsid w:val="00F4026E"/>
    <w:rPr>
      <w:rFonts w:ascii="Wingdings" w:hAnsi="Wingdings"/>
    </w:rPr>
  </w:style>
  <w:style w:type="paragraph" w:customStyle="1" w:styleId="TableHeading">
    <w:name w:val="Table Heading"/>
    <w:basedOn w:val="HeadingBase"/>
    <w:rsid w:val="00F4026E"/>
    <w:pPr>
      <w:keepLines/>
      <w:pBdr>
        <w:bottom w:val="single" w:sz="6" w:space="1" w:color="918585"/>
      </w:pBdr>
      <w:spacing w:before="240"/>
    </w:pPr>
  </w:style>
  <w:style w:type="character" w:customStyle="1" w:styleId="HotSpot">
    <w:name w:val="HotSpot"/>
    <w:rsid w:val="00F4026E"/>
    <w:rPr>
      <w:color w:val="0033CC"/>
      <w:u w:val="none"/>
    </w:rPr>
  </w:style>
  <w:style w:type="paragraph" w:customStyle="1" w:styleId="BodyTextRight">
    <w:name w:val="Body Text Right"/>
    <w:basedOn w:val="BodyText"/>
    <w:rsid w:val="00F4026E"/>
    <w:pPr>
      <w:spacing w:before="0" w:after="0"/>
      <w:jc w:val="right"/>
    </w:pPr>
  </w:style>
  <w:style w:type="paragraph" w:styleId="Index3">
    <w:name w:val="index 3"/>
    <w:basedOn w:val="ListNumber2"/>
    <w:next w:val="Normal"/>
    <w:semiHidden/>
    <w:rsid w:val="00F4026E"/>
    <w:pPr>
      <w:numPr>
        <w:numId w:val="0"/>
      </w:numPr>
      <w:tabs>
        <w:tab w:val="right" w:leader="dot" w:pos="4176"/>
      </w:tabs>
    </w:pPr>
  </w:style>
  <w:style w:type="paragraph" w:styleId="ListNumber2">
    <w:name w:val="List Number 2"/>
    <w:basedOn w:val="List2"/>
    <w:rsid w:val="00F4026E"/>
    <w:pPr>
      <w:numPr>
        <w:numId w:val="11"/>
      </w:numPr>
      <w:tabs>
        <w:tab w:val="clear" w:pos="1060"/>
      </w:tabs>
    </w:pPr>
  </w:style>
  <w:style w:type="paragraph" w:customStyle="1" w:styleId="MarginNote">
    <w:name w:val="Margin Note"/>
    <w:basedOn w:val="BodyText"/>
    <w:rsid w:val="00F40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26E"/>
    <w:rPr>
      <w:sz w:val="32"/>
    </w:rPr>
  </w:style>
  <w:style w:type="paragraph" w:customStyle="1" w:styleId="HeadingProcedure">
    <w:name w:val="Heading Procedure"/>
    <w:basedOn w:val="HeadingBase"/>
    <w:next w:val="Normal"/>
    <w:rsid w:val="00F4026E"/>
    <w:pPr>
      <w:tabs>
        <w:tab w:val="left" w:pos="0"/>
      </w:tabs>
      <w:spacing w:before="120" w:after="60"/>
    </w:pPr>
    <w:rPr>
      <w:i/>
      <w:color w:val="918585"/>
      <w:sz w:val="22"/>
    </w:rPr>
  </w:style>
  <w:style w:type="paragraph" w:customStyle="1" w:styleId="TableBodyText">
    <w:name w:val="Table Body Text"/>
    <w:basedOn w:val="BodyText"/>
    <w:rsid w:val="00F4026E"/>
    <w:pPr>
      <w:spacing w:before="60" w:after="60"/>
    </w:pPr>
  </w:style>
  <w:style w:type="paragraph" w:styleId="ListContinue">
    <w:name w:val="List Continue"/>
    <w:basedOn w:val="List"/>
    <w:rsid w:val="00F4026E"/>
    <w:pPr>
      <w:ind w:firstLine="0"/>
    </w:pPr>
  </w:style>
  <w:style w:type="paragraph" w:customStyle="1" w:styleId="ListNote">
    <w:name w:val="List Note"/>
    <w:basedOn w:val="List"/>
    <w:rsid w:val="00F4026E"/>
    <w:pPr>
      <w:pBdr>
        <w:top w:val="single" w:sz="6" w:space="2" w:color="918585"/>
        <w:bottom w:val="single" w:sz="6" w:space="2" w:color="918585"/>
      </w:pBdr>
      <w:tabs>
        <w:tab w:val="left" w:pos="1021"/>
      </w:tabs>
      <w:ind w:firstLine="0"/>
    </w:pPr>
  </w:style>
  <w:style w:type="paragraph" w:customStyle="1" w:styleId="Warning">
    <w:name w:val="Warning"/>
    <w:basedOn w:val="BodyText"/>
    <w:rsid w:val="00F4026E"/>
    <w:pPr>
      <w:shd w:val="clear" w:color="auto" w:fill="D9D9D9"/>
      <w:tabs>
        <w:tab w:val="left" w:pos="992"/>
      </w:tabs>
      <w:ind w:left="119" w:right="119"/>
    </w:pPr>
    <w:rPr>
      <w:sz w:val="20"/>
    </w:rPr>
  </w:style>
  <w:style w:type="paragraph" w:customStyle="1" w:styleId="MarginIcons">
    <w:name w:val="Margin Icons"/>
    <w:basedOn w:val="BodyText"/>
    <w:rsid w:val="00F40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26E"/>
    <w:rPr>
      <w:rFonts w:ascii="Courier New" w:hAnsi="Courier New"/>
    </w:rPr>
  </w:style>
  <w:style w:type="paragraph" w:customStyle="1" w:styleId="NoteBullet">
    <w:name w:val="Note Bullet"/>
    <w:basedOn w:val="Note"/>
    <w:rsid w:val="00F4026E"/>
    <w:pPr>
      <w:tabs>
        <w:tab w:val="clear" w:pos="680"/>
      </w:tabs>
      <w:spacing w:before="60" w:after="60"/>
    </w:pPr>
  </w:style>
  <w:style w:type="paragraph" w:customStyle="1" w:styleId="SubHeading2">
    <w:name w:val="SubHeading2"/>
    <w:basedOn w:val="HeadingBase"/>
    <w:rsid w:val="00F4026E"/>
    <w:pPr>
      <w:spacing w:before="240" w:after="60"/>
    </w:pPr>
    <w:rPr>
      <w:sz w:val="20"/>
    </w:rPr>
  </w:style>
  <w:style w:type="paragraph" w:customStyle="1" w:styleId="SubHeading1">
    <w:name w:val="SubHeading1"/>
    <w:basedOn w:val="HeadingBase"/>
    <w:rsid w:val="00F4026E"/>
    <w:pPr>
      <w:spacing w:before="240" w:after="60"/>
    </w:pPr>
    <w:rPr>
      <w:color w:val="918585"/>
      <w:sz w:val="22"/>
    </w:rPr>
  </w:style>
  <w:style w:type="paragraph" w:customStyle="1" w:styleId="SideHeading">
    <w:name w:val="Side Heading"/>
    <w:basedOn w:val="HeadingBase"/>
    <w:rsid w:val="00F40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26E"/>
    <w:pPr>
      <w:numPr>
        <w:numId w:val="13"/>
      </w:numPr>
    </w:pPr>
  </w:style>
  <w:style w:type="paragraph" w:styleId="PlainText">
    <w:name w:val="Plain Text"/>
    <w:basedOn w:val="Normal"/>
    <w:link w:val="PlainTextChar"/>
    <w:rsid w:val="00F4026E"/>
    <w:rPr>
      <w:sz w:val="20"/>
    </w:rPr>
  </w:style>
  <w:style w:type="character" w:customStyle="1" w:styleId="PlainTextChar">
    <w:name w:val="Plain Text Char"/>
    <w:basedOn w:val="DefaultParagraphFont"/>
    <w:link w:val="PlainText"/>
    <w:rsid w:val="00F4026E"/>
    <w:rPr>
      <w:rFonts w:ascii="Courier New" w:eastAsia="Times New Roman" w:hAnsi="Courier New" w:cs="Times New Roman"/>
      <w:sz w:val="20"/>
      <w:szCs w:val="20"/>
      <w:lang w:eastAsia="en-US"/>
    </w:rPr>
  </w:style>
  <w:style w:type="character" w:customStyle="1" w:styleId="MenuOption">
    <w:name w:val="Menu Option"/>
    <w:basedOn w:val="DefaultParagraphFont"/>
    <w:rsid w:val="00F4026E"/>
    <w:rPr>
      <w:b/>
      <w:smallCaps/>
    </w:rPr>
  </w:style>
  <w:style w:type="paragraph" w:customStyle="1" w:styleId="TableListNumber">
    <w:name w:val="Table List Number"/>
    <w:basedOn w:val="ListNumber"/>
    <w:rsid w:val="00F4026E"/>
    <w:pPr>
      <w:numPr>
        <w:numId w:val="0"/>
      </w:numPr>
    </w:pPr>
  </w:style>
  <w:style w:type="paragraph" w:styleId="TOC4">
    <w:name w:val="toc 4"/>
    <w:basedOn w:val="TOCBase"/>
    <w:next w:val="Normal"/>
    <w:semiHidden/>
    <w:rsid w:val="00F4026E"/>
    <w:pPr>
      <w:tabs>
        <w:tab w:val="right" w:leader="dot" w:pos="9071"/>
      </w:tabs>
      <w:ind w:left="1701"/>
    </w:pPr>
  </w:style>
  <w:style w:type="paragraph" w:customStyle="1" w:styleId="ListAlpha">
    <w:name w:val="List Alpha"/>
    <w:basedOn w:val="List"/>
    <w:rsid w:val="00F4026E"/>
    <w:pPr>
      <w:numPr>
        <w:numId w:val="10"/>
      </w:numPr>
    </w:pPr>
  </w:style>
  <w:style w:type="paragraph" w:customStyle="1" w:styleId="ListAlpha2">
    <w:name w:val="List Alpha 2"/>
    <w:basedOn w:val="List2"/>
    <w:rsid w:val="00F4026E"/>
    <w:pPr>
      <w:numPr>
        <w:numId w:val="9"/>
      </w:numPr>
    </w:pPr>
  </w:style>
  <w:style w:type="paragraph" w:styleId="List2">
    <w:name w:val="List 2"/>
    <w:basedOn w:val="BodyText"/>
    <w:rsid w:val="00F4026E"/>
    <w:pPr>
      <w:tabs>
        <w:tab w:val="left" w:pos="680"/>
      </w:tabs>
      <w:spacing w:before="60" w:after="60"/>
      <w:ind w:left="680" w:hanging="340"/>
    </w:pPr>
  </w:style>
  <w:style w:type="paragraph" w:styleId="List3">
    <w:name w:val="List 3"/>
    <w:basedOn w:val="BodyText"/>
    <w:rsid w:val="00F4026E"/>
    <w:pPr>
      <w:tabs>
        <w:tab w:val="left" w:pos="1021"/>
      </w:tabs>
      <w:spacing w:before="60" w:after="60"/>
      <w:ind w:left="1020" w:hanging="340"/>
    </w:pPr>
  </w:style>
  <w:style w:type="paragraph" w:styleId="List4">
    <w:name w:val="List 4"/>
    <w:basedOn w:val="BodyText"/>
    <w:rsid w:val="00F4026E"/>
    <w:pPr>
      <w:tabs>
        <w:tab w:val="left" w:pos="1361"/>
      </w:tabs>
      <w:spacing w:before="60" w:after="60"/>
      <w:ind w:left="1361" w:hanging="340"/>
    </w:pPr>
  </w:style>
  <w:style w:type="paragraph" w:styleId="List5">
    <w:name w:val="List 5"/>
    <w:basedOn w:val="BodyText"/>
    <w:rsid w:val="00F4026E"/>
    <w:pPr>
      <w:tabs>
        <w:tab w:val="left" w:pos="1701"/>
      </w:tabs>
      <w:spacing w:before="60" w:after="60"/>
      <w:ind w:left="1701" w:hanging="340"/>
    </w:pPr>
  </w:style>
  <w:style w:type="paragraph" w:styleId="ListBullet4">
    <w:name w:val="List Bullet 4"/>
    <w:basedOn w:val="List4"/>
    <w:rsid w:val="00F4026E"/>
    <w:pPr>
      <w:numPr>
        <w:numId w:val="4"/>
      </w:numPr>
    </w:pPr>
  </w:style>
  <w:style w:type="paragraph" w:styleId="ListBullet5">
    <w:name w:val="List Bullet 5"/>
    <w:basedOn w:val="List5"/>
    <w:rsid w:val="00F4026E"/>
    <w:pPr>
      <w:numPr>
        <w:numId w:val="5"/>
      </w:numPr>
    </w:pPr>
  </w:style>
  <w:style w:type="paragraph" w:styleId="ListContinue2">
    <w:name w:val="List Continue 2"/>
    <w:basedOn w:val="List2"/>
    <w:rsid w:val="00F4026E"/>
    <w:pPr>
      <w:ind w:firstLine="0"/>
    </w:pPr>
  </w:style>
  <w:style w:type="paragraph" w:styleId="ListContinue3">
    <w:name w:val="List Continue 3"/>
    <w:basedOn w:val="List3"/>
    <w:rsid w:val="00F4026E"/>
    <w:pPr>
      <w:ind w:left="1021" w:firstLine="0"/>
    </w:pPr>
  </w:style>
  <w:style w:type="paragraph" w:styleId="ListContinue4">
    <w:name w:val="List Continue 4"/>
    <w:basedOn w:val="List4"/>
    <w:rsid w:val="00F4026E"/>
    <w:pPr>
      <w:ind w:firstLine="0"/>
    </w:pPr>
  </w:style>
  <w:style w:type="paragraph" w:styleId="ListContinue5">
    <w:name w:val="List Continue 5"/>
    <w:basedOn w:val="List5"/>
    <w:rsid w:val="00F4026E"/>
    <w:pPr>
      <w:ind w:firstLine="0"/>
    </w:pPr>
  </w:style>
  <w:style w:type="paragraph" w:styleId="ListNumber3">
    <w:name w:val="List Number 3"/>
    <w:basedOn w:val="List3"/>
    <w:rsid w:val="00F4026E"/>
    <w:pPr>
      <w:numPr>
        <w:numId w:val="6"/>
      </w:numPr>
    </w:pPr>
  </w:style>
  <w:style w:type="paragraph" w:styleId="ListNumber4">
    <w:name w:val="List Number 4"/>
    <w:basedOn w:val="List4"/>
    <w:rsid w:val="00F4026E"/>
    <w:pPr>
      <w:numPr>
        <w:numId w:val="7"/>
      </w:numPr>
    </w:pPr>
  </w:style>
  <w:style w:type="paragraph" w:styleId="ListNumber5">
    <w:name w:val="List Number 5"/>
    <w:basedOn w:val="List5"/>
    <w:rsid w:val="00F4026E"/>
    <w:pPr>
      <w:numPr>
        <w:numId w:val="8"/>
      </w:numPr>
    </w:pPr>
  </w:style>
  <w:style w:type="paragraph" w:styleId="BlockText">
    <w:name w:val="Block Text"/>
    <w:basedOn w:val="Normal"/>
    <w:rsid w:val="00F4026E"/>
    <w:pPr>
      <w:spacing w:after="120"/>
      <w:ind w:left="1440" w:right="1440"/>
    </w:pPr>
  </w:style>
  <w:style w:type="character" w:customStyle="1" w:styleId="Subscript">
    <w:name w:val="Subscript"/>
    <w:basedOn w:val="DefaultParagraphFont"/>
    <w:rsid w:val="00F4026E"/>
    <w:rPr>
      <w:sz w:val="16"/>
      <w:vertAlign w:val="subscript"/>
    </w:rPr>
  </w:style>
  <w:style w:type="character" w:customStyle="1" w:styleId="Superscript">
    <w:name w:val="Superscript"/>
    <w:basedOn w:val="DefaultParagraphFont"/>
    <w:rsid w:val="00F4026E"/>
    <w:rPr>
      <w:sz w:val="16"/>
      <w:vertAlign w:val="superscript"/>
    </w:rPr>
  </w:style>
  <w:style w:type="character" w:customStyle="1" w:styleId="Symbols">
    <w:name w:val="Symbols"/>
    <w:basedOn w:val="DefaultParagraphFont"/>
    <w:rsid w:val="00F4026E"/>
    <w:rPr>
      <w:rFonts w:ascii="Symbol" w:hAnsi="Symbol"/>
    </w:rPr>
  </w:style>
  <w:style w:type="character" w:customStyle="1" w:styleId="MenuOptions">
    <w:name w:val="Menu Options"/>
    <w:basedOn w:val="DefaultParagraphFont"/>
    <w:rsid w:val="00F4026E"/>
    <w:rPr>
      <w:rFonts w:ascii="Arial Narrow" w:hAnsi="Arial Narrow"/>
      <w:smallCaps/>
    </w:rPr>
  </w:style>
  <w:style w:type="character" w:customStyle="1" w:styleId="Buttons">
    <w:name w:val="Buttons"/>
    <w:basedOn w:val="DefaultParagraphFont"/>
    <w:rsid w:val="00F4026E"/>
    <w:rPr>
      <w:b/>
    </w:rPr>
  </w:style>
  <w:style w:type="character" w:customStyle="1" w:styleId="Underlined">
    <w:name w:val="Underlined"/>
    <w:basedOn w:val="DefaultParagraphFont"/>
    <w:rsid w:val="00F4026E"/>
    <w:rPr>
      <w:u w:val="single"/>
    </w:rPr>
  </w:style>
  <w:style w:type="paragraph" w:customStyle="1" w:styleId="TableBodyTextRight">
    <w:name w:val="Table Body Text Right"/>
    <w:basedOn w:val="TableBodyText"/>
    <w:rsid w:val="00F4026E"/>
    <w:pPr>
      <w:widowControl w:val="0"/>
      <w:autoSpaceDE w:val="0"/>
      <w:autoSpaceDN w:val="0"/>
      <w:adjustRightInd w:val="0"/>
      <w:jc w:val="right"/>
    </w:pPr>
    <w:rPr>
      <w:rFonts w:cs="Arial"/>
      <w:szCs w:val="18"/>
    </w:rPr>
  </w:style>
  <w:style w:type="paragraph" w:customStyle="1" w:styleId="CopyrightText">
    <w:name w:val="Copyright Text"/>
    <w:basedOn w:val="BodyText"/>
    <w:rsid w:val="00F4026E"/>
    <w:rPr>
      <w:sz w:val="18"/>
    </w:rPr>
  </w:style>
  <w:style w:type="paragraph" w:customStyle="1" w:styleId="BodySmallRight">
    <w:name w:val="Body Small Right"/>
    <w:basedOn w:val="BodyTextRight"/>
    <w:rsid w:val="00F4026E"/>
    <w:rPr>
      <w:sz w:val="18"/>
      <w:szCs w:val="18"/>
    </w:rPr>
  </w:style>
  <w:style w:type="paragraph" w:customStyle="1" w:styleId="MarginEdition">
    <w:name w:val="Margin Edition"/>
    <w:basedOn w:val="MarginNote"/>
    <w:rsid w:val="00F4026E"/>
    <w:pPr>
      <w:spacing w:before="0" w:after="0"/>
    </w:pPr>
    <w:rPr>
      <w:rFonts w:ascii="Times New Roman" w:hAnsi="Times New Roman"/>
      <w:color w:val="999999"/>
    </w:rPr>
  </w:style>
  <w:style w:type="paragraph" w:customStyle="1" w:styleId="Spacer">
    <w:name w:val="Spacer"/>
    <w:basedOn w:val="Normal"/>
    <w:rsid w:val="00F4026E"/>
    <w:rPr>
      <w:sz w:val="2"/>
      <w:szCs w:val="2"/>
    </w:rPr>
  </w:style>
  <w:style w:type="character" w:customStyle="1" w:styleId="Small">
    <w:name w:val="Small"/>
    <w:basedOn w:val="DefaultParagraphFont"/>
    <w:rsid w:val="00F4026E"/>
    <w:rPr>
      <w:sz w:val="16"/>
    </w:rPr>
  </w:style>
  <w:style w:type="paragraph" w:customStyle="1" w:styleId="WideTable">
    <w:name w:val="Wide Table"/>
    <w:basedOn w:val="Normal"/>
    <w:rsid w:val="00F4026E"/>
    <w:pPr>
      <w:ind w:left="-1418"/>
    </w:pPr>
    <w:rPr>
      <w:sz w:val="2"/>
      <w:szCs w:val="2"/>
    </w:rPr>
  </w:style>
  <w:style w:type="character" w:styleId="PageNumber">
    <w:name w:val="page number"/>
    <w:basedOn w:val="DefaultParagraphFont"/>
    <w:rsid w:val="00F4026E"/>
  </w:style>
  <w:style w:type="paragraph" w:styleId="Quote">
    <w:name w:val="Quote"/>
    <w:basedOn w:val="Heading1"/>
    <w:link w:val="QuoteChar"/>
    <w:qFormat/>
    <w:rsid w:val="00F4026E"/>
    <w:rPr>
      <w:b w:val="0"/>
      <w:sz w:val="72"/>
      <w:szCs w:val="72"/>
      <w:lang w:val="en-NZ"/>
    </w:rPr>
  </w:style>
  <w:style w:type="character" w:customStyle="1" w:styleId="QuoteChar">
    <w:name w:val="Quote Char"/>
    <w:basedOn w:val="DefaultParagraphFont"/>
    <w:link w:val="Quote"/>
    <w:rsid w:val="00F40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26E"/>
    <w:pPr>
      <w:pageBreakBefore/>
    </w:pPr>
  </w:style>
  <w:style w:type="paragraph" w:customStyle="1" w:styleId="Border">
    <w:name w:val="Border"/>
    <w:basedOn w:val="Normal"/>
    <w:qFormat/>
    <w:rsid w:val="00F40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26E"/>
    <w:rPr>
      <w:b/>
      <w:bCs/>
      <w:i/>
      <w:iCs/>
      <w:color w:val="auto"/>
    </w:rPr>
  </w:style>
  <w:style w:type="paragraph" w:styleId="IntenseQuote">
    <w:name w:val="Intense Quote"/>
    <w:basedOn w:val="Normal"/>
    <w:next w:val="Normal"/>
    <w:link w:val="IntenseQuoteChar"/>
    <w:uiPriority w:val="30"/>
    <w:qFormat/>
    <w:rsid w:val="00F40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26E"/>
    <w:rPr>
      <w:smallCaps/>
      <w:color w:val="auto"/>
      <w:u w:val="single"/>
    </w:rPr>
  </w:style>
  <w:style w:type="character" w:styleId="IntenseReference">
    <w:name w:val="Intense Reference"/>
    <w:basedOn w:val="DefaultParagraphFont"/>
    <w:uiPriority w:val="32"/>
    <w:qFormat/>
    <w:rsid w:val="00F4026E"/>
    <w:rPr>
      <w:b/>
      <w:bCs/>
      <w:smallCaps/>
      <w:color w:val="auto"/>
      <w:spacing w:val="5"/>
      <w:u w:val="single"/>
    </w:rPr>
  </w:style>
  <w:style w:type="paragraph" w:customStyle="1" w:styleId="2ColumnHeading">
    <w:name w:val="2Column Heading"/>
    <w:basedOn w:val="BodyText"/>
    <w:qFormat/>
    <w:rsid w:val="00F4026E"/>
    <w:pPr>
      <w:spacing w:after="60"/>
      <w:ind w:left="-2268"/>
    </w:pPr>
    <w:rPr>
      <w:b/>
    </w:rPr>
  </w:style>
  <w:style w:type="paragraph" w:customStyle="1" w:styleId="Heading1TOC">
    <w:name w:val="Heading1 TOC"/>
    <w:basedOn w:val="Normal"/>
    <w:qFormat/>
    <w:rsid w:val="00F4026E"/>
    <w:pPr>
      <w:spacing w:before="240" w:after="120"/>
    </w:pPr>
    <w:rPr>
      <w:rFonts w:ascii="Times New Roman" w:hAnsi="Times New Roman"/>
      <w:b/>
      <w:sz w:val="32"/>
    </w:rPr>
  </w:style>
  <w:style w:type="paragraph" w:customStyle="1" w:styleId="Heading2TOC">
    <w:name w:val="Heading2 TOC"/>
    <w:basedOn w:val="Normal"/>
    <w:qFormat/>
    <w:rsid w:val="00F4026E"/>
    <w:pPr>
      <w:spacing w:before="240" w:after="60"/>
    </w:pPr>
    <w:rPr>
      <w:rFonts w:ascii="Times New Roman" w:hAnsi="Times New Roman"/>
      <w:b/>
      <w:sz w:val="28"/>
    </w:rPr>
  </w:style>
  <w:style w:type="character" w:customStyle="1" w:styleId="Underline">
    <w:name w:val="Underline"/>
    <w:basedOn w:val="DefaultParagraphFont"/>
    <w:qFormat/>
    <w:rsid w:val="00F4026E"/>
    <w:rPr>
      <w:u w:val="single"/>
    </w:rPr>
  </w:style>
  <w:style w:type="character" w:customStyle="1" w:styleId="BoldandItalics">
    <w:name w:val="Bold and Italics"/>
    <w:qFormat/>
    <w:rsid w:val="00F4026E"/>
    <w:rPr>
      <w:b/>
      <w:i/>
      <w:u w:val="none"/>
    </w:rPr>
  </w:style>
  <w:style w:type="paragraph" w:styleId="BalloonText">
    <w:name w:val="Balloon Text"/>
    <w:basedOn w:val="Normal"/>
    <w:link w:val="BalloonTextChar"/>
    <w:rsid w:val="00F4026E"/>
    <w:rPr>
      <w:rFonts w:ascii="Tahoma" w:hAnsi="Tahoma" w:cs="Tahoma"/>
      <w:sz w:val="16"/>
      <w:szCs w:val="16"/>
    </w:rPr>
  </w:style>
  <w:style w:type="character" w:customStyle="1" w:styleId="BalloonTextChar">
    <w:name w:val="Balloon Text Char"/>
    <w:basedOn w:val="DefaultParagraphFont"/>
    <w:link w:val="BalloonText"/>
    <w:rsid w:val="00F40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26E"/>
    <w:rPr>
      <w:b/>
      <w:color w:val="660033"/>
      <w:spacing w:val="0"/>
    </w:rPr>
  </w:style>
  <w:style w:type="paragraph" w:customStyle="1" w:styleId="Nameditemlist">
    <w:name w:val="Named item list"/>
    <w:basedOn w:val="BodyText"/>
    <w:qFormat/>
    <w:rsid w:val="00F402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1983</Words>
  <Characters>11974</Characters>
  <Application>Microsoft Office Word</Application>
  <DocSecurity>0</DocSecurity>
  <Lines>487</Lines>
  <Paragraphs>216</Paragraphs>
  <ScaleCrop>false</ScaleCrop>
  <Company>Author-it Software Corporation Ltd.</Company>
  <LinksUpToDate>false</LinksUpToDate>
  <CharactersWithSpaces>13882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UEENEEG164A Repair and maintain mechanical components of electrical machines</dc:title>
  <dc:subject>Approved</dc:subject>
  <dc:creator>E-OZ Training Standards</dc:creator>
  <cp:keywords>Release: 2</cp:keywords>
  <dc:description>Review Date: 12 April 2008</dc:description>
  <cp:lastModifiedBy>HSD_TPCMSd.prod</cp:lastModifiedBy>
  <cp:revision>3</cp:revision>
  <dcterms:created xsi:type="dcterms:W3CDTF">2013-08-14T07:30:00Z</dcterms:created>
  <dcterms:modified xsi:type="dcterms:W3CDTF">2013-08-14T07:30:00Z</dcterms:modified>
</cp:coreProperties>
</file>