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971" w:rsidP="00373971">
      <w:pPr>
        <w:pStyle w:val="Title"/>
      </w:pPr>
      <w:r>
        <w:fldChar w:fldCharType="begin"/>
      </w:r>
      <w:r>
        <w:instrText xml:space="preserve"> TITLE   \* MERGEFORMAT </w:instrText>
      </w:r>
      <w:r>
        <w:fldChar w:fldCharType="separate"/>
      </w:r>
      <w:r>
        <w:t>UEENEEG161A Design and develop modifications to LV electrical machines</w:t>
      </w:r>
      <w:r>
        <w:fldChar w:fldCharType="end"/>
      </w:r>
    </w:p>
    <w:p w:rsidR="00373971" w:rsidP="00373971">
      <w:pPr>
        <w:pStyle w:val="Version"/>
        <w:sectPr w:rsidSect="00AA4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4437" w:rsidP="00AA4437">
      <w:pPr>
        <w:pStyle w:val="SuperHeading"/>
      </w:pPr>
      <w:r w:rsidRPr="00AA4437">
        <w:t>UEENEEG161A Design and develop modifications to LV electrical machines</w:t>
      </w:r>
    </w:p>
    <w:p w:rsidR="00000000" w:rsidRPr="00AA4437" w:rsidP="00AA4437">
      <w:pPr>
        <w:pStyle w:val="Heading1"/>
      </w:pPr>
      <w:bookmarkStart w:id="1" w:name="O_591164"/>
      <w:bookmarkEnd w:id="1"/>
      <w:r w:rsidRPr="00AA4437">
        <w:t>Modification History</w:t>
      </w:r>
    </w:p>
    <w:p w:rsidR="00000000" w:rsidRPr="00AA4437" w:rsidP="00AA4437">
      <w:pPr>
        <w:pStyle w:val="BodyText"/>
      </w:pPr>
      <w:r w:rsidRPr="00AA4437">
        <w:t>Not applicable.</w:t>
      </w:r>
    </w:p>
    <w:p w:rsidR="00000000" w:rsidRPr="00AA4437" w:rsidP="00AA4437">
      <w:pPr>
        <w:pStyle w:val="AllowPageBreak"/>
      </w:pPr>
    </w:p>
    <w:p w:rsidR="00000000" w:rsidRPr="00AA4437" w:rsidP="00AA4437">
      <w:pPr>
        <w:pStyle w:val="Heading1"/>
      </w:pPr>
      <w:bookmarkStart w:id="2" w:name="O_591163"/>
      <w:bookmarkEnd w:id="2"/>
      <w:r w:rsidRPr="00AA4437">
        <w:t>Unit Descriptor</w:t>
      </w:r>
    </w:p>
    <w:tbl>
      <w:tblPr>
        <w:tblW w:w="0" w:type="auto"/>
        <w:tblLayout w:type="fixed"/>
        <w:tblCellMar>
          <w:left w:w="62" w:type="dxa"/>
          <w:right w:w="62" w:type="dxa"/>
        </w:tblCellMar>
        <w:tblLook w:val="0000"/>
      </w:tblPr>
      <w:tblGrid>
        <w:gridCol w:w="2700"/>
        <w:gridCol w:w="5760"/>
      </w:tblGrid>
      <w:tr w:rsidTr="003739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1)</w:t>
            </w:r>
            <w:r w:rsidRPr="00AA4437">
              <w:t xml:space="preserve"> </w:t>
            </w:r>
            <w:r w:rsidRPr="00AA4437">
              <w:rPr>
                <w:rStyle w:val="SpecialBold"/>
              </w:rPr>
              <w:t>Scope: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44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1.1) Descriptor</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 xml:space="preserve">This unit covers the performance and efficiency aspects of electrical machine design as applied to the modification of existing machines. It encompasses designing to given parameters including those related to safety and efficiency, adhering to compliance </w:t>
            </w:r>
            <w:r w:rsidRPr="00AA4437">
              <w:t>standards and compliance assessments and documentation.</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3" w:name="O_591162"/>
      <w:bookmarkEnd w:id="3"/>
      <w:r w:rsidRPr="00AA4437">
        <w:t>Application of the Unit</w:t>
      </w:r>
    </w:p>
    <w:tbl>
      <w:tblPr>
        <w:tblW w:w="0" w:type="auto"/>
        <w:tblLayout w:type="fixed"/>
        <w:tblCellMar>
          <w:left w:w="62" w:type="dxa"/>
          <w:right w:w="62" w:type="dxa"/>
        </w:tblCellMar>
        <w:tblLook w:val="0000"/>
      </w:tblPr>
      <w:tblGrid>
        <w:gridCol w:w="2672"/>
        <w:gridCol w:w="5699"/>
      </w:tblGrid>
      <w:tr w:rsidTr="003739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2)</w:t>
            </w:r>
          </w:p>
        </w:tc>
      </w:tr>
      <w:tr w:rsidTr="003739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This unit is intended for competency development entry-level employment based programs incorporated in approved contracts of training. It applies to any formal recognition for this standard at the aligned AQF 6 level.</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4" w:name="O_591161"/>
      <w:bookmarkEnd w:id="4"/>
      <w:r w:rsidRPr="00AA4437">
        <w:t>Licensing/Regulator</w:t>
      </w:r>
      <w:r w:rsidRPr="00AA4437">
        <w:t>y Information</w:t>
      </w:r>
    </w:p>
    <w:tbl>
      <w:tblPr>
        <w:tblW w:w="0" w:type="auto"/>
        <w:tblLayout w:type="fixed"/>
        <w:tblCellMar>
          <w:left w:w="62" w:type="dxa"/>
          <w:right w:w="62" w:type="dxa"/>
        </w:tblCellMar>
        <w:tblLook w:val="0000"/>
      </w:tblPr>
      <w:tblGrid>
        <w:gridCol w:w="2700"/>
        <w:gridCol w:w="5760"/>
      </w:tblGrid>
      <w:tr w:rsidTr="003739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 xml:space="preserve">3)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The skills and knowledge described in this unit do not require a license to practice in the workplace. However, practice in this unit is subject to regulations directly related to occupational health and safety and w</w:t>
            </w:r>
            <w:r w:rsidRPr="00AA4437">
              <w:t>here applicable contracts of training such as apprenticeships.</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5" w:name="O_591160"/>
      <w:bookmarkEnd w:id="5"/>
      <w:r w:rsidRPr="00AA4437">
        <w:t>Pre-Requisites</w:t>
      </w:r>
    </w:p>
    <w:tbl>
      <w:tblPr>
        <w:tblW w:w="0" w:type="auto"/>
        <w:tblLayout w:type="fixed"/>
        <w:tblCellMar>
          <w:left w:w="62" w:type="dxa"/>
          <w:right w:w="62" w:type="dxa"/>
        </w:tblCellMar>
        <w:tblLook w:val="0000"/>
      </w:tblPr>
      <w:tblGrid>
        <w:gridCol w:w="2700"/>
        <w:gridCol w:w="1440"/>
        <w:gridCol w:w="4320"/>
      </w:tblGrid>
      <w:tr w:rsidTr="003739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 xml:space="preserve">4)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4.1)</w:t>
            </w:r>
          </w:p>
        </w:tc>
      </w:tr>
      <w:tr w:rsidTr="00373971">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Granting competency in this unit shall be made only after competency in the following unit(s) has/have been confirmed.</w:t>
            </w:r>
          </w:p>
        </w:tc>
      </w:tr>
      <w:tr w:rsidTr="0037397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UEENEEG160A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Evaluate performance of LV electrical machines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UEENEEG157A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Conduct electrical tests on LV electrical machines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UEENEEE102A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Fabricate, assemble and dismantle utilities industry components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UEENEEE105A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Fix and secure ele</w:t>
            </w:r>
            <w:r w:rsidRPr="00AA4437">
              <w:t>ctrotechnology equipment</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UEENEEE107A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Use drawings, diagrams, schedules, standards, codes and specifications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UEENEEG006A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single and three phase low voltage machines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electromagnetic devices and related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UEENEEG102A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low voltage a.c.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UEENEEG106A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Terminate cables, cords and accessories for low voltage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UEENEEG150A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Wind electrical coils</w:t>
            </w:r>
          </w:p>
        </w:tc>
      </w:tr>
      <w:tr w:rsidTr="00373971">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w:t>
            </w:r>
            <w:r w:rsidRPr="00AA4437">
              <w:t>51A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Place and connect electrical coils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UEENEEG153A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 Rewind three phase low voltage induction machines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UEENEEG033A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single and three phase electrical apparatus and circuits</w:t>
            </w:r>
          </w:p>
        </w:tc>
      </w:tr>
      <w:tr w:rsidTr="00373971">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UEENEEG063A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Arrange circuits, control and protection for general electrical installations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UEENEEG108A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Trouble-shoot and repair faults in low voltage electrical apparatus and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UEENEEG143A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Develop engineering solution for synchronous machine and control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UEENEEG149A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Provide engineering solutions to problems in complex polyphase power circuits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UEENEEE125A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Provide engineering solutions for problems in complex multiple path circui</w:t>
            </w:r>
            <w:r w:rsidRPr="00AA4437">
              <w:t xml:space="preserve">t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UEENEEE126A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Provide solutions to basic engineering computational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electrotechnical engineering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electromagnetic devices and related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UEENEEH114A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Troubleshoot resonance circuits in an electronic apparatus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UEENEEH169A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basic electronic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UEENEEG144A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Develop engineering solutions for d.c. machine and control problems</w:t>
            </w:r>
          </w:p>
        </w:tc>
      </w:tr>
      <w:tr w:rsidTr="00373971">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UEENEEE125A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Provide engineering solutions for problems in complex multiple path circuit </w:t>
            </w:r>
          </w:p>
        </w:tc>
      </w:tr>
      <w:tr w:rsidTr="00373971">
        <w:tblPrEx>
          <w:tblW w:w="0" w:type="auto"/>
          <w:tblLayout w:type="fixed"/>
          <w:tblCellMar>
            <w:left w:w="62" w:type="dxa"/>
            <w:right w:w="62" w:type="dxa"/>
          </w:tblCellMar>
          <w:tblLook w:val="0000"/>
        </w:tblPrEx>
        <w:trPr>
          <w:trHeight w:val="58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UEENEEE126A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Provide solutions to basic engineering computational problems</w:t>
            </w:r>
          </w:p>
        </w:tc>
      </w:tr>
      <w:tr w:rsidTr="00373971">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electrotechnical engineering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electromagnetic devices and related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w:t>
            </w:r>
            <w:r w:rsidRPr="00AA4437">
              <w:t xml:space="preserve">14A </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Troubleshoot resonance circuits in an </w:t>
            </w:r>
            <w:r w:rsidRPr="00AA4437">
              <w:t>electronic apparatus</w:t>
            </w:r>
          </w:p>
        </w:tc>
      </w:tr>
      <w:tr w:rsidTr="00373971">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UEENEEH169A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basic electronic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UEENEEG145A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Develop engineering solutions for induction machine and control problems</w:t>
            </w:r>
          </w:p>
        </w:tc>
      </w:tr>
      <w:tr w:rsidTr="00373971">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UEENEEG149A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Provide engineering solutions to problems in complex polyphase power circuits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UEENEEE125A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Provide engineering solutions for problems in complex multiple path circuit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UEENEEE126A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Provide solutions to basic engineering computational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rPr>
          <w:trHeight w:val="24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w:t>
            </w:r>
            <w:r w:rsidRPr="00AA4437">
              <w:t>EENEEE129A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electrotechnical engineering problems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UEENEEG101A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Solve problems in electromagnetic </w:t>
            </w:r>
            <w:r w:rsidRPr="00AA4437">
              <w:t>devices and related circuits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UEENEEH114A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Troubleshoot resonance circuits in an electronic apparatus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UEENEEE101A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Apply Occupational Health and Safety regulations, codes and practices in the workplace</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AND</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UEENEEE104A</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Solve problems in d.c. cir</w:t>
            </w:r>
            <w:r w:rsidRPr="00AA4437">
              <w:t>cuits</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w:t>
            </w:r>
          </w:p>
        </w:tc>
        <w:tc>
          <w:tcPr>
            <w:tcW w:w="432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UEENEEH169A</w:t>
            </w:r>
          </w:p>
        </w:tc>
        <w:tc>
          <w:tcPr>
            <w:tcW w:w="432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Solve problems in basic electronic circuits</w:t>
            </w:r>
          </w:p>
        </w:tc>
      </w:tr>
    </w:tbl>
    <w:p w:rsidR="00000000" w:rsidRPr="00AA4437" w:rsidP="00AA443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739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 xml:space="preserve">4.2)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Participants are best equipped to achieve competency in this unit if they have reading, writing and numeracy skills indicated by the following scales. Description of each scale is given in Volume 2, Part 3 ‘Literacy and Numeracy’</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Reading</w:t>
            </w:r>
          </w:p>
        </w:tc>
        <w:tc>
          <w:tcPr>
            <w:tcW w:w="81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5</w:t>
            </w:r>
          </w:p>
        </w:tc>
        <w:tc>
          <w:tcPr>
            <w:tcW w:w="99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Writing</w:t>
            </w: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5</w:t>
            </w:r>
          </w:p>
        </w:tc>
        <w:tc>
          <w:tcPr>
            <w:tcW w:w="12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Numeracy</w:t>
            </w:r>
          </w:p>
        </w:tc>
        <w:tc>
          <w:tcPr>
            <w:tcW w:w="72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5</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6" w:name="O_591159"/>
      <w:bookmarkEnd w:id="6"/>
      <w:r w:rsidRPr="00AA4437">
        <w:t>Employability Skills Information</w:t>
      </w:r>
    </w:p>
    <w:tbl>
      <w:tblPr>
        <w:tblW w:w="0" w:type="auto"/>
        <w:tblLayout w:type="fixed"/>
        <w:tblCellMar>
          <w:left w:w="62" w:type="dxa"/>
          <w:right w:w="62" w:type="dxa"/>
        </w:tblCellMar>
        <w:tblLook w:val="0000"/>
      </w:tblPr>
      <w:tblGrid>
        <w:gridCol w:w="2700"/>
        <w:gridCol w:w="5760"/>
      </w:tblGrid>
      <w:tr w:rsidTr="003739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 xml:space="preserve">5)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This unit contains Employability Skills</w:t>
            </w:r>
          </w:p>
          <w:p w:rsidR="00000000" w:rsidRPr="00AA4437" w:rsidP="00AA4437">
            <w:pPr>
              <w:pStyle w:val="BodyText"/>
            </w:pPr>
            <w:r w:rsidRPr="00AA443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4437">
              <w:t>requirements.</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7" w:name="O_591158"/>
      <w:bookmarkEnd w:id="7"/>
      <w:r w:rsidRPr="00AA4437">
        <w:t>Elements and Performance Criteria Pre-Content</w:t>
      </w:r>
    </w:p>
    <w:tbl>
      <w:tblPr>
        <w:tblW w:w="0" w:type="auto"/>
        <w:tblLayout w:type="fixed"/>
        <w:tblCellMar>
          <w:left w:w="62" w:type="dxa"/>
          <w:right w:w="62" w:type="dxa"/>
        </w:tblCellMar>
        <w:tblLook w:val="0000"/>
      </w:tblPr>
      <w:tblGrid>
        <w:gridCol w:w="2700"/>
        <w:gridCol w:w="5760"/>
      </w:tblGrid>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6)</w:t>
            </w:r>
            <w:r w:rsidRPr="00AA443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Performance Criteria describe the required performance needed to demonstrate achievement of the element. Assessment of performance is to be consistent with the Evidence Guide.</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8" w:name="O_591157"/>
      <w:bookmarkEnd w:id="8"/>
      <w:r w:rsidRPr="00AA44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39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PERFORMANCE CRITER</w:t>
            </w:r>
            <w:r w:rsidRPr="00AA4437">
              <w:rPr>
                <w:rStyle w:val="SpecialBold"/>
              </w:rPr>
              <w:t>IA</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1</w:t>
            </w:r>
          </w:p>
        </w:tc>
        <w:tc>
          <w:tcPr>
            <w:tcW w:w="2296" w:type="dxa"/>
            <w:vMerge w:val="restart"/>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Prepare to design and develop modifications to electrical machines.</w:t>
            </w: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1.1</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 xml:space="preserve">OHS procedures for a given work area are identified, obtained and understood. </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1.2</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The extents of modifications required are determined from performance test results and customer’s requirements.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1.3</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Original specification documents for the machine are sought and received in order to check currency of compliance requirements. (see note 1)</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1.4</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Activities are planned to meet scheduled timelines in consultation with others involved in or relying on out</w:t>
            </w:r>
            <w:r w:rsidRPr="00AA4437">
              <w:t>comes of the work.</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w:t>
            </w:r>
          </w:p>
        </w:tc>
        <w:tc>
          <w:tcPr>
            <w:tcW w:w="2296" w:type="dxa"/>
            <w:vMerge w:val="restart"/>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Design modifications to electrical machines.</w:t>
            </w: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2.1</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OHS risk control measures and procedures for carrying out the work are followed.</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2.2</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In depth knowledge of electrical machine and sustainable energy policies in improving machine efficiency is applied to modification design.</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2.3</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Modifications are designed to comply with the requirements of Standards and regulations.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2.4</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Acceptance/approval for modification design is sought from appropriate person(s) in accordance with established procedures.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2.5</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Specifications and instructions for the modification work are documented and processed in accordance with requirements.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2.</w:t>
            </w:r>
            <w:r w:rsidRPr="00AA4437">
              <w:t>6</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Solutions to unplanned or unforeseen events are provided consistent with safety and work outcomes.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w:t>
            </w:r>
          </w:p>
        </w:tc>
        <w:tc>
          <w:tcPr>
            <w:tcW w:w="2296"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Arrange modification work.</w:t>
            </w: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3.1</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OHS risk control measures and procedures for carrying out the work are followed.</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3.2</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Arrangements are made for the modification work to be done in accordance with established procedures.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3.3</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 copy of modification specifications and instructions is provided to personnel responsible for carrying out the work.</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3.4</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Strategies are implem</w:t>
            </w:r>
            <w:r w:rsidRPr="00AA4437">
              <w:t>ented that verify that modification conforms to specifications.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3.5</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Solutions to unplanned or unforeseen events are provided consistent with safety and work outcomes.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4</w:t>
            </w:r>
          </w:p>
        </w:tc>
        <w:tc>
          <w:tcPr>
            <w:tcW w:w="2296"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Complete work and report</w:t>
            </w: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4.1</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OHS work completion risk control measures and procedur</w:t>
            </w:r>
            <w:r w:rsidRPr="00AA4437">
              <w:t>es are followed.</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4.2</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Arrangements are made for formal certification of modifications where required by regulation or customer.</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4.3</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Machine marking is revised to comply with performance parameters resulting from modifications.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4.4</w:t>
            </w:r>
          </w:p>
        </w:tc>
        <w:tc>
          <w:tcPr>
            <w:tcW w:w="48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t>Modification and machine performance standard are documented and report issued to appropriate person(s) in accordance with established procedures.</w:t>
            </w:r>
          </w:p>
        </w:tc>
      </w:tr>
      <w:tr w:rsidTr="003739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 xml:space="preserve">Note 1: </w:t>
            </w:r>
            <w:r w:rsidRPr="00AA4437">
              <w:br/>
              <w:t>Examples of documentation are those specifying safety requirements, technical standard, as market</w:t>
            </w:r>
            <w:r w:rsidRPr="00AA4437">
              <w:t>ed technical performance and product quality endorsement standards.</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9" w:name="O_591156"/>
      <w:bookmarkEnd w:id="9"/>
      <w:r w:rsidRPr="00AA4437">
        <w:t>Required Skills and Knowledge</w:t>
      </w:r>
    </w:p>
    <w:tbl>
      <w:tblPr>
        <w:tblW w:w="0" w:type="auto"/>
        <w:tblLayout w:type="fixed"/>
        <w:tblCellMar>
          <w:left w:w="62" w:type="dxa"/>
          <w:right w:w="62" w:type="dxa"/>
        </w:tblCellMar>
        <w:tblLook w:val="0000"/>
      </w:tblPr>
      <w:tblGrid>
        <w:gridCol w:w="8460"/>
      </w:tblGrid>
      <w:tr w:rsidTr="003739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REQUIRED SKILLS AND KNOWLEDGE</w:t>
            </w:r>
          </w:p>
        </w:tc>
      </w:tr>
      <w:tr w:rsidTr="003739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8)</w:t>
            </w:r>
            <w:r w:rsidRPr="00AA4437">
              <w:t xml:space="preserve"> This describes the essential skills and knowledge and their level, required for this unit.</w:t>
            </w:r>
          </w:p>
          <w:p w:rsidR="00000000" w:rsidRPr="00AA4437" w:rsidP="00AA4437">
            <w:pPr>
              <w:pStyle w:val="BodyText"/>
            </w:pPr>
            <w:r w:rsidRPr="00AA4437">
              <w:t>Evidence shall show that knowledge has been acquired of safe working practices and designing and developing modifications to electrical machines.</w:t>
            </w:r>
          </w:p>
          <w:p w:rsidR="00000000" w:rsidRPr="00AA4437" w:rsidP="00AA4437">
            <w:pPr>
              <w:pStyle w:val="BodyText"/>
            </w:pPr>
            <w:r w:rsidRPr="00AA4437">
              <w:t>All knowledge and skills detailed in this unit should be contextualised to current industry practices and tech</w:t>
            </w:r>
            <w:r w:rsidRPr="00AA4437">
              <w:t>nologies.</w:t>
            </w:r>
          </w:p>
          <w:p w:rsidR="00000000" w:rsidRPr="00AA4437" w:rsidP="00AA4437">
            <w:pPr>
              <w:pStyle w:val="BodyText"/>
            </w:pPr>
            <w:r w:rsidRPr="00AA4437">
              <w:rPr>
                <w:rStyle w:val="SpecialBold"/>
              </w:rPr>
              <w:t>KS01-EG161A</w:t>
            </w:r>
            <w:r w:rsidRPr="00AA4437">
              <w:rPr>
                <w:rStyle w:val="SpecialBold"/>
              </w:rPr>
              <w:tab/>
              <w:t xml:space="preserve">               Electrical machine design</w:t>
            </w:r>
          </w:p>
          <w:p w:rsidR="00000000" w:rsidRPr="00AA4437" w:rsidP="00AA4437">
            <w:pPr>
              <w:pStyle w:val="BodyText"/>
            </w:pPr>
            <w:r w:rsidRPr="00AA4437">
              <w:t>Evidence shall show an understanding of the design and development of modifications to electrical machines to an extent indicated by the following aspects:</w:t>
            </w:r>
          </w:p>
          <w:p w:rsidR="00000000" w:rsidRPr="00AA4437" w:rsidP="00AA4437">
            <w:pPr>
              <w:pStyle w:val="BodyText"/>
            </w:pPr>
            <w:r w:rsidRPr="00AA4437">
              <w:t>T1</w:t>
            </w:r>
            <w:r w:rsidRPr="00AA4437">
              <w:tab/>
              <w:t>Motor windings principles and cons</w:t>
            </w:r>
            <w:r w:rsidRPr="00AA4437">
              <w:t>truction encompassing</w:t>
            </w:r>
          </w:p>
          <w:p w:rsidR="00000000" w:rsidRPr="00AA4437" w:rsidP="00AA4437">
            <w:pPr>
              <w:pStyle w:val="ListBullet"/>
            </w:pPr>
            <w:r w:rsidRPr="00AA4437">
              <w:t>direct-current machine types</w:t>
            </w:r>
          </w:p>
          <w:p w:rsidR="00000000" w:rsidRPr="00AA4437" w:rsidP="00AA4437">
            <w:pPr>
              <w:pStyle w:val="ListBullet"/>
            </w:pPr>
            <w:r w:rsidRPr="00AA4437">
              <w:t>construction of direct current machine</w:t>
            </w:r>
          </w:p>
          <w:p w:rsidR="00000000" w:rsidRPr="00AA4437" w:rsidP="00AA4437">
            <w:pPr>
              <w:pStyle w:val="ListBullet"/>
            </w:pPr>
            <w:r w:rsidRPr="00AA4437">
              <w:t>types of armature windings</w:t>
            </w:r>
          </w:p>
          <w:p w:rsidR="00000000" w:rsidRPr="00AA4437" w:rsidP="00AA4437">
            <w:pPr>
              <w:pStyle w:val="ListBullet"/>
            </w:pPr>
            <w:r w:rsidRPr="00AA4437">
              <w:t>parallel circuits in armature windings</w:t>
            </w:r>
          </w:p>
          <w:p w:rsidR="00000000" w:rsidRPr="00AA4437" w:rsidP="00AA4437">
            <w:pPr>
              <w:pStyle w:val="ListBullet"/>
            </w:pPr>
            <w:r w:rsidRPr="00AA4437">
              <w:t>magnitude of generated e.m.f.</w:t>
            </w:r>
          </w:p>
          <w:p w:rsidR="00000000" w:rsidRPr="00AA4437" w:rsidP="00AA4437">
            <w:pPr>
              <w:pStyle w:val="BodyText"/>
            </w:pPr>
            <w:r w:rsidRPr="00AA4437">
              <w:t>T2</w:t>
            </w:r>
            <w:r w:rsidRPr="00AA4437">
              <w:tab/>
              <w:t>Direct current armature windings encompassing:</w:t>
            </w:r>
          </w:p>
          <w:p w:rsidR="00000000" w:rsidRPr="00AA4437" w:rsidP="00AA4437">
            <w:pPr>
              <w:pStyle w:val="ListBullet"/>
            </w:pPr>
            <w:r w:rsidRPr="00AA4437">
              <w:t>terms used in armature winding</w:t>
            </w:r>
          </w:p>
          <w:p w:rsidR="00000000" w:rsidRPr="00AA4437" w:rsidP="00AA4437">
            <w:pPr>
              <w:pStyle w:val="ListBullet"/>
            </w:pPr>
            <w:r w:rsidRPr="00AA4437">
              <w:t>effects of chording</w:t>
            </w:r>
          </w:p>
          <w:p w:rsidR="00000000" w:rsidRPr="00AA4437" w:rsidP="00AA4437">
            <w:pPr>
              <w:pStyle w:val="ListBullet"/>
            </w:pPr>
            <w:r w:rsidRPr="00AA4437">
              <w:t>lap and wave windings</w:t>
            </w:r>
          </w:p>
          <w:p w:rsidR="00000000" w:rsidRPr="00AA4437" w:rsidP="00AA4437">
            <w:pPr>
              <w:pStyle w:val="ListBullet"/>
            </w:pPr>
            <w:r w:rsidRPr="00AA4437">
              <w:t>progressive and retrogressive windings</w:t>
            </w:r>
          </w:p>
          <w:p w:rsidR="00000000" w:rsidRPr="00AA4437" w:rsidP="00AA4437">
            <w:pPr>
              <w:pStyle w:val="BodyText"/>
            </w:pPr>
            <w:r w:rsidRPr="00AA4437">
              <w:t>T3</w:t>
            </w:r>
            <w:r w:rsidRPr="00AA4437">
              <w:tab/>
              <w:t>Simplex lap windings encompassing:</w:t>
            </w:r>
          </w:p>
          <w:p w:rsidR="00000000" w:rsidRPr="00AA4437" w:rsidP="00AA4437">
            <w:pPr>
              <w:pStyle w:val="ListBullet"/>
            </w:pPr>
            <w:r w:rsidRPr="00AA4437">
              <w:t>simplex lap armature winding</w:t>
            </w:r>
          </w:p>
          <w:p w:rsidR="00000000" w:rsidRPr="00AA4437" w:rsidP="00AA4437">
            <w:pPr>
              <w:pStyle w:val="ListBullet"/>
            </w:pPr>
            <w:r w:rsidRPr="00AA4437">
              <w:t>commutator pitch</w:t>
            </w:r>
          </w:p>
          <w:p w:rsidR="00000000" w:rsidRPr="00AA4437" w:rsidP="00AA4437">
            <w:pPr>
              <w:pStyle w:val="ListBullet"/>
            </w:pPr>
            <w:r w:rsidRPr="00AA4437">
              <w:t>number and position of brushes</w:t>
            </w:r>
          </w:p>
          <w:p w:rsidR="00000000" w:rsidRPr="00AA4437" w:rsidP="00AA4437">
            <w:pPr>
              <w:pStyle w:val="ListBullet"/>
            </w:pPr>
            <w:r w:rsidRPr="00AA4437">
              <w:t>characteristics of simplex l</w:t>
            </w:r>
            <w:r w:rsidRPr="00AA4437">
              <w:t>ap windings</w:t>
            </w:r>
          </w:p>
          <w:p w:rsidR="00000000" w:rsidRPr="00AA4437" w:rsidP="00AA4437">
            <w:pPr>
              <w:pStyle w:val="ListBullet"/>
            </w:pPr>
            <w:r w:rsidRPr="00AA4437">
              <w:t>equalising connections for armature windings</w:t>
            </w:r>
          </w:p>
          <w:p w:rsidR="00000000" w:rsidRPr="00AA4437" w:rsidP="00AA4437">
            <w:pPr>
              <w:pStyle w:val="ListBullet"/>
            </w:pPr>
            <w:r w:rsidRPr="00AA4437">
              <w:t>applications for lap windings</w:t>
            </w:r>
          </w:p>
          <w:p w:rsidR="00000000" w:rsidRPr="00AA4437" w:rsidP="00AA4437">
            <w:pPr>
              <w:pStyle w:val="BodyText"/>
            </w:pPr>
            <w:r w:rsidRPr="00AA4437">
              <w:t>T4</w:t>
            </w:r>
            <w:r w:rsidRPr="00AA4437">
              <w:tab/>
              <w:t>Simplex wave windings encompassing:</w:t>
            </w:r>
          </w:p>
          <w:p w:rsidR="00000000" w:rsidRPr="00AA4437" w:rsidP="00AA4437">
            <w:pPr>
              <w:pStyle w:val="ListBullet"/>
            </w:pPr>
            <w:r w:rsidRPr="00AA4437">
              <w:t>simplex wave armature winding</w:t>
            </w:r>
          </w:p>
          <w:p w:rsidR="00000000" w:rsidRPr="00AA4437" w:rsidP="00AA4437">
            <w:pPr>
              <w:pStyle w:val="ListBullet"/>
            </w:pPr>
            <w:r w:rsidRPr="00AA4437">
              <w:t>commutator pitch</w:t>
            </w:r>
          </w:p>
          <w:p w:rsidR="00000000" w:rsidRPr="00AA4437" w:rsidP="00AA4437">
            <w:pPr>
              <w:pStyle w:val="ListBullet"/>
            </w:pPr>
            <w:r w:rsidRPr="00AA4437">
              <w:t>number and position of brushes</w:t>
            </w:r>
          </w:p>
          <w:p w:rsidR="00000000" w:rsidRPr="00AA4437" w:rsidP="00AA4437">
            <w:pPr>
              <w:pStyle w:val="ListBullet"/>
            </w:pPr>
            <w:r w:rsidRPr="00AA4437">
              <w:t>dummy coils</w:t>
            </w:r>
          </w:p>
          <w:p w:rsidR="00000000" w:rsidRPr="00AA4437" w:rsidP="00AA4437">
            <w:pPr>
              <w:pStyle w:val="ListBullet"/>
            </w:pPr>
            <w:r w:rsidRPr="00AA4437">
              <w:t>characteristics of simplex wave windings</w:t>
            </w:r>
          </w:p>
          <w:p w:rsidR="00000000" w:rsidRPr="00AA4437" w:rsidP="00AA4437">
            <w:pPr>
              <w:pStyle w:val="ListBullet"/>
            </w:pPr>
            <w:r w:rsidRPr="00AA4437">
              <w:t>applications of wave windings</w:t>
            </w:r>
          </w:p>
          <w:p w:rsidR="00000000" w:rsidRPr="00AA4437" w:rsidP="00AA4437">
            <w:pPr>
              <w:pStyle w:val="ListBullet"/>
            </w:pPr>
            <w:r w:rsidRPr="00AA4437">
              <w:t>comparison of lap and wave windings</w:t>
            </w:r>
          </w:p>
          <w:p w:rsidR="00000000" w:rsidRPr="00AA4437" w:rsidP="00AA4437">
            <w:pPr>
              <w:pStyle w:val="ListBullet"/>
            </w:pPr>
            <w:r w:rsidRPr="00AA4437">
              <w:t>armature winding calculations</w:t>
            </w:r>
          </w:p>
          <w:p w:rsidR="00000000" w:rsidRPr="00AA4437" w:rsidP="00AA4437">
            <w:pPr>
              <w:pStyle w:val="BodyText"/>
            </w:pPr>
            <w:r w:rsidRPr="00AA4437">
              <w:t>T5</w:t>
            </w:r>
            <w:r w:rsidRPr="00AA4437">
              <w:tab/>
              <w:t>Commutation and interpoles encompassing:</w:t>
            </w:r>
          </w:p>
          <w:p w:rsidR="00000000" w:rsidRPr="00AA4437" w:rsidP="00AA4437">
            <w:pPr>
              <w:pStyle w:val="ListBullet"/>
            </w:pPr>
            <w:r w:rsidRPr="00AA4437">
              <w:t>principles of commutation</w:t>
            </w:r>
          </w:p>
          <w:p w:rsidR="00000000" w:rsidRPr="00AA4437" w:rsidP="00AA4437">
            <w:pPr>
              <w:pStyle w:val="ListBullet"/>
            </w:pPr>
            <w:r w:rsidRPr="00AA4437">
              <w:t>conditions for sparkless commutation</w:t>
            </w:r>
          </w:p>
          <w:p w:rsidR="00000000" w:rsidRPr="00AA4437" w:rsidP="00AA4437">
            <w:pPr>
              <w:pStyle w:val="ListBullet"/>
            </w:pPr>
            <w:r w:rsidRPr="00AA4437">
              <w:t>methods use</w:t>
            </w:r>
            <w:r w:rsidRPr="00AA4437">
              <w:t>d to reduce sparking</w:t>
            </w:r>
          </w:p>
          <w:p w:rsidR="00000000" w:rsidRPr="00AA4437" w:rsidP="00AA4437">
            <w:pPr>
              <w:pStyle w:val="ListBullet"/>
            </w:pPr>
            <w:r w:rsidRPr="00AA4437">
              <w:t>resistance commutation</w:t>
            </w:r>
          </w:p>
          <w:p w:rsidR="00000000" w:rsidRPr="00AA4437" w:rsidP="00AA4437">
            <w:pPr>
              <w:pStyle w:val="ListBullet"/>
            </w:pPr>
            <w:r w:rsidRPr="00AA4437">
              <w:t>e.m.f. commutation</w:t>
            </w:r>
          </w:p>
          <w:p w:rsidR="00000000" w:rsidRPr="00AA4437" w:rsidP="00AA4437">
            <w:pPr>
              <w:pStyle w:val="ListBullet"/>
            </w:pPr>
            <w:r w:rsidRPr="00AA4437">
              <w:t>interpoles or commutating poles</w:t>
            </w:r>
          </w:p>
          <w:p w:rsidR="00000000" w:rsidRPr="00AA4437" w:rsidP="00AA4437">
            <w:pPr>
              <w:pStyle w:val="ListBullet"/>
            </w:pPr>
            <w:r w:rsidRPr="00AA4437">
              <w:t>advantages of interpoles</w:t>
            </w:r>
          </w:p>
          <w:p w:rsidR="00000000" w:rsidRPr="00AA4437" w:rsidP="00AA4437">
            <w:pPr>
              <w:pStyle w:val="BodyText"/>
            </w:pPr>
            <w:r w:rsidRPr="00AA4437">
              <w:t>T6</w:t>
            </w:r>
            <w:r w:rsidRPr="00AA4437">
              <w:tab/>
              <w:t>Alternator windings encompassing:</w:t>
            </w:r>
          </w:p>
          <w:p w:rsidR="00000000" w:rsidRPr="00AA4437" w:rsidP="00AA4437">
            <w:pPr>
              <w:pStyle w:val="ListBullet"/>
            </w:pPr>
            <w:r w:rsidRPr="00AA4437">
              <w:t>elementary single-phase stator winding</w:t>
            </w:r>
          </w:p>
          <w:p w:rsidR="00000000" w:rsidRPr="00AA4437" w:rsidP="00AA4437">
            <w:pPr>
              <w:pStyle w:val="ListBullet"/>
            </w:pPr>
            <w:r w:rsidRPr="00AA4437">
              <w:t>elementary three-phase stator winding</w:t>
            </w:r>
          </w:p>
          <w:p w:rsidR="00000000" w:rsidRPr="00AA4437" w:rsidP="00AA4437">
            <w:pPr>
              <w:pStyle w:val="ListBullet"/>
            </w:pPr>
            <w:r w:rsidRPr="00AA4437">
              <w:t>half-coil and whole-c</w:t>
            </w:r>
            <w:r w:rsidRPr="00AA4437">
              <w:t>oil windings</w:t>
            </w:r>
          </w:p>
          <w:p w:rsidR="00000000" w:rsidRPr="00AA4437" w:rsidP="00AA4437">
            <w:pPr>
              <w:pStyle w:val="ListBullet"/>
            </w:pPr>
            <w:r w:rsidRPr="00AA4437">
              <w:t>concentrated and distributed windings</w:t>
            </w:r>
          </w:p>
          <w:p w:rsidR="00000000" w:rsidRPr="00AA4437" w:rsidP="00AA4437">
            <w:pPr>
              <w:pStyle w:val="ListBullet"/>
            </w:pPr>
            <w:r w:rsidRPr="00AA4437">
              <w:t>chain, lap and wave windings</w:t>
            </w:r>
          </w:p>
          <w:p w:rsidR="00000000" w:rsidRPr="00AA4437" w:rsidP="00AA4437">
            <w:pPr>
              <w:pStyle w:val="ListBullet"/>
            </w:pPr>
            <w:r w:rsidRPr="00AA4437">
              <w:t>pole-pitch and coil-span</w:t>
            </w:r>
          </w:p>
          <w:p w:rsidR="00000000" w:rsidRPr="00AA4437" w:rsidP="00AA4437">
            <w:pPr>
              <w:pStyle w:val="ListBullet"/>
            </w:pPr>
            <w:r w:rsidRPr="00AA4437">
              <w:t>half-coil winding for a three-phase alternator</w:t>
            </w:r>
          </w:p>
          <w:p w:rsidR="00000000" w:rsidRPr="00AA4437" w:rsidP="00AA4437">
            <w:pPr>
              <w:pStyle w:val="ListBullet"/>
            </w:pPr>
            <w:r w:rsidRPr="00AA4437">
              <w:t>whole-coil stator winding for a three-phase alternator</w:t>
            </w:r>
          </w:p>
          <w:p w:rsidR="00000000" w:rsidRPr="00AA4437" w:rsidP="00AA4437">
            <w:pPr>
              <w:pStyle w:val="BodyText"/>
            </w:pPr>
            <w:r w:rsidRPr="00AA4437">
              <w:t>T7</w:t>
            </w:r>
            <w:r w:rsidRPr="00AA4437">
              <w:tab/>
            </w:r>
            <w:r w:rsidRPr="00AA4437">
              <w:t>Breadth factor and sinusoidal output encompassing:</w:t>
            </w:r>
          </w:p>
          <w:p w:rsidR="00000000" w:rsidRPr="00AA4437" w:rsidP="00AA4437">
            <w:pPr>
              <w:pStyle w:val="ListBullet"/>
            </w:pPr>
            <w:r w:rsidRPr="00AA4437">
              <w:t>breadth factor</w:t>
            </w:r>
          </w:p>
          <w:p w:rsidR="00000000" w:rsidRPr="00AA4437" w:rsidP="00AA4437">
            <w:pPr>
              <w:pStyle w:val="ListBullet"/>
            </w:pPr>
            <w:r w:rsidRPr="00AA4437">
              <w:t>e.m.f. equation for an alternator</w:t>
            </w:r>
          </w:p>
          <w:p w:rsidR="00000000" w:rsidRPr="00AA4437" w:rsidP="00AA4437">
            <w:pPr>
              <w:pStyle w:val="ListBullet"/>
            </w:pPr>
            <w:r w:rsidRPr="00AA4437">
              <w:t>methods of obtaining sinusoidal wave form</w:t>
            </w:r>
          </w:p>
          <w:p w:rsidR="00000000" w:rsidRPr="00AA4437" w:rsidP="00AA4437">
            <w:pPr>
              <w:pStyle w:val="ListBullet"/>
            </w:pPr>
            <w:r w:rsidRPr="00AA4437">
              <w:t>star and delta connection of alternator windings</w:t>
            </w:r>
          </w:p>
          <w:p w:rsidR="00000000" w:rsidRPr="00AA4437" w:rsidP="00AA4437">
            <w:pPr>
              <w:pStyle w:val="BodyText"/>
            </w:pPr>
            <w:r w:rsidRPr="00AA4437">
              <w:t>T8</w:t>
            </w:r>
            <w:r w:rsidRPr="00AA4437">
              <w:tab/>
              <w:t>Rating, cooling and regulation encompassing:</w:t>
            </w:r>
          </w:p>
          <w:p w:rsidR="00000000" w:rsidRPr="00AA4437" w:rsidP="00AA4437">
            <w:pPr>
              <w:pStyle w:val="ListBullet"/>
            </w:pPr>
            <w:r w:rsidRPr="00AA4437">
              <w:t>rating of alter</w:t>
            </w:r>
            <w:r w:rsidRPr="00AA4437">
              <w:t>nators</w:t>
            </w:r>
          </w:p>
          <w:p w:rsidR="00000000" w:rsidRPr="00AA4437" w:rsidP="00AA4437">
            <w:pPr>
              <w:pStyle w:val="ListBullet"/>
            </w:pPr>
            <w:r w:rsidRPr="00AA4437">
              <w:t>cooling of alternators</w:t>
            </w:r>
          </w:p>
          <w:p w:rsidR="00000000" w:rsidRPr="00AA4437" w:rsidP="00AA4437">
            <w:pPr>
              <w:pStyle w:val="ListBullet"/>
            </w:pPr>
            <w:r w:rsidRPr="00AA4437">
              <w:t>the voltage regulator</w:t>
            </w:r>
          </w:p>
          <w:p w:rsidR="00000000" w:rsidRPr="00AA4437" w:rsidP="00AA4437">
            <w:pPr>
              <w:pStyle w:val="BodyText"/>
            </w:pPr>
            <w:r w:rsidRPr="00AA4437">
              <w:t>T9</w:t>
            </w:r>
            <w:r w:rsidRPr="00AA4437">
              <w:tab/>
              <w:t>Testing techniques encompassing:</w:t>
            </w:r>
          </w:p>
          <w:p w:rsidR="00000000" w:rsidRPr="00AA4437" w:rsidP="00AA4437">
            <w:pPr>
              <w:pStyle w:val="ListBullet"/>
            </w:pPr>
            <w:r w:rsidRPr="00AA4437">
              <w:t>continuity</w:t>
            </w:r>
          </w:p>
          <w:p w:rsidR="00000000" w:rsidRPr="00AA4437" w:rsidP="00AA4437">
            <w:pPr>
              <w:pStyle w:val="ListBullet"/>
            </w:pPr>
            <w:r w:rsidRPr="00AA4437">
              <w:t>insulation testing</w:t>
            </w:r>
          </w:p>
          <w:p w:rsidR="00000000" w:rsidRPr="00AA4437" w:rsidP="00AA4437">
            <w:pPr>
              <w:pStyle w:val="ListBullet"/>
            </w:pPr>
            <w:r w:rsidRPr="00AA4437">
              <w:t>use of ‘growler’</w:t>
            </w:r>
          </w:p>
          <w:p w:rsidR="00000000" w:rsidRPr="00AA4437" w:rsidP="00AA4437">
            <w:pPr>
              <w:pStyle w:val="ListBullet"/>
            </w:pPr>
            <w:r w:rsidRPr="00AA4437">
              <w:t>magnetic field testing</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10" w:name="O_591155"/>
      <w:bookmarkEnd w:id="10"/>
      <w:r w:rsidRPr="00AA4437">
        <w:t>Evidence Guide</w:t>
      </w:r>
    </w:p>
    <w:tbl>
      <w:tblPr>
        <w:tblW w:w="0" w:type="auto"/>
        <w:tblLayout w:type="fixed"/>
        <w:tblCellMar>
          <w:left w:w="62" w:type="dxa"/>
          <w:right w:w="62" w:type="dxa"/>
        </w:tblCellMar>
        <w:tblLook w:val="0000"/>
      </w:tblPr>
      <w:tblGrid>
        <w:gridCol w:w="8460"/>
      </w:tblGrid>
      <w:tr w:rsidTr="00373971">
        <w:tblPrEx>
          <w:tblW w:w="0" w:type="auto"/>
          <w:tblLayout w:type="fixed"/>
          <w:tblCellMar>
            <w:left w:w="62" w:type="dxa"/>
            <w:right w:w="62" w:type="dxa"/>
          </w:tblCellMar>
          <w:tblLook w:val="0000"/>
        </w:tblPrEx>
        <w:trPr>
          <w:trHeight w:val="436"/>
          <w:tblHeader/>
        </w:trPr>
        <w:tc>
          <w:tcPr>
            <w:tcW w:w="84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EVIDENCE GUIDE</w:t>
            </w:r>
          </w:p>
        </w:tc>
      </w:tr>
      <w:tr w:rsidTr="003739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9)</w:t>
            </w:r>
            <w:r w:rsidRPr="00AA4437">
              <w:t xml:space="preserve"> The eviden</w:t>
            </w:r>
            <w:r w:rsidRPr="00AA4437">
              <w:t xml:space="preserve">ce guide provides advice on assessment and must be read in conjunction with the Performance Criteria, Required Skills and Knowledge, the Range Statement and the Assessment Guidelines for this Training Package. </w:t>
            </w:r>
          </w:p>
          <w:p w:rsidR="00000000" w:rsidRPr="00AA4437" w:rsidP="00AA4437">
            <w:pPr>
              <w:pStyle w:val="BodyText"/>
            </w:pPr>
            <w:r w:rsidRPr="00AA4437">
              <w:t xml:space="preserve">The Evidence Guide forms an integral part of </w:t>
            </w:r>
            <w:r w:rsidRPr="00AA4437">
              <w:t>this unit. It must be used in conjunction with all parts of this unit and performed in accordance with the Assessment Guidelines of this Training Package.</w:t>
            </w:r>
          </w:p>
        </w:tc>
      </w:tr>
    </w:tbl>
    <w:p w:rsidR="00000000" w:rsidRPr="00AA4437" w:rsidP="00AA4437">
      <w:pPr>
        <w:pStyle w:val="BodyText"/>
      </w:pPr>
    </w:p>
    <w:tbl>
      <w:tblPr>
        <w:tblW w:w="0" w:type="auto"/>
        <w:tblLayout w:type="fixed"/>
        <w:tblCellMar>
          <w:left w:w="62" w:type="dxa"/>
          <w:right w:w="62" w:type="dxa"/>
        </w:tblCellMar>
        <w:tblLook w:val="0000"/>
      </w:tblPr>
      <w:tblGrid>
        <w:gridCol w:w="1890"/>
        <w:gridCol w:w="6570"/>
      </w:tblGrid>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9.1)</w:t>
            </w:r>
          </w:p>
        </w:tc>
      </w:tr>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Longitudinal competency development approaches to assessment, such as Profiling, require data to be reliably gathered in a form that can be consistently interpreted over time. This approach is best utilised in Apprenticeship programs and reduces assessment</w:t>
            </w:r>
            <w:r w:rsidRPr="00AA443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A4437">
              <w:t>tency in a realistically simulated work environment. It is recognised that, in some circumstances, assessment in part or full can occur outside the workplace. However, it must be in accordance with industry and regulatory policy.</w:t>
            </w:r>
          </w:p>
          <w:p w:rsidR="00000000" w:rsidRPr="00AA4437" w:rsidP="00AA4437">
            <w:pPr>
              <w:pStyle w:val="BodyText"/>
            </w:pPr>
            <w:r w:rsidRPr="00AA4437">
              <w:t>Methods chosen for a parti</w:t>
            </w:r>
            <w:r w:rsidRPr="00AA4437">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A4437">
              <w:t>the critical nature of the competencies being assessed.</w:t>
            </w:r>
          </w:p>
          <w:p w:rsidR="00000000" w:rsidRPr="00AA4437" w:rsidP="00AA4437">
            <w:pPr>
              <w:pStyle w:val="BodyText"/>
            </w:pPr>
            <w:r w:rsidRPr="00AA4437">
              <w:t>The critical safety nature of working with electricity, electrical equipment, gas or any other hazardous substance/material carries risk in deeming a person competent. Sources of evidence need to be ‘</w:t>
            </w:r>
            <w:r w:rsidRPr="00AA4437">
              <w:t>rich’ in nature to minimise error in judgment.</w:t>
            </w:r>
          </w:p>
          <w:p w:rsidR="00000000" w:rsidRPr="00AA4437" w:rsidP="00AA4437">
            <w:pPr>
              <w:pStyle w:val="BodyText"/>
            </w:pPr>
            <w:r w:rsidRPr="00AA4437">
              <w:t xml:space="preserve">Activities associated with normal every day work have a bearing on the decision as to how much and how detailed the data gathered will contribute to its ‘richness’. Some skills are more critical to safety and </w:t>
            </w:r>
            <w:r w:rsidRPr="00AA4437">
              <w:t>operational requirements while the same skills may be more or less frequently practised. These points are raised for the assessors to consider when choosing an assessment method and developing assessment instruments. Sample assessment instruments are inclu</w:t>
            </w:r>
            <w:r w:rsidRPr="00AA4437">
              <w:t>ded for Assessors in the Assessment Guidelines of this Training Package.</w:t>
            </w:r>
          </w:p>
        </w:tc>
      </w:tr>
    </w:tbl>
    <w:p w:rsidR="00000000" w:rsidRPr="00AA4437" w:rsidP="00AA4437">
      <w:pPr>
        <w:pStyle w:val="BodyText"/>
      </w:pPr>
    </w:p>
    <w:tbl>
      <w:tblPr>
        <w:tblW w:w="0" w:type="auto"/>
        <w:tblLayout w:type="fixed"/>
        <w:tblCellMar>
          <w:left w:w="62" w:type="dxa"/>
          <w:right w:w="62" w:type="dxa"/>
        </w:tblCellMar>
        <w:tblLook w:val="0000"/>
      </w:tblPr>
      <w:tblGrid>
        <w:gridCol w:w="1890"/>
        <w:gridCol w:w="6570"/>
      </w:tblGrid>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9.2)</w:t>
            </w:r>
          </w:p>
        </w:tc>
      </w:tr>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Before the critical aspects of evidence are considered all prerequisites shall be met.</w:t>
            </w:r>
          </w:p>
          <w:p w:rsidR="00000000" w:rsidRPr="00AA4437" w:rsidP="00AA4437">
            <w:pPr>
              <w:pStyle w:val="BodyText"/>
            </w:pPr>
            <w:r w:rsidRPr="00AA4437">
              <w:t>Evidence f</w:t>
            </w:r>
            <w:r w:rsidRPr="00AA4437">
              <w:t>or competence in this unit shall be considered holistically.  Each element and associated performance criteria shall be demonstrated on at least two occasions in accordance with the ‘Assessment Guidelines – UEE11’.  Evidence shall also comprise:</w:t>
            </w:r>
          </w:p>
          <w:p w:rsidR="00000000" w:rsidRPr="00AA4437" w:rsidP="00AA4437">
            <w:pPr>
              <w:pStyle w:val="ListBullet"/>
            </w:pPr>
            <w:r w:rsidRPr="00AA4437">
              <w:t>A represe</w:t>
            </w:r>
            <w:r w:rsidRPr="00AA4437">
              <w:t>ntative body of work performance demonstrated within the timeframes typically expected of the discipline, work function and industrial environment. In particular this shall incorporate evidence that shows a candidate is able to:</w:t>
            </w:r>
          </w:p>
          <w:p w:rsidR="00000000" w:rsidRPr="00AA4437" w:rsidP="00AA4437">
            <w:pPr>
              <w:pStyle w:val="ListBullet2"/>
            </w:pPr>
            <w:r w:rsidRPr="00AA4437">
              <w:t>Implement Occupational Health and Safety workplace procedures and practices including the use of risk control measures as specified in the performance criteria and range statement</w:t>
            </w:r>
          </w:p>
          <w:p w:rsidR="00000000" w:rsidRPr="00AA4437" w:rsidP="00AA4437">
            <w:pPr>
              <w:pStyle w:val="ListBullet2"/>
            </w:pPr>
            <w:r w:rsidRPr="00AA4437">
              <w:t>Apply sustainable energy principles and practices as specified in the perfor</w:t>
            </w:r>
            <w:r w:rsidRPr="00AA4437">
              <w:t>mance criteria and range statement</w:t>
            </w:r>
          </w:p>
          <w:p w:rsidR="00000000" w:rsidRPr="00AA4437" w:rsidP="00AA4437">
            <w:pPr>
              <w:pStyle w:val="ListBullet2"/>
            </w:pPr>
            <w:r w:rsidRPr="00AA4437">
              <w:t>Demonstrate an understanding of the essential knowledge and associated skills as described in this unit.  It may be required by some jurisdictions that RTOs provide a percentile graded result for the purpose of regulatory</w:t>
            </w:r>
            <w:r w:rsidRPr="00AA4437">
              <w:t xml:space="preserve"> or licensing requirements.   </w:t>
            </w:r>
          </w:p>
          <w:p w:rsidR="00000000" w:rsidRPr="00AA4437" w:rsidP="00AA4437">
            <w:pPr>
              <w:pStyle w:val="ListBullet2"/>
            </w:pPr>
            <w:r w:rsidRPr="00AA4437">
              <w:t>Demonstrate an appropriate level of skills enabling employment</w:t>
            </w:r>
          </w:p>
          <w:p w:rsidR="00000000" w:rsidRPr="00AA4437" w:rsidP="00AA4437">
            <w:pPr>
              <w:pStyle w:val="ListBullet2"/>
            </w:pPr>
            <w:r w:rsidRPr="00AA4437">
              <w:t>Conduct work observing the relevant Anti Discrimination legislation, regulations, polices and workplace procedures</w:t>
            </w:r>
          </w:p>
          <w:p w:rsidR="00000000" w:rsidRPr="00AA4437" w:rsidP="00AA4437">
            <w:pPr>
              <w:pStyle w:val="ListBullet"/>
            </w:pPr>
            <w:r w:rsidRPr="00AA4437">
              <w:t>Demonstrated consistent performance across a r</w:t>
            </w:r>
            <w:r w:rsidRPr="00AA4437">
              <w:t>epresentative range of contexts from the prescribed items below:</w:t>
            </w:r>
          </w:p>
          <w:p w:rsidR="00000000" w:rsidRPr="00AA4437" w:rsidP="00AA4437">
            <w:pPr>
              <w:pStyle w:val="ListBullet2"/>
            </w:pPr>
            <w:r w:rsidRPr="00AA4437">
              <w:t>Design and develop modifications to electrical machines as described as described in 8) and including:</w:t>
            </w:r>
          </w:p>
          <w:p w:rsidR="00000000" w:rsidRPr="00AA4437" w:rsidP="00AA4437">
            <w:pPr>
              <w:pStyle w:val="BodyText"/>
            </w:pPr>
            <w:r w:rsidRPr="00AA4437">
              <w:t>A</w:t>
            </w:r>
            <w:r w:rsidRPr="00AA4437">
              <w:tab/>
              <w:t xml:space="preserve">Determining the extent of work correctly. </w:t>
            </w:r>
          </w:p>
          <w:p w:rsidR="00000000" w:rsidRPr="00AA4437" w:rsidP="00AA4437">
            <w:pPr>
              <w:pStyle w:val="BodyText"/>
            </w:pPr>
            <w:r w:rsidRPr="00AA4437">
              <w:t>B</w:t>
            </w:r>
            <w:r w:rsidRPr="00AA4437">
              <w:tab/>
              <w:t>Designing modification to meet requireme</w:t>
            </w:r>
            <w:r w:rsidRPr="00AA4437">
              <w:t>nts.</w:t>
            </w:r>
          </w:p>
          <w:p w:rsidR="00000000" w:rsidRPr="00AA4437" w:rsidP="00AA4437">
            <w:pPr>
              <w:pStyle w:val="BodyText"/>
            </w:pPr>
            <w:r w:rsidRPr="00AA4437">
              <w:t>C</w:t>
            </w:r>
            <w:r w:rsidRPr="00AA4437">
              <w:tab/>
              <w:t>Documenting modification specifications clearly.</w:t>
            </w:r>
          </w:p>
          <w:p w:rsidR="00000000" w:rsidRPr="00AA4437" w:rsidP="00AA4437">
            <w:pPr>
              <w:pStyle w:val="BodyText"/>
            </w:pPr>
            <w:r w:rsidRPr="00AA4437">
              <w:t>D</w:t>
            </w:r>
            <w:r w:rsidRPr="00AA4437">
              <w:tab/>
              <w:t>Arranging for formal certification of modifications.</w:t>
            </w:r>
          </w:p>
          <w:p w:rsidR="00000000" w:rsidRPr="00AA4437" w:rsidP="00AA4437">
            <w:pPr>
              <w:pStyle w:val="BodyText"/>
            </w:pPr>
            <w:r w:rsidRPr="00AA4437">
              <w:t>E</w:t>
            </w:r>
            <w:r w:rsidRPr="00AA4437">
              <w:tab/>
              <w:t>Completing final report.</w:t>
            </w:r>
          </w:p>
          <w:p w:rsidR="00000000" w:rsidRPr="00AA4437" w:rsidP="00AA4437">
            <w:pPr>
              <w:pStyle w:val="BodyText"/>
            </w:pPr>
            <w:r w:rsidRPr="00AA4437">
              <w:t>F</w:t>
            </w:r>
            <w:r w:rsidRPr="00AA4437">
              <w:tab/>
              <w:t>Dealing with unplanned events by drawing on essential knowledge and skills to provide appropriate solu</w:t>
            </w:r>
            <w:r w:rsidRPr="00AA4437">
              <w:t>tions incorporated in the holistic assessment with the above listed items.</w:t>
            </w:r>
          </w:p>
        </w:tc>
      </w:tr>
    </w:tbl>
    <w:p w:rsidR="00000000" w:rsidRPr="00AA4437" w:rsidP="00AA4437">
      <w:pPr>
        <w:pStyle w:val="BodyText"/>
      </w:pPr>
    </w:p>
    <w:tbl>
      <w:tblPr>
        <w:tblW w:w="0" w:type="auto"/>
        <w:tblLayout w:type="fixed"/>
        <w:tblCellMar>
          <w:left w:w="62" w:type="dxa"/>
          <w:right w:w="62" w:type="dxa"/>
        </w:tblCellMar>
        <w:tblLook w:val="0000"/>
      </w:tblPr>
      <w:tblGrid>
        <w:gridCol w:w="1890"/>
        <w:gridCol w:w="6570"/>
      </w:tblGrid>
      <w:tr w:rsidTr="003739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9.3)</w:t>
            </w:r>
          </w:p>
        </w:tc>
      </w:tr>
      <w:tr w:rsidTr="003739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This unit should be assessed as it relates to normal work practice using procedures, information and resources typical of a</w:t>
            </w:r>
            <w:r w:rsidRPr="00AA4437">
              <w:t xml:space="preserve"> workplace. This should include:</w:t>
            </w:r>
          </w:p>
          <w:p w:rsidR="00000000" w:rsidRPr="00AA4437" w:rsidP="00AA4437">
            <w:pPr>
              <w:pStyle w:val="BodyText"/>
            </w:pPr>
            <w:r w:rsidRPr="00AA4437">
              <w:t>OHS policy and work procedures and instructions.</w:t>
            </w:r>
          </w:p>
          <w:p w:rsidR="00000000" w:rsidRPr="00AA4437" w:rsidP="00AA4437">
            <w:pPr>
              <w:pStyle w:val="BodyText"/>
            </w:pPr>
            <w:r w:rsidRPr="00AA4437">
              <w:t>Suitable work environment, facilities, equipment and materials to undertake actual work as prescribed by this unit.</w:t>
            </w:r>
          </w:p>
          <w:p w:rsidR="00000000" w:rsidRPr="00AA4437" w:rsidP="00AA4437">
            <w:pPr>
              <w:pStyle w:val="BodyText"/>
            </w:pPr>
            <w:r w:rsidRPr="00AA4437">
              <w:t>These should be part of the formal learning/assessment env</w:t>
            </w:r>
            <w:r w:rsidRPr="00AA4437">
              <w:t>ironment.</w:t>
            </w:r>
          </w:p>
          <w:p w:rsidR="00000000" w:rsidRPr="00AA4437" w:rsidP="00AA4437">
            <w:pPr>
              <w:pStyle w:val="BodyText"/>
            </w:pPr>
            <w:r w:rsidRPr="00AA4437">
              <w:t>Note:</w:t>
            </w:r>
          </w:p>
          <w:p w:rsidR="00000000" w:rsidRPr="00AA4437" w:rsidP="00AA4437">
            <w:pPr>
              <w:pStyle w:val="BodyText"/>
            </w:pPr>
            <w:r w:rsidRPr="00AA4437">
              <w:t>Where simulation is considered a suitable strategy for assessment, conditions must be authentic and as far as possible reproduce and replicate the workplace and be consistent with the approved industry simulation policy.</w:t>
            </w:r>
          </w:p>
          <w:p w:rsidR="00000000" w:rsidRPr="00AA4437" w:rsidP="00AA4437">
            <w:pPr>
              <w:pStyle w:val="BodyText"/>
            </w:pPr>
            <w:r w:rsidRPr="00AA4437">
              <w:t xml:space="preserve">The resources used </w:t>
            </w:r>
            <w:r w:rsidRPr="00AA4437">
              <w:t>for assessment should reflect current industry practices in relation to designing and developing modifications to electrical machines.</w:t>
            </w:r>
          </w:p>
        </w:tc>
      </w:tr>
    </w:tbl>
    <w:p w:rsidR="00000000" w:rsidRPr="00AA4437" w:rsidP="00AA4437">
      <w:pPr>
        <w:pStyle w:val="BodyText"/>
      </w:pPr>
    </w:p>
    <w:tbl>
      <w:tblPr>
        <w:tblW w:w="0" w:type="auto"/>
        <w:tblLayout w:type="fixed"/>
        <w:tblCellMar>
          <w:left w:w="62" w:type="dxa"/>
          <w:right w:w="62" w:type="dxa"/>
        </w:tblCellMar>
        <w:tblLook w:val="0000"/>
      </w:tblPr>
      <w:tblGrid>
        <w:gridCol w:w="1890"/>
        <w:gridCol w:w="6570"/>
      </w:tblGrid>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9.4)</w:t>
            </w:r>
          </w:p>
        </w:tc>
      </w:tr>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This unit shall be assessed by methods given in Volume 1, Part 3 ‘Assessment Guidelines’.</w:t>
            </w:r>
          </w:p>
          <w:p w:rsidR="00000000" w:rsidRPr="00AA4437" w:rsidP="00AA4437">
            <w:pPr>
              <w:pStyle w:val="BodyText"/>
            </w:pPr>
            <w:r w:rsidRPr="00AA4437">
              <w:t xml:space="preserve">Note: </w:t>
            </w:r>
          </w:p>
          <w:p w:rsidR="00000000" w:rsidRPr="00AA4437" w:rsidP="00AA4437">
            <w:pPr>
              <w:pStyle w:val="BodyText"/>
            </w:pPr>
            <w:r w:rsidRPr="00AA4437">
              <w:t>Competent performance with inherent safe working practices is expected in the industry to which this unit applies. This requires assessment in a structured environment which is primarily intended for learning/assessment and incorporates all necessar</w:t>
            </w:r>
            <w:r w:rsidRPr="00AA4437">
              <w:t>y equipment and facilities for learners to develop and demonstrate the essential knowledge and skills described in this unit.</w:t>
            </w:r>
          </w:p>
        </w:tc>
      </w:tr>
    </w:tbl>
    <w:p w:rsidR="00000000" w:rsidRPr="00AA4437" w:rsidP="00AA4437">
      <w:pPr>
        <w:pStyle w:val="BodyText"/>
      </w:pPr>
    </w:p>
    <w:tbl>
      <w:tblPr>
        <w:tblW w:w="0" w:type="auto"/>
        <w:tblLayout w:type="fixed"/>
        <w:tblCellMar>
          <w:left w:w="62" w:type="dxa"/>
          <w:right w:w="62" w:type="dxa"/>
        </w:tblCellMar>
        <w:tblLook w:val="0000"/>
      </w:tblPr>
      <w:tblGrid>
        <w:gridCol w:w="1890"/>
        <w:gridCol w:w="6570"/>
      </w:tblGrid>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9.5)</w:t>
            </w:r>
          </w:p>
        </w:tc>
      </w:tr>
      <w:tr w:rsidTr="003739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There are no concurrent assessment recommendations for this unit.</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11" w:name="O_591154"/>
      <w:bookmarkEnd w:id="11"/>
      <w:r w:rsidRPr="00AA4437">
        <w:t>Range Statement</w:t>
      </w:r>
    </w:p>
    <w:tbl>
      <w:tblPr>
        <w:tblW w:w="0" w:type="auto"/>
        <w:tblLayout w:type="fixed"/>
        <w:tblCellMar>
          <w:left w:w="62" w:type="dxa"/>
          <w:right w:w="62" w:type="dxa"/>
        </w:tblCellMar>
        <w:tblLook w:val="0000"/>
      </w:tblPr>
      <w:tblGrid>
        <w:gridCol w:w="8460"/>
      </w:tblGrid>
      <w:tr w:rsidTr="003739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RANGE STATEMENT</w:t>
            </w:r>
          </w:p>
        </w:tc>
      </w:tr>
      <w:tr w:rsidTr="003739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10)</w:t>
            </w:r>
            <w:r w:rsidRPr="00AA4437">
              <w:t xml:space="preserve"> This relates to the unit as a whole providing the range of contexts and conditions to which the performance criteria </w:t>
            </w:r>
            <w:r w:rsidRPr="00AA4437">
              <w:t>apply. It allows for different work environments and situations that will affect performance.</w:t>
            </w:r>
          </w:p>
          <w:p w:rsidR="00000000" w:rsidRPr="00AA4437" w:rsidP="00AA4437">
            <w:pPr>
              <w:pStyle w:val="BodyText"/>
            </w:pPr>
            <w:r w:rsidRPr="00AA4437">
              <w:t>This unit shall be demonstrated in relation to designing and developing modifications to at least two different types of electrical machines.</w:t>
            </w:r>
          </w:p>
          <w:p w:rsidR="00000000" w:rsidRPr="00AA4437" w:rsidP="00AA4437">
            <w:pPr>
              <w:pStyle w:val="BodyText"/>
            </w:pPr>
            <w:r w:rsidRPr="00AA4437">
              <w:t>Generic terms used t</w:t>
            </w:r>
            <w:r w:rsidRPr="00AA4437">
              <w:t>hroughout this Vocational Standard shall be regarded as part of the Range Statement in which competency is demonstrated. The definition of these and other terms that apply are given in Volume 2, Part 2.1.</w:t>
            </w:r>
          </w:p>
        </w:tc>
      </w:tr>
    </w:tbl>
    <w:p w:rsidR="00000000" w:rsidRPr="00AA4437" w:rsidP="00AA4437">
      <w:pPr>
        <w:pStyle w:val="BodyText"/>
      </w:pPr>
    </w:p>
    <w:p w:rsidR="00000000" w:rsidRPr="00AA4437" w:rsidP="00AA4437">
      <w:pPr>
        <w:pStyle w:val="AllowPageBreak"/>
      </w:pPr>
    </w:p>
    <w:p w:rsidR="00000000" w:rsidRPr="00AA4437" w:rsidP="00AA4437">
      <w:pPr>
        <w:pStyle w:val="Heading1"/>
      </w:pPr>
      <w:bookmarkStart w:id="12" w:name="O_591153"/>
      <w:bookmarkEnd w:id="12"/>
      <w:r w:rsidRPr="00AA4437">
        <w:t>Unit Sector(s)</w:t>
      </w:r>
    </w:p>
    <w:p w:rsidR="00000000" w:rsidRPr="00AA4437" w:rsidP="00AA4437">
      <w:pPr>
        <w:pStyle w:val="BodyText"/>
      </w:pPr>
      <w:r w:rsidRPr="00AA4437">
        <w:t>Not applicable.</w:t>
      </w:r>
    </w:p>
    <w:p w:rsidR="00000000" w:rsidRPr="00AA4437" w:rsidP="00AA4437">
      <w:pPr>
        <w:pStyle w:val="AllowPageBreak"/>
      </w:pPr>
    </w:p>
    <w:p w:rsidR="00000000" w:rsidRPr="00AA4437" w:rsidP="00AA4437">
      <w:pPr>
        <w:pStyle w:val="Heading1"/>
      </w:pPr>
      <w:bookmarkStart w:id="13" w:name="O_591152"/>
      <w:bookmarkEnd w:id="13"/>
      <w:r w:rsidRPr="00AA4437">
        <w:t>Competency Field</w:t>
      </w:r>
    </w:p>
    <w:tbl>
      <w:tblPr>
        <w:tblW w:w="0" w:type="auto"/>
        <w:tblLayout w:type="fixed"/>
        <w:tblCellMar>
          <w:left w:w="62" w:type="dxa"/>
          <w:right w:w="62" w:type="dxa"/>
        </w:tblCellMar>
        <w:tblLook w:val="0000"/>
      </w:tblPr>
      <w:tblGrid>
        <w:gridCol w:w="2700"/>
        <w:gridCol w:w="5760"/>
      </w:tblGrid>
      <w:tr w:rsidTr="003739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4437">
            <w:pPr>
              <w:pStyle w:val="BodyText"/>
              <w:rPr>
                <w:lang w:val="en-NZ"/>
              </w:rPr>
            </w:pPr>
            <w:r w:rsidRPr="00AA4437">
              <w:rPr>
                <w:rStyle w:val="SpecialBold"/>
              </w:rPr>
              <w:t xml:space="preserve">11) </w:t>
            </w:r>
          </w:p>
        </w:tc>
      </w:tr>
      <w:tr w:rsidTr="003739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4437" w:rsidP="00AA4437">
            <w:pPr>
              <w:pStyle w:val="BodyText"/>
            </w:pPr>
            <w:r w:rsidRPr="00AA4437">
              <w:t>Electrical</w:t>
            </w:r>
          </w:p>
        </w:tc>
      </w:tr>
    </w:tbl>
    <w:p w:rsidR="00000000" w:rsidRPr="00AA4437" w:rsidP="00AA4437">
      <w:pPr>
        <w:pStyle w:val="BodyText"/>
      </w:pPr>
    </w:p>
    <w:p w:rsidR="00000000" w:rsidRPr="00AA4437" w:rsidP="00AA4437"/>
    <w:sectPr w:rsidSect="00AA4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rsidRPr="00373971" w:rsidP="00373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71" w:rsidP="00AA4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73971" w:rsidP="00AA44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73971" w:rsidP="00AA4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rsidRPr="00373971" w:rsidP="003739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71" w:rsidRPr="002D2AF8" w:rsidP="00AA4437">
    <w:pPr>
      <w:pStyle w:val="Header"/>
      <w:framePr w:wrap="around"/>
    </w:pPr>
    <w:r>
      <w:fldChar w:fldCharType="begin"/>
    </w:r>
    <w:r>
      <w:instrText xml:space="preserve"> TITLE   \* MERGEFORMAT </w:instrText>
    </w:r>
    <w:r>
      <w:fldChar w:fldCharType="separate"/>
    </w:r>
    <w:r>
      <w:t>UEENEEG161A Design and develop modifications to LV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73971" w:rsidP="00AA4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AA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A6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C0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437"/>
    <w:pPr>
      <w:spacing w:before="360" w:after="60"/>
      <w:outlineLvl w:val="0"/>
    </w:pPr>
    <w:rPr>
      <w:sz w:val="32"/>
    </w:rPr>
  </w:style>
  <w:style w:type="paragraph" w:styleId="Heading2">
    <w:name w:val="heading 2"/>
    <w:basedOn w:val="HeadingBase"/>
    <w:next w:val="BodyText"/>
    <w:link w:val="Heading2Char"/>
    <w:qFormat/>
    <w:rsid w:val="00AA4437"/>
    <w:pPr>
      <w:keepLines/>
      <w:spacing w:before="240" w:after="120"/>
      <w:outlineLvl w:val="1"/>
    </w:pPr>
    <w:rPr>
      <w:sz w:val="28"/>
      <w:szCs w:val="40"/>
    </w:rPr>
  </w:style>
  <w:style w:type="paragraph" w:styleId="Heading3">
    <w:name w:val="heading 3"/>
    <w:basedOn w:val="HeadingBase"/>
    <w:next w:val="BodyText"/>
    <w:link w:val="Heading3Char"/>
    <w:qFormat/>
    <w:rsid w:val="00AA4437"/>
    <w:pPr>
      <w:spacing w:before="180" w:after="120"/>
      <w:outlineLvl w:val="2"/>
    </w:pPr>
    <w:rPr>
      <w:spacing w:val="-10"/>
      <w:kern w:val="32"/>
    </w:rPr>
  </w:style>
  <w:style w:type="paragraph" w:styleId="Heading4">
    <w:name w:val="heading 4"/>
    <w:basedOn w:val="HeadingBase"/>
    <w:next w:val="BodyText"/>
    <w:link w:val="Heading4Char"/>
    <w:qFormat/>
    <w:rsid w:val="00AA4437"/>
    <w:pPr>
      <w:spacing w:before="160" w:after="120"/>
      <w:outlineLvl w:val="3"/>
    </w:pPr>
    <w:rPr>
      <w:sz w:val="22"/>
    </w:rPr>
  </w:style>
  <w:style w:type="paragraph" w:styleId="Heading5">
    <w:name w:val="heading 5"/>
    <w:basedOn w:val="HeadingBase"/>
    <w:next w:val="Normal"/>
    <w:link w:val="Heading5Char"/>
    <w:qFormat/>
    <w:rsid w:val="00AA4437"/>
    <w:pPr>
      <w:spacing w:before="80"/>
      <w:outlineLvl w:val="4"/>
    </w:pPr>
    <w:rPr>
      <w:color w:val="918585"/>
      <w:sz w:val="20"/>
    </w:rPr>
  </w:style>
  <w:style w:type="paragraph" w:styleId="Heading6">
    <w:name w:val="heading 6"/>
    <w:basedOn w:val="HeadingBase"/>
    <w:next w:val="Normal"/>
    <w:link w:val="Heading6Char"/>
    <w:qFormat/>
    <w:rsid w:val="00AA4437"/>
    <w:pPr>
      <w:spacing w:before="60"/>
      <w:outlineLvl w:val="5"/>
    </w:pPr>
    <w:rPr>
      <w:color w:val="918585"/>
      <w:sz w:val="20"/>
    </w:rPr>
  </w:style>
  <w:style w:type="paragraph" w:styleId="Heading7">
    <w:name w:val="heading 7"/>
    <w:basedOn w:val="Normal"/>
    <w:next w:val="Normal"/>
    <w:link w:val="Heading7Char"/>
    <w:qFormat/>
    <w:rsid w:val="00AA4437"/>
    <w:pPr>
      <w:ind w:left="720"/>
      <w:outlineLvl w:val="6"/>
    </w:pPr>
    <w:rPr>
      <w:i/>
    </w:rPr>
  </w:style>
  <w:style w:type="paragraph" w:styleId="Heading8">
    <w:name w:val="heading 8"/>
    <w:basedOn w:val="Normal"/>
    <w:next w:val="Normal"/>
    <w:link w:val="Heading8Char"/>
    <w:qFormat/>
    <w:rsid w:val="00AA4437"/>
    <w:pPr>
      <w:ind w:left="720"/>
      <w:outlineLvl w:val="7"/>
    </w:pPr>
    <w:rPr>
      <w:i/>
    </w:rPr>
  </w:style>
  <w:style w:type="paragraph" w:styleId="Heading9">
    <w:name w:val="heading 9"/>
    <w:basedOn w:val="Normal"/>
    <w:next w:val="Normal"/>
    <w:link w:val="Heading9Char"/>
    <w:qFormat/>
    <w:rsid w:val="00AA4437"/>
    <w:pPr>
      <w:ind w:left="720"/>
      <w:outlineLvl w:val="8"/>
    </w:pPr>
    <w:rPr>
      <w:i/>
    </w:rPr>
  </w:style>
  <w:style w:type="character" w:default="1" w:styleId="DefaultParagraphFont">
    <w:name w:val="Default Paragraph Font"/>
    <w:uiPriority w:val="1"/>
    <w:unhideWhenUsed/>
    <w:rsid w:val="00AA4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437"/>
  </w:style>
  <w:style w:type="character" w:customStyle="1" w:styleId="Heading1Char">
    <w:name w:val="Heading 1 Char"/>
    <w:basedOn w:val="DefaultParagraphFont"/>
    <w:link w:val="Heading1"/>
    <w:rsid w:val="00AA4437"/>
    <w:rPr>
      <w:rFonts w:ascii="Times New Roman" w:eastAsia="Times New Roman" w:hAnsi="Times New Roman" w:cs="Times New Roman"/>
      <w:b/>
      <w:sz w:val="32"/>
      <w:szCs w:val="20"/>
      <w:lang w:eastAsia="en-US"/>
    </w:rPr>
  </w:style>
  <w:style w:type="paragraph" w:styleId="BodyText">
    <w:name w:val="Body Text"/>
    <w:basedOn w:val="Normal"/>
    <w:link w:val="BodyTextChar"/>
    <w:rsid w:val="00AA44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437"/>
    <w:rPr>
      <w:rFonts w:ascii="Times New Roman" w:eastAsia="Times New Roman" w:hAnsi="Times New Roman" w:cs="Times New Roman"/>
      <w:sz w:val="24"/>
      <w:lang w:eastAsia="en-US"/>
    </w:rPr>
  </w:style>
  <w:style w:type="paragraph" w:styleId="ListBullet">
    <w:name w:val="List Bullet"/>
    <w:basedOn w:val="List"/>
    <w:rsid w:val="00AA4437"/>
    <w:pPr>
      <w:numPr>
        <w:numId w:val="13"/>
      </w:numPr>
      <w:tabs>
        <w:tab w:val="clear" w:pos="340"/>
      </w:tabs>
      <w:spacing w:before="40" w:after="40"/>
    </w:pPr>
  </w:style>
  <w:style w:type="character" w:customStyle="1" w:styleId="SpecialBold">
    <w:name w:val="Special Bold"/>
    <w:basedOn w:val="DefaultParagraphFont"/>
    <w:rsid w:val="00AA4437"/>
    <w:rPr>
      <w:b/>
      <w:spacing w:val="0"/>
    </w:rPr>
  </w:style>
  <w:style w:type="paragraph" w:styleId="ListBullet2">
    <w:name w:val="List Bullet 2"/>
    <w:basedOn w:val="List2"/>
    <w:rsid w:val="00AA4437"/>
    <w:pPr>
      <w:numPr>
        <w:numId w:val="14"/>
      </w:numPr>
      <w:tabs>
        <w:tab w:val="clear" w:pos="680"/>
      </w:tabs>
    </w:pPr>
  </w:style>
  <w:style w:type="paragraph" w:customStyle="1" w:styleId="SuperHeading">
    <w:name w:val="SuperHeading"/>
    <w:basedOn w:val="Normal"/>
    <w:rsid w:val="00AA4437"/>
    <w:pPr>
      <w:spacing w:before="240" w:after="120"/>
      <w:outlineLvl w:val="0"/>
    </w:pPr>
    <w:rPr>
      <w:rFonts w:ascii="Times New Roman" w:hAnsi="Times New Roman"/>
      <w:b/>
      <w:sz w:val="32"/>
    </w:rPr>
  </w:style>
  <w:style w:type="paragraph" w:customStyle="1" w:styleId="AllowPageBreak">
    <w:name w:val="AllowPageBreak"/>
    <w:rsid w:val="00AA4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437"/>
    <w:rPr>
      <w:rFonts w:ascii="Courier New" w:eastAsia="Times New Roman" w:hAnsi="Courier New" w:cs="Times New Roman"/>
      <w:i/>
      <w:szCs w:val="20"/>
      <w:lang w:eastAsia="en-US"/>
    </w:rPr>
  </w:style>
  <w:style w:type="paragraph" w:customStyle="1" w:styleId="HeadingBase">
    <w:name w:val="Heading Base"/>
    <w:rsid w:val="00AA4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437"/>
    <w:pPr>
      <w:tabs>
        <w:tab w:val="right" w:leader="dot" w:pos="9072"/>
      </w:tabs>
      <w:ind w:left="567"/>
    </w:pPr>
    <w:rPr>
      <w:szCs w:val="22"/>
    </w:rPr>
  </w:style>
  <w:style w:type="paragraph" w:customStyle="1" w:styleId="TOCBase">
    <w:name w:val="TOC Base"/>
    <w:rsid w:val="00AA4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437"/>
    <w:pPr>
      <w:tabs>
        <w:tab w:val="right" w:leader="dot" w:pos="9072"/>
      </w:tabs>
      <w:spacing w:before="40" w:after="40"/>
      <w:ind w:left="284"/>
    </w:pPr>
    <w:rPr>
      <w:rFonts w:ascii="Times New Roman" w:hAnsi="Times New Roman"/>
    </w:rPr>
  </w:style>
  <w:style w:type="paragraph" w:styleId="TOC1">
    <w:name w:val="toc 1"/>
    <w:basedOn w:val="TOCBase"/>
    <w:next w:val="Normal"/>
    <w:rsid w:val="00AA4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437"/>
    <w:rPr>
      <w:rFonts w:ascii="Times New Roman" w:eastAsia="Times New Roman" w:hAnsi="Times New Roman" w:cs="Times New Roman"/>
      <w:sz w:val="16"/>
      <w:lang w:eastAsia="en-US"/>
    </w:rPr>
  </w:style>
  <w:style w:type="paragraph" w:styleId="Title">
    <w:name w:val="Title"/>
    <w:basedOn w:val="HeadingBase"/>
    <w:link w:val="TitleChar"/>
    <w:qFormat/>
    <w:rsid w:val="00AA4437"/>
    <w:pPr>
      <w:spacing w:before="5040"/>
      <w:jc w:val="center"/>
    </w:pPr>
    <w:rPr>
      <w:sz w:val="48"/>
      <w:szCs w:val="72"/>
      <w:lang w:val="en-US"/>
    </w:rPr>
  </w:style>
  <w:style w:type="character" w:customStyle="1" w:styleId="TitleChar">
    <w:name w:val="Title Char"/>
    <w:basedOn w:val="DefaultParagraphFont"/>
    <w:link w:val="Title"/>
    <w:rsid w:val="00AA4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437"/>
    <w:pPr>
      <w:tabs>
        <w:tab w:val="left" w:pos="3600"/>
        <w:tab w:val="left" w:pos="3958"/>
      </w:tabs>
    </w:pPr>
  </w:style>
  <w:style w:type="paragraph" w:styleId="List">
    <w:name w:val="List"/>
    <w:basedOn w:val="BodyText"/>
    <w:next w:val="BodyText"/>
    <w:rsid w:val="00AA4437"/>
    <w:pPr>
      <w:tabs>
        <w:tab w:val="left" w:pos="340"/>
      </w:tabs>
      <w:spacing w:before="60" w:after="60"/>
      <w:ind w:left="340" w:hanging="340"/>
    </w:pPr>
  </w:style>
  <w:style w:type="paragraph" w:customStyle="1" w:styleId="Note">
    <w:name w:val="Note"/>
    <w:basedOn w:val="BodyText"/>
    <w:rsid w:val="00AA4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437"/>
    <w:pPr>
      <w:framePr w:wrap="auto" w:hAnchor="text" w:y="6049"/>
    </w:pPr>
    <w:rPr>
      <w:color w:val="000000"/>
      <w:sz w:val="40"/>
    </w:rPr>
  </w:style>
  <w:style w:type="paragraph" w:customStyle="1" w:styleId="TOCTitle">
    <w:name w:val="TOCTitle"/>
    <w:basedOn w:val="Heading1"/>
    <w:rsid w:val="00AA4437"/>
    <w:pPr>
      <w:spacing w:after="240"/>
      <w:jc w:val="center"/>
      <w:outlineLvl w:val="9"/>
    </w:pPr>
    <w:rPr>
      <w:caps/>
    </w:rPr>
  </w:style>
  <w:style w:type="paragraph" w:customStyle="1" w:styleId="Version">
    <w:name w:val="Version"/>
    <w:rsid w:val="00AA4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437"/>
    <w:pPr>
      <w:keepNext w:val="0"/>
      <w:tabs>
        <w:tab w:val="right" w:pos="4176"/>
      </w:tabs>
      <w:ind w:left="198" w:hanging="198"/>
    </w:pPr>
    <w:rPr>
      <w:rFonts w:ascii="Garamond" w:hAnsi="Garamond"/>
    </w:rPr>
  </w:style>
  <w:style w:type="paragraph" w:styleId="IndexHeading">
    <w:name w:val="index heading"/>
    <w:basedOn w:val="Normal"/>
    <w:next w:val="Index1"/>
    <w:semiHidden/>
    <w:rsid w:val="00AA4437"/>
    <w:pPr>
      <w:spacing w:before="120" w:after="120"/>
    </w:pPr>
    <w:rPr>
      <w:rFonts w:ascii="Arial" w:hAnsi="Arial"/>
      <w:b/>
      <w:color w:val="918585"/>
      <w:sz w:val="24"/>
    </w:rPr>
  </w:style>
  <w:style w:type="paragraph" w:styleId="Header">
    <w:name w:val="header"/>
    <w:basedOn w:val="Normal"/>
    <w:link w:val="HeaderChar"/>
    <w:rsid w:val="00AA4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437"/>
    <w:rPr>
      <w:rFonts w:ascii="Times New Roman" w:eastAsia="Times New Roman" w:hAnsi="Times New Roman" w:cs="Times New Roman"/>
      <w:sz w:val="16"/>
      <w:szCs w:val="20"/>
      <w:lang w:val="en-GB" w:eastAsia="en-US"/>
    </w:rPr>
  </w:style>
  <w:style w:type="paragraph" w:customStyle="1" w:styleId="Chapter">
    <w:name w:val="Chapter"/>
    <w:basedOn w:val="Normal"/>
    <w:rsid w:val="00AA4437"/>
    <w:pPr>
      <w:spacing w:before="240"/>
    </w:pPr>
    <w:rPr>
      <w:rFonts w:ascii="Times New Roman" w:hAnsi="Times New Roman"/>
      <w:smallCaps/>
      <w:spacing w:val="80"/>
      <w:sz w:val="28"/>
    </w:rPr>
  </w:style>
  <w:style w:type="paragraph" w:customStyle="1" w:styleId="InChapter">
    <w:name w:val="InChapter"/>
    <w:basedOn w:val="Heading3"/>
    <w:rsid w:val="00AA4437"/>
    <w:pPr>
      <w:spacing w:after="240"/>
      <w:outlineLvl w:val="9"/>
    </w:pPr>
    <w:rPr>
      <w:noProof/>
    </w:rPr>
  </w:style>
  <w:style w:type="paragraph" w:styleId="Index2">
    <w:name w:val="index 2"/>
    <w:basedOn w:val="Normal"/>
    <w:next w:val="Normal"/>
    <w:semiHidden/>
    <w:rsid w:val="00AA4437"/>
    <w:pPr>
      <w:tabs>
        <w:tab w:val="right" w:pos="4176"/>
      </w:tabs>
      <w:ind w:left="568" w:hanging="284"/>
    </w:pPr>
    <w:rPr>
      <w:rFonts w:ascii="Garamond" w:hAnsi="Garamond"/>
    </w:rPr>
  </w:style>
  <w:style w:type="paragraph" w:customStyle="1" w:styleId="Byline">
    <w:name w:val="Byline"/>
    <w:rsid w:val="00AA4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437"/>
    <w:pPr>
      <w:tabs>
        <w:tab w:val="clear" w:pos="3600"/>
        <w:tab w:val="clear" w:pos="3958"/>
      </w:tabs>
      <w:jc w:val="right"/>
    </w:pPr>
  </w:style>
  <w:style w:type="character" w:styleId="Emphasis">
    <w:name w:val="Emphasis"/>
    <w:basedOn w:val="DefaultParagraphFont"/>
    <w:qFormat/>
    <w:rsid w:val="00AA4437"/>
    <w:rPr>
      <w:i/>
    </w:rPr>
  </w:style>
  <w:style w:type="paragraph" w:styleId="Caption">
    <w:name w:val="caption"/>
    <w:basedOn w:val="BodyText"/>
    <w:next w:val="Normal"/>
    <w:qFormat/>
    <w:rsid w:val="00AA4437"/>
    <w:pPr>
      <w:framePr w:w="2268" w:hSpace="181" w:vSpace="181" w:wrap="around" w:vAnchor="text" w:hAnchor="page" w:x="1135" w:y="285" w:anchorLock="1"/>
    </w:pPr>
    <w:rPr>
      <w:i/>
    </w:rPr>
  </w:style>
  <w:style w:type="paragraph" w:customStyle="1" w:styleId="MiniTOCTitle">
    <w:name w:val="MiniTOCTitle"/>
    <w:basedOn w:val="Heading4"/>
    <w:rsid w:val="00AA4437"/>
    <w:pPr>
      <w:spacing w:before="240"/>
      <w:outlineLvl w:val="9"/>
    </w:pPr>
    <w:rPr>
      <w:noProof/>
      <w:sz w:val="24"/>
    </w:rPr>
  </w:style>
  <w:style w:type="paragraph" w:customStyle="1" w:styleId="MiniTOCItem">
    <w:name w:val="MiniTOCItem"/>
    <w:basedOn w:val="ListBullet"/>
    <w:rsid w:val="00AA4437"/>
    <w:pPr>
      <w:numPr>
        <w:numId w:val="0"/>
      </w:numPr>
      <w:tabs>
        <w:tab w:val="right" w:leader="dot" w:pos="6521"/>
      </w:tabs>
      <w:spacing w:before="0" w:after="0"/>
    </w:pPr>
  </w:style>
  <w:style w:type="paragraph" w:customStyle="1" w:styleId="TOFTitle">
    <w:name w:val="TOFTitle"/>
    <w:basedOn w:val="TOCTitle"/>
    <w:rsid w:val="00AA4437"/>
  </w:style>
  <w:style w:type="paragraph" w:styleId="TableofFigures">
    <w:name w:val="table of figures"/>
    <w:basedOn w:val="Normal"/>
    <w:next w:val="Normal"/>
    <w:semiHidden/>
    <w:rsid w:val="00AA4437"/>
    <w:pPr>
      <w:tabs>
        <w:tab w:val="right" w:leader="dot" w:pos="9072"/>
      </w:tabs>
      <w:ind w:left="970" w:hanging="403"/>
    </w:pPr>
    <w:rPr>
      <w:rFonts w:ascii="Times New Roman" w:hAnsi="Times New Roman"/>
      <w:b/>
    </w:rPr>
  </w:style>
  <w:style w:type="paragraph" w:styleId="ListNumber">
    <w:name w:val="List Number"/>
    <w:basedOn w:val="List"/>
    <w:rsid w:val="00AA4437"/>
    <w:pPr>
      <w:numPr>
        <w:numId w:val="11"/>
      </w:numPr>
    </w:pPr>
  </w:style>
  <w:style w:type="character" w:customStyle="1" w:styleId="WingdingSymbols">
    <w:name w:val="Wingding Symbols"/>
    <w:rsid w:val="00AA4437"/>
    <w:rPr>
      <w:rFonts w:ascii="Wingdings" w:hAnsi="Wingdings"/>
    </w:rPr>
  </w:style>
  <w:style w:type="paragraph" w:customStyle="1" w:styleId="TableHeading">
    <w:name w:val="Table Heading"/>
    <w:basedOn w:val="HeadingBase"/>
    <w:rsid w:val="00AA4437"/>
    <w:pPr>
      <w:keepLines/>
      <w:pBdr>
        <w:bottom w:val="single" w:sz="6" w:space="1" w:color="918585"/>
      </w:pBdr>
      <w:spacing w:before="240"/>
    </w:pPr>
  </w:style>
  <w:style w:type="character" w:customStyle="1" w:styleId="HotSpot">
    <w:name w:val="HotSpot"/>
    <w:rsid w:val="00AA4437"/>
    <w:rPr>
      <w:color w:val="0033CC"/>
      <w:u w:val="none"/>
    </w:rPr>
  </w:style>
  <w:style w:type="paragraph" w:customStyle="1" w:styleId="BodyTextRight">
    <w:name w:val="Body Text Right"/>
    <w:basedOn w:val="BodyText"/>
    <w:rsid w:val="00AA4437"/>
    <w:pPr>
      <w:spacing w:before="0" w:after="0"/>
      <w:jc w:val="right"/>
    </w:pPr>
  </w:style>
  <w:style w:type="paragraph" w:styleId="Index3">
    <w:name w:val="index 3"/>
    <w:basedOn w:val="ListNumber2"/>
    <w:next w:val="Normal"/>
    <w:semiHidden/>
    <w:rsid w:val="00AA4437"/>
    <w:pPr>
      <w:numPr>
        <w:numId w:val="0"/>
      </w:numPr>
      <w:tabs>
        <w:tab w:val="right" w:leader="dot" w:pos="4176"/>
      </w:tabs>
    </w:pPr>
  </w:style>
  <w:style w:type="paragraph" w:styleId="ListNumber2">
    <w:name w:val="List Number 2"/>
    <w:basedOn w:val="List2"/>
    <w:rsid w:val="00AA4437"/>
    <w:pPr>
      <w:numPr>
        <w:numId w:val="10"/>
      </w:numPr>
      <w:tabs>
        <w:tab w:val="clear" w:pos="1060"/>
      </w:tabs>
    </w:pPr>
  </w:style>
  <w:style w:type="paragraph" w:customStyle="1" w:styleId="MarginNote">
    <w:name w:val="Margin Note"/>
    <w:basedOn w:val="BodyText"/>
    <w:rsid w:val="00AA4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437"/>
    <w:rPr>
      <w:sz w:val="32"/>
    </w:rPr>
  </w:style>
  <w:style w:type="paragraph" w:customStyle="1" w:styleId="HeadingProcedure">
    <w:name w:val="Heading Procedure"/>
    <w:basedOn w:val="HeadingBase"/>
    <w:next w:val="Normal"/>
    <w:rsid w:val="00AA4437"/>
    <w:pPr>
      <w:tabs>
        <w:tab w:val="left" w:pos="0"/>
      </w:tabs>
      <w:spacing w:before="120" w:after="60"/>
    </w:pPr>
    <w:rPr>
      <w:i/>
      <w:color w:val="918585"/>
      <w:sz w:val="22"/>
    </w:rPr>
  </w:style>
  <w:style w:type="paragraph" w:customStyle="1" w:styleId="TableBodyText">
    <w:name w:val="Table Body Text"/>
    <w:basedOn w:val="BodyText"/>
    <w:rsid w:val="00AA4437"/>
    <w:pPr>
      <w:spacing w:before="60" w:after="60"/>
    </w:pPr>
  </w:style>
  <w:style w:type="paragraph" w:styleId="ListContinue">
    <w:name w:val="List Continue"/>
    <w:basedOn w:val="List"/>
    <w:rsid w:val="00AA4437"/>
    <w:pPr>
      <w:ind w:firstLine="0"/>
    </w:pPr>
  </w:style>
  <w:style w:type="paragraph" w:customStyle="1" w:styleId="ListNote">
    <w:name w:val="List Note"/>
    <w:basedOn w:val="List"/>
    <w:rsid w:val="00AA4437"/>
    <w:pPr>
      <w:pBdr>
        <w:top w:val="single" w:sz="6" w:space="2" w:color="918585"/>
        <w:bottom w:val="single" w:sz="6" w:space="2" w:color="918585"/>
      </w:pBdr>
      <w:tabs>
        <w:tab w:val="left" w:pos="1021"/>
      </w:tabs>
      <w:ind w:firstLine="0"/>
    </w:pPr>
  </w:style>
  <w:style w:type="paragraph" w:customStyle="1" w:styleId="Warning">
    <w:name w:val="Warning"/>
    <w:basedOn w:val="BodyText"/>
    <w:rsid w:val="00AA4437"/>
    <w:pPr>
      <w:shd w:val="clear" w:color="auto" w:fill="D9D9D9"/>
      <w:tabs>
        <w:tab w:val="left" w:pos="992"/>
      </w:tabs>
      <w:ind w:left="119" w:right="119"/>
    </w:pPr>
    <w:rPr>
      <w:sz w:val="20"/>
    </w:rPr>
  </w:style>
  <w:style w:type="paragraph" w:customStyle="1" w:styleId="MarginIcons">
    <w:name w:val="Margin Icons"/>
    <w:basedOn w:val="BodyText"/>
    <w:rsid w:val="00AA4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437"/>
    <w:rPr>
      <w:rFonts w:ascii="Courier New" w:hAnsi="Courier New"/>
    </w:rPr>
  </w:style>
  <w:style w:type="paragraph" w:customStyle="1" w:styleId="NoteBullet">
    <w:name w:val="Note Bullet"/>
    <w:basedOn w:val="Note"/>
    <w:rsid w:val="00AA4437"/>
    <w:pPr>
      <w:tabs>
        <w:tab w:val="clear" w:pos="680"/>
      </w:tabs>
      <w:spacing w:before="60" w:after="60"/>
    </w:pPr>
  </w:style>
  <w:style w:type="paragraph" w:customStyle="1" w:styleId="SubHeading2">
    <w:name w:val="SubHeading2"/>
    <w:basedOn w:val="HeadingBase"/>
    <w:rsid w:val="00AA4437"/>
    <w:pPr>
      <w:spacing w:before="240" w:after="60"/>
    </w:pPr>
    <w:rPr>
      <w:sz w:val="20"/>
    </w:rPr>
  </w:style>
  <w:style w:type="paragraph" w:customStyle="1" w:styleId="SubHeading1">
    <w:name w:val="SubHeading1"/>
    <w:basedOn w:val="HeadingBase"/>
    <w:rsid w:val="00AA4437"/>
    <w:pPr>
      <w:spacing w:before="240" w:after="60"/>
    </w:pPr>
    <w:rPr>
      <w:color w:val="918585"/>
      <w:sz w:val="22"/>
    </w:rPr>
  </w:style>
  <w:style w:type="paragraph" w:customStyle="1" w:styleId="SideHeading">
    <w:name w:val="Side Heading"/>
    <w:basedOn w:val="HeadingBase"/>
    <w:rsid w:val="00AA4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437"/>
    <w:pPr>
      <w:numPr>
        <w:numId w:val="12"/>
      </w:numPr>
    </w:pPr>
  </w:style>
  <w:style w:type="paragraph" w:styleId="PlainText">
    <w:name w:val="Plain Text"/>
    <w:basedOn w:val="Normal"/>
    <w:link w:val="PlainTextChar"/>
    <w:rsid w:val="00AA4437"/>
    <w:rPr>
      <w:sz w:val="20"/>
    </w:rPr>
  </w:style>
  <w:style w:type="character" w:customStyle="1" w:styleId="PlainTextChar">
    <w:name w:val="Plain Text Char"/>
    <w:basedOn w:val="DefaultParagraphFont"/>
    <w:link w:val="PlainText"/>
    <w:rsid w:val="00AA4437"/>
    <w:rPr>
      <w:rFonts w:ascii="Courier New" w:eastAsia="Times New Roman" w:hAnsi="Courier New" w:cs="Times New Roman"/>
      <w:sz w:val="20"/>
      <w:szCs w:val="20"/>
      <w:lang w:eastAsia="en-US"/>
    </w:rPr>
  </w:style>
  <w:style w:type="character" w:customStyle="1" w:styleId="MenuOption">
    <w:name w:val="Menu Option"/>
    <w:basedOn w:val="DefaultParagraphFont"/>
    <w:rsid w:val="00AA4437"/>
    <w:rPr>
      <w:b/>
      <w:smallCaps/>
    </w:rPr>
  </w:style>
  <w:style w:type="paragraph" w:customStyle="1" w:styleId="TableListNumber">
    <w:name w:val="Table List Number"/>
    <w:basedOn w:val="ListNumber"/>
    <w:rsid w:val="00AA4437"/>
    <w:pPr>
      <w:numPr>
        <w:numId w:val="0"/>
      </w:numPr>
    </w:pPr>
  </w:style>
  <w:style w:type="paragraph" w:styleId="TOC4">
    <w:name w:val="toc 4"/>
    <w:basedOn w:val="TOCBase"/>
    <w:next w:val="Normal"/>
    <w:semiHidden/>
    <w:rsid w:val="00AA4437"/>
    <w:pPr>
      <w:tabs>
        <w:tab w:val="right" w:leader="dot" w:pos="9071"/>
      </w:tabs>
      <w:ind w:left="1701"/>
    </w:pPr>
  </w:style>
  <w:style w:type="paragraph" w:customStyle="1" w:styleId="ListAlpha">
    <w:name w:val="List Alpha"/>
    <w:basedOn w:val="List"/>
    <w:rsid w:val="00AA4437"/>
    <w:pPr>
      <w:numPr>
        <w:numId w:val="9"/>
      </w:numPr>
    </w:pPr>
  </w:style>
  <w:style w:type="paragraph" w:customStyle="1" w:styleId="ListAlpha2">
    <w:name w:val="List Alpha 2"/>
    <w:basedOn w:val="List2"/>
    <w:rsid w:val="00AA4437"/>
    <w:pPr>
      <w:numPr>
        <w:numId w:val="8"/>
      </w:numPr>
    </w:pPr>
  </w:style>
  <w:style w:type="paragraph" w:styleId="List2">
    <w:name w:val="List 2"/>
    <w:basedOn w:val="BodyText"/>
    <w:rsid w:val="00AA4437"/>
    <w:pPr>
      <w:tabs>
        <w:tab w:val="left" w:pos="680"/>
      </w:tabs>
      <w:spacing w:before="60" w:after="60"/>
      <w:ind w:left="680" w:hanging="340"/>
    </w:pPr>
  </w:style>
  <w:style w:type="paragraph" w:styleId="List3">
    <w:name w:val="List 3"/>
    <w:basedOn w:val="BodyText"/>
    <w:rsid w:val="00AA4437"/>
    <w:pPr>
      <w:tabs>
        <w:tab w:val="left" w:pos="1021"/>
      </w:tabs>
      <w:spacing w:before="60" w:after="60"/>
      <w:ind w:left="1020" w:hanging="340"/>
    </w:pPr>
  </w:style>
  <w:style w:type="paragraph" w:styleId="List4">
    <w:name w:val="List 4"/>
    <w:basedOn w:val="BodyText"/>
    <w:rsid w:val="00AA4437"/>
    <w:pPr>
      <w:tabs>
        <w:tab w:val="left" w:pos="1361"/>
      </w:tabs>
      <w:spacing w:before="60" w:after="60"/>
      <w:ind w:left="1361" w:hanging="340"/>
    </w:pPr>
  </w:style>
  <w:style w:type="paragraph" w:styleId="List5">
    <w:name w:val="List 5"/>
    <w:basedOn w:val="BodyText"/>
    <w:rsid w:val="00AA4437"/>
    <w:pPr>
      <w:tabs>
        <w:tab w:val="left" w:pos="1701"/>
      </w:tabs>
      <w:spacing w:before="60" w:after="60"/>
      <w:ind w:left="1701" w:hanging="340"/>
    </w:pPr>
  </w:style>
  <w:style w:type="paragraph" w:styleId="ListBullet3">
    <w:name w:val="List Bullet 3"/>
    <w:basedOn w:val="List3"/>
    <w:rsid w:val="00AA4437"/>
    <w:pPr>
      <w:numPr>
        <w:numId w:val="15"/>
      </w:numPr>
      <w:tabs>
        <w:tab w:val="clear" w:pos="1021"/>
      </w:tabs>
      <w:ind w:left="1037" w:hanging="357"/>
    </w:pPr>
  </w:style>
  <w:style w:type="paragraph" w:styleId="ListBullet4">
    <w:name w:val="List Bullet 4"/>
    <w:basedOn w:val="List4"/>
    <w:rsid w:val="00AA4437"/>
    <w:pPr>
      <w:numPr>
        <w:numId w:val="3"/>
      </w:numPr>
    </w:pPr>
  </w:style>
  <w:style w:type="paragraph" w:styleId="ListBullet5">
    <w:name w:val="List Bullet 5"/>
    <w:basedOn w:val="List5"/>
    <w:rsid w:val="00AA4437"/>
    <w:pPr>
      <w:numPr>
        <w:numId w:val="4"/>
      </w:numPr>
    </w:pPr>
  </w:style>
  <w:style w:type="paragraph" w:styleId="ListContinue2">
    <w:name w:val="List Continue 2"/>
    <w:basedOn w:val="List2"/>
    <w:rsid w:val="00AA4437"/>
    <w:pPr>
      <w:ind w:firstLine="0"/>
    </w:pPr>
  </w:style>
  <w:style w:type="paragraph" w:styleId="ListContinue3">
    <w:name w:val="List Continue 3"/>
    <w:basedOn w:val="List3"/>
    <w:rsid w:val="00AA4437"/>
    <w:pPr>
      <w:ind w:left="1021" w:firstLine="0"/>
    </w:pPr>
  </w:style>
  <w:style w:type="paragraph" w:styleId="ListContinue4">
    <w:name w:val="List Continue 4"/>
    <w:basedOn w:val="List4"/>
    <w:rsid w:val="00AA4437"/>
    <w:pPr>
      <w:ind w:firstLine="0"/>
    </w:pPr>
  </w:style>
  <w:style w:type="paragraph" w:styleId="ListContinue5">
    <w:name w:val="List Continue 5"/>
    <w:basedOn w:val="List5"/>
    <w:rsid w:val="00AA4437"/>
    <w:pPr>
      <w:ind w:firstLine="0"/>
    </w:pPr>
  </w:style>
  <w:style w:type="paragraph" w:styleId="ListNumber3">
    <w:name w:val="List Number 3"/>
    <w:basedOn w:val="List3"/>
    <w:rsid w:val="00AA4437"/>
    <w:pPr>
      <w:numPr>
        <w:numId w:val="5"/>
      </w:numPr>
    </w:pPr>
  </w:style>
  <w:style w:type="paragraph" w:styleId="ListNumber4">
    <w:name w:val="List Number 4"/>
    <w:basedOn w:val="List4"/>
    <w:rsid w:val="00AA4437"/>
    <w:pPr>
      <w:numPr>
        <w:numId w:val="6"/>
      </w:numPr>
    </w:pPr>
  </w:style>
  <w:style w:type="paragraph" w:styleId="ListNumber5">
    <w:name w:val="List Number 5"/>
    <w:basedOn w:val="List5"/>
    <w:rsid w:val="00AA4437"/>
    <w:pPr>
      <w:numPr>
        <w:numId w:val="7"/>
      </w:numPr>
    </w:pPr>
  </w:style>
  <w:style w:type="paragraph" w:styleId="BlockText">
    <w:name w:val="Block Text"/>
    <w:basedOn w:val="Normal"/>
    <w:rsid w:val="00AA4437"/>
    <w:pPr>
      <w:spacing w:after="120"/>
      <w:ind w:left="1440" w:right="1440"/>
    </w:pPr>
  </w:style>
  <w:style w:type="character" w:customStyle="1" w:styleId="Subscript">
    <w:name w:val="Subscript"/>
    <w:basedOn w:val="DefaultParagraphFont"/>
    <w:rsid w:val="00AA4437"/>
    <w:rPr>
      <w:sz w:val="16"/>
      <w:vertAlign w:val="subscript"/>
    </w:rPr>
  </w:style>
  <w:style w:type="character" w:customStyle="1" w:styleId="Superscript">
    <w:name w:val="Superscript"/>
    <w:basedOn w:val="DefaultParagraphFont"/>
    <w:rsid w:val="00AA4437"/>
    <w:rPr>
      <w:sz w:val="16"/>
      <w:vertAlign w:val="superscript"/>
    </w:rPr>
  </w:style>
  <w:style w:type="character" w:customStyle="1" w:styleId="Symbols">
    <w:name w:val="Symbols"/>
    <w:basedOn w:val="DefaultParagraphFont"/>
    <w:rsid w:val="00AA4437"/>
    <w:rPr>
      <w:rFonts w:ascii="Symbol" w:hAnsi="Symbol"/>
    </w:rPr>
  </w:style>
  <w:style w:type="character" w:customStyle="1" w:styleId="MenuOptions">
    <w:name w:val="Menu Options"/>
    <w:basedOn w:val="DefaultParagraphFont"/>
    <w:rsid w:val="00AA4437"/>
    <w:rPr>
      <w:rFonts w:ascii="Arial Narrow" w:hAnsi="Arial Narrow"/>
      <w:smallCaps/>
    </w:rPr>
  </w:style>
  <w:style w:type="character" w:customStyle="1" w:styleId="Buttons">
    <w:name w:val="Buttons"/>
    <w:basedOn w:val="DefaultParagraphFont"/>
    <w:rsid w:val="00AA4437"/>
    <w:rPr>
      <w:b/>
    </w:rPr>
  </w:style>
  <w:style w:type="character" w:customStyle="1" w:styleId="Underlined">
    <w:name w:val="Underlined"/>
    <w:basedOn w:val="DefaultParagraphFont"/>
    <w:rsid w:val="00AA4437"/>
    <w:rPr>
      <w:u w:val="single"/>
    </w:rPr>
  </w:style>
  <w:style w:type="paragraph" w:customStyle="1" w:styleId="TableBodyTextRight">
    <w:name w:val="Table Body Text Right"/>
    <w:basedOn w:val="TableBodyText"/>
    <w:rsid w:val="00AA4437"/>
    <w:pPr>
      <w:widowControl w:val="0"/>
      <w:autoSpaceDE w:val="0"/>
      <w:autoSpaceDN w:val="0"/>
      <w:adjustRightInd w:val="0"/>
      <w:jc w:val="right"/>
    </w:pPr>
    <w:rPr>
      <w:rFonts w:cs="Arial"/>
      <w:szCs w:val="18"/>
    </w:rPr>
  </w:style>
  <w:style w:type="paragraph" w:customStyle="1" w:styleId="CopyrightText">
    <w:name w:val="Copyright Text"/>
    <w:basedOn w:val="BodyText"/>
    <w:rsid w:val="00AA4437"/>
    <w:rPr>
      <w:sz w:val="18"/>
    </w:rPr>
  </w:style>
  <w:style w:type="paragraph" w:customStyle="1" w:styleId="BodySmallRight">
    <w:name w:val="Body Small Right"/>
    <w:basedOn w:val="BodyTextRight"/>
    <w:rsid w:val="00AA4437"/>
    <w:rPr>
      <w:sz w:val="18"/>
      <w:szCs w:val="18"/>
    </w:rPr>
  </w:style>
  <w:style w:type="paragraph" w:customStyle="1" w:styleId="MarginEdition">
    <w:name w:val="Margin Edition"/>
    <w:basedOn w:val="MarginNote"/>
    <w:rsid w:val="00AA4437"/>
    <w:pPr>
      <w:spacing w:before="0" w:after="0"/>
    </w:pPr>
    <w:rPr>
      <w:rFonts w:ascii="Times New Roman" w:hAnsi="Times New Roman"/>
      <w:color w:val="999999"/>
    </w:rPr>
  </w:style>
  <w:style w:type="paragraph" w:customStyle="1" w:styleId="Spacer">
    <w:name w:val="Spacer"/>
    <w:basedOn w:val="Normal"/>
    <w:rsid w:val="00AA4437"/>
    <w:rPr>
      <w:sz w:val="2"/>
      <w:szCs w:val="2"/>
    </w:rPr>
  </w:style>
  <w:style w:type="character" w:customStyle="1" w:styleId="Small">
    <w:name w:val="Small"/>
    <w:basedOn w:val="DefaultParagraphFont"/>
    <w:rsid w:val="00AA4437"/>
    <w:rPr>
      <w:sz w:val="16"/>
    </w:rPr>
  </w:style>
  <w:style w:type="paragraph" w:customStyle="1" w:styleId="WideTable">
    <w:name w:val="Wide Table"/>
    <w:basedOn w:val="Normal"/>
    <w:rsid w:val="00AA4437"/>
    <w:pPr>
      <w:ind w:left="-1418"/>
    </w:pPr>
    <w:rPr>
      <w:sz w:val="2"/>
      <w:szCs w:val="2"/>
    </w:rPr>
  </w:style>
  <w:style w:type="character" w:styleId="PageNumber">
    <w:name w:val="page number"/>
    <w:basedOn w:val="DefaultParagraphFont"/>
    <w:rsid w:val="00AA4437"/>
  </w:style>
  <w:style w:type="paragraph" w:styleId="Quote">
    <w:name w:val="Quote"/>
    <w:basedOn w:val="Heading1"/>
    <w:link w:val="QuoteChar"/>
    <w:qFormat/>
    <w:rsid w:val="00AA4437"/>
    <w:rPr>
      <w:b w:val="0"/>
      <w:sz w:val="72"/>
      <w:szCs w:val="72"/>
      <w:lang w:val="en-NZ"/>
    </w:rPr>
  </w:style>
  <w:style w:type="character" w:customStyle="1" w:styleId="QuoteChar">
    <w:name w:val="Quote Char"/>
    <w:basedOn w:val="DefaultParagraphFont"/>
    <w:link w:val="Quote"/>
    <w:rsid w:val="00AA4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437"/>
    <w:pPr>
      <w:pageBreakBefore/>
    </w:pPr>
  </w:style>
  <w:style w:type="paragraph" w:customStyle="1" w:styleId="Border">
    <w:name w:val="Border"/>
    <w:basedOn w:val="Normal"/>
    <w:qFormat/>
    <w:rsid w:val="00AA4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437"/>
    <w:rPr>
      <w:b/>
      <w:bCs/>
      <w:i/>
      <w:iCs/>
      <w:color w:val="auto"/>
    </w:rPr>
  </w:style>
  <w:style w:type="paragraph" w:styleId="IntenseQuote">
    <w:name w:val="Intense Quote"/>
    <w:basedOn w:val="Normal"/>
    <w:next w:val="Normal"/>
    <w:link w:val="IntenseQuoteChar"/>
    <w:uiPriority w:val="30"/>
    <w:qFormat/>
    <w:rsid w:val="00AA4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437"/>
    <w:rPr>
      <w:smallCaps/>
      <w:color w:val="auto"/>
      <w:u w:val="single"/>
    </w:rPr>
  </w:style>
  <w:style w:type="character" w:styleId="IntenseReference">
    <w:name w:val="Intense Reference"/>
    <w:basedOn w:val="DefaultParagraphFont"/>
    <w:uiPriority w:val="32"/>
    <w:qFormat/>
    <w:rsid w:val="00AA4437"/>
    <w:rPr>
      <w:b/>
      <w:bCs/>
      <w:smallCaps/>
      <w:color w:val="auto"/>
      <w:spacing w:val="5"/>
      <w:u w:val="single"/>
    </w:rPr>
  </w:style>
  <w:style w:type="paragraph" w:customStyle="1" w:styleId="2ColumnHeading">
    <w:name w:val="2Column Heading"/>
    <w:basedOn w:val="BodyText"/>
    <w:qFormat/>
    <w:rsid w:val="00AA4437"/>
    <w:pPr>
      <w:spacing w:after="60"/>
      <w:ind w:left="-2268"/>
    </w:pPr>
    <w:rPr>
      <w:b/>
    </w:rPr>
  </w:style>
  <w:style w:type="paragraph" w:customStyle="1" w:styleId="Heading1TOC">
    <w:name w:val="Heading1 TOC"/>
    <w:basedOn w:val="Normal"/>
    <w:qFormat/>
    <w:rsid w:val="00AA4437"/>
    <w:pPr>
      <w:spacing w:before="240" w:after="120"/>
    </w:pPr>
    <w:rPr>
      <w:rFonts w:ascii="Times New Roman" w:hAnsi="Times New Roman"/>
      <w:b/>
      <w:sz w:val="32"/>
    </w:rPr>
  </w:style>
  <w:style w:type="paragraph" w:customStyle="1" w:styleId="Heading2TOC">
    <w:name w:val="Heading2 TOC"/>
    <w:basedOn w:val="Normal"/>
    <w:qFormat/>
    <w:rsid w:val="00AA4437"/>
    <w:pPr>
      <w:spacing w:before="240" w:after="60"/>
    </w:pPr>
    <w:rPr>
      <w:rFonts w:ascii="Times New Roman" w:hAnsi="Times New Roman"/>
      <w:b/>
      <w:sz w:val="28"/>
    </w:rPr>
  </w:style>
  <w:style w:type="character" w:customStyle="1" w:styleId="Underline">
    <w:name w:val="Underline"/>
    <w:basedOn w:val="DefaultParagraphFont"/>
    <w:qFormat/>
    <w:rsid w:val="00AA4437"/>
    <w:rPr>
      <w:u w:val="single"/>
    </w:rPr>
  </w:style>
  <w:style w:type="character" w:customStyle="1" w:styleId="BoldandItalics">
    <w:name w:val="Bold and Italics"/>
    <w:qFormat/>
    <w:rsid w:val="00AA4437"/>
    <w:rPr>
      <w:b/>
      <w:i/>
      <w:u w:val="none"/>
    </w:rPr>
  </w:style>
  <w:style w:type="paragraph" w:styleId="BalloonText">
    <w:name w:val="Balloon Text"/>
    <w:basedOn w:val="Normal"/>
    <w:link w:val="BalloonTextChar"/>
    <w:rsid w:val="00AA4437"/>
    <w:rPr>
      <w:rFonts w:ascii="Tahoma" w:hAnsi="Tahoma" w:cs="Tahoma"/>
      <w:sz w:val="16"/>
      <w:szCs w:val="16"/>
    </w:rPr>
  </w:style>
  <w:style w:type="character" w:customStyle="1" w:styleId="BalloonTextChar">
    <w:name w:val="Balloon Text Char"/>
    <w:basedOn w:val="DefaultParagraphFont"/>
    <w:link w:val="BalloonText"/>
    <w:rsid w:val="00AA4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4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437"/>
    <w:rPr>
      <w:b/>
      <w:color w:val="660033"/>
      <w:spacing w:val="0"/>
    </w:rPr>
  </w:style>
  <w:style w:type="paragraph" w:customStyle="1" w:styleId="Nameditemlist">
    <w:name w:val="Named item list"/>
    <w:basedOn w:val="BodyText"/>
    <w:qFormat/>
    <w:rsid w:val="00AA44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2418</Words>
  <Characters>15556</Characters>
  <Application>Microsoft Office Word</Application>
  <DocSecurity>0</DocSecurity>
  <Lines>818</Lines>
  <Paragraphs>390</Paragraphs>
  <ScaleCrop>false</ScaleCrop>
  <Company>Author-it Software Corporation Ltd.</Company>
  <LinksUpToDate>false</LinksUpToDate>
  <CharactersWithSpaces>17584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UEENEEG161A Design and develop modifications to LV electrical machines</dc:title>
  <dc:subject>Approved</dc:subject>
  <dc:creator>E-OZ Training Standards</dc:creator>
  <cp:keywords>Release: 2</cp:keywords>
  <dc:description>Review Date: 12 April 2008</dc:description>
  <cp:lastModifiedBy>TPCMS</cp:lastModifiedBy>
  <cp:revision>3</cp:revision>
  <dcterms:created xsi:type="dcterms:W3CDTF">2013-08-14T07:38:00Z</dcterms:created>
  <dcterms:modified xsi:type="dcterms:W3CDTF">2013-08-14T07:38:00Z</dcterms:modified>
</cp:coreProperties>
</file>