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403" w:rsidP="00071403">
      <w:pPr>
        <w:pStyle w:val="Title"/>
      </w:pPr>
      <w:r>
        <w:fldChar w:fldCharType="begin"/>
      </w:r>
      <w:r>
        <w:instrText xml:space="preserve"> TITLE   \* MERGEFORMAT </w:instrText>
      </w:r>
      <w:r>
        <w:fldChar w:fldCharType="separate"/>
      </w:r>
      <w:r>
        <w:t>UEENEEG154A Rewind LV direct current machines</w:t>
      </w:r>
      <w:r>
        <w:fldChar w:fldCharType="end"/>
      </w:r>
    </w:p>
    <w:p w:rsidR="00071403" w:rsidP="00071403">
      <w:pPr>
        <w:pStyle w:val="Version"/>
        <w:sectPr w:rsidSect="000734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346A" w:rsidP="0007346A">
      <w:pPr>
        <w:pStyle w:val="SuperHeading"/>
      </w:pPr>
      <w:r w:rsidRPr="0007346A">
        <w:t>UEENEEG154A Rewind LV direct current machines</w:t>
      </w:r>
    </w:p>
    <w:p w:rsidR="00000000" w:rsidRPr="0007346A" w:rsidP="0007346A">
      <w:pPr>
        <w:pStyle w:val="Heading1"/>
      </w:pPr>
      <w:bookmarkStart w:id="1" w:name="O_586133"/>
      <w:bookmarkEnd w:id="1"/>
      <w:r w:rsidRPr="0007346A">
        <w:t>Modification History</w:t>
      </w:r>
    </w:p>
    <w:p w:rsidR="00000000" w:rsidRPr="0007346A" w:rsidP="0007346A">
      <w:pPr>
        <w:pStyle w:val="BodyText"/>
      </w:pPr>
      <w:r w:rsidRPr="0007346A">
        <w:t>Not applicable.</w:t>
      </w:r>
    </w:p>
    <w:p w:rsidR="00000000" w:rsidRPr="0007346A" w:rsidP="0007346A">
      <w:pPr>
        <w:pStyle w:val="AllowPageBreak"/>
      </w:pPr>
    </w:p>
    <w:p w:rsidR="00000000" w:rsidRPr="0007346A" w:rsidP="0007346A">
      <w:pPr>
        <w:pStyle w:val="Heading1"/>
      </w:pPr>
      <w:bookmarkStart w:id="2" w:name="O_586132"/>
      <w:bookmarkEnd w:id="2"/>
      <w:r w:rsidRPr="0007346A">
        <w:t>Unit Descriptor</w:t>
      </w:r>
    </w:p>
    <w:tbl>
      <w:tblPr>
        <w:tblW w:w="0" w:type="auto"/>
        <w:tblLayout w:type="fixed"/>
        <w:tblCellMar>
          <w:left w:w="62" w:type="dxa"/>
          <w:right w:w="62" w:type="dxa"/>
        </w:tblCellMar>
        <w:tblLook w:val="0000"/>
      </w:tblPr>
      <w:tblGrid>
        <w:gridCol w:w="2700"/>
        <w:gridCol w:w="5760"/>
      </w:tblGrid>
      <w:tr w:rsidTr="000714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w:t>
            </w:r>
            <w:r w:rsidRPr="0007346A">
              <w:t xml:space="preserve"> </w:t>
            </w:r>
            <w:r w:rsidRPr="0007346A">
              <w:rPr>
                <w:rStyle w:val="SpecialBold"/>
              </w:rPr>
              <w:t>Scope:</w:t>
            </w:r>
          </w:p>
        </w:tc>
      </w:tr>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346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1.1) Descriptor</w:t>
            </w:r>
          </w:p>
        </w:tc>
      </w:tr>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This unit covers preparing, placing and connecting coils and insulating direct current motor armatures and poles. It encompasses wor</w:t>
            </w:r>
            <w:r w:rsidRPr="0007346A">
              <w:t>king safely, using hand and powered tools, measuring, applying knowledge of electrical circuits and stator windings, using testing devices, applying technical and quality standards and keeping winding records.</w:t>
            </w:r>
          </w:p>
        </w:tc>
      </w:tr>
    </w:tbl>
    <w:p w:rsidR="00000000" w:rsidRPr="0007346A" w:rsidP="0007346A">
      <w:pPr>
        <w:pStyle w:val="BodyText"/>
      </w:pPr>
    </w:p>
    <w:p w:rsidR="00000000" w:rsidRPr="0007346A" w:rsidP="0007346A">
      <w:pPr>
        <w:pStyle w:val="AllowPageBreak"/>
      </w:pPr>
    </w:p>
    <w:p w:rsidR="00000000" w:rsidRPr="0007346A" w:rsidP="0007346A">
      <w:pPr>
        <w:pStyle w:val="Heading1"/>
      </w:pPr>
      <w:bookmarkStart w:id="3" w:name="O_586131"/>
      <w:bookmarkEnd w:id="3"/>
      <w:r w:rsidRPr="0007346A">
        <w:t>Application of the Unit</w:t>
      </w:r>
    </w:p>
    <w:tbl>
      <w:tblPr>
        <w:tblW w:w="0" w:type="auto"/>
        <w:tblLayout w:type="fixed"/>
        <w:tblCellMar>
          <w:left w:w="62" w:type="dxa"/>
          <w:right w:w="62" w:type="dxa"/>
        </w:tblCellMar>
        <w:tblLook w:val="0000"/>
      </w:tblPr>
      <w:tblGrid>
        <w:gridCol w:w="2672"/>
        <w:gridCol w:w="5699"/>
      </w:tblGrid>
      <w:tr w:rsidTr="00071403">
        <w:tblPrEx>
          <w:tblW w:w="0" w:type="auto"/>
          <w:tblLayout w:type="fixed"/>
          <w:tblCellMar>
            <w:left w:w="62" w:type="dxa"/>
            <w:right w:w="62" w:type="dxa"/>
          </w:tblCellMar>
          <w:tblLook w:val="0000"/>
        </w:tblPrEx>
        <w:trPr>
          <w:trHeight w:val="466"/>
        </w:trPr>
        <w:tc>
          <w:tcPr>
            <w:tcW w:w="2672"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2)</w:t>
            </w:r>
          </w:p>
        </w:tc>
      </w:tr>
      <w:tr w:rsidTr="0007140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This unit is intended for competency development entry-level employment based programs incorporated in approved contracts of training.</w:t>
            </w:r>
          </w:p>
        </w:tc>
      </w:tr>
    </w:tbl>
    <w:p w:rsidR="00000000" w:rsidRPr="0007346A" w:rsidP="0007346A">
      <w:pPr>
        <w:pStyle w:val="BodyText"/>
      </w:pPr>
    </w:p>
    <w:p w:rsidR="00000000" w:rsidRPr="0007346A" w:rsidP="0007346A">
      <w:pPr>
        <w:pStyle w:val="AllowPageBreak"/>
      </w:pPr>
    </w:p>
    <w:p w:rsidR="00000000" w:rsidRPr="0007346A" w:rsidP="0007346A">
      <w:pPr>
        <w:pStyle w:val="Heading1"/>
      </w:pPr>
      <w:bookmarkStart w:id="4" w:name="O_586130"/>
      <w:bookmarkEnd w:id="4"/>
      <w:r w:rsidRPr="0007346A">
        <w:t>Licensing/Regulatory Information</w:t>
      </w:r>
    </w:p>
    <w:tbl>
      <w:tblPr>
        <w:tblW w:w="0" w:type="auto"/>
        <w:tblLayout w:type="fixed"/>
        <w:tblCellMar>
          <w:left w:w="62" w:type="dxa"/>
          <w:right w:w="62" w:type="dxa"/>
        </w:tblCellMar>
        <w:tblLook w:val="0000"/>
      </w:tblPr>
      <w:tblGrid>
        <w:gridCol w:w="2700"/>
        <w:gridCol w:w="5760"/>
      </w:tblGrid>
      <w:tr w:rsidTr="000714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 xml:space="preserve">3) </w:t>
            </w:r>
          </w:p>
        </w:tc>
      </w:tr>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The skills and knowledge described in this unit do not require a license to practice in the workplace. However, practice in this unit is subject to regulations directly related to occupational health and safety and where applicable contracts of training su</w:t>
            </w:r>
            <w:r w:rsidRPr="0007346A">
              <w:t>ch as apprenticeships.</w:t>
            </w:r>
          </w:p>
        </w:tc>
      </w:tr>
    </w:tbl>
    <w:p w:rsidR="00000000" w:rsidRPr="0007346A" w:rsidP="0007346A">
      <w:pPr>
        <w:pStyle w:val="BodyText"/>
      </w:pPr>
    </w:p>
    <w:p w:rsidR="00000000" w:rsidRPr="0007346A" w:rsidP="0007346A">
      <w:pPr>
        <w:pStyle w:val="AllowPageBreak"/>
      </w:pPr>
    </w:p>
    <w:p w:rsidR="00000000" w:rsidRPr="0007346A" w:rsidP="0007346A">
      <w:pPr>
        <w:pStyle w:val="Heading1"/>
      </w:pPr>
      <w:bookmarkStart w:id="5" w:name="O_586129"/>
      <w:bookmarkEnd w:id="5"/>
      <w:r w:rsidRPr="0007346A">
        <w:t>Pre-Requisites</w:t>
      </w:r>
    </w:p>
    <w:tbl>
      <w:tblPr>
        <w:tblW w:w="0" w:type="auto"/>
        <w:tblLayout w:type="fixed"/>
        <w:tblCellMar>
          <w:left w:w="62" w:type="dxa"/>
          <w:right w:w="62" w:type="dxa"/>
        </w:tblCellMar>
        <w:tblLook w:val="0000"/>
      </w:tblPr>
      <w:tblGrid>
        <w:gridCol w:w="2700"/>
        <w:gridCol w:w="1440"/>
        <w:gridCol w:w="4320"/>
      </w:tblGrid>
      <w:tr w:rsidTr="000714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 xml:space="preserve">4) </w:t>
            </w:r>
          </w:p>
        </w:tc>
      </w:tr>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4.1)</w:t>
            </w:r>
          </w:p>
        </w:tc>
      </w:tr>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Granting competency in this unit shall be made only after competency in the following unit(s) has/have been confirmed.</w:t>
            </w:r>
          </w:p>
        </w:tc>
      </w:tr>
      <w:tr w:rsidTr="0007140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Apply Occupational Health and Safety regulations, codes and practices in the workplace</w:t>
            </w:r>
          </w:p>
        </w:tc>
      </w:tr>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UEENEEE102A</w:t>
            </w:r>
          </w:p>
        </w:tc>
        <w:tc>
          <w:tcPr>
            <w:tcW w:w="432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Fabricate, assemble and dismantle utilities industry components</w:t>
            </w:r>
          </w:p>
        </w:tc>
      </w:tr>
      <w:tr w:rsidTr="0007140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UEENEEE104A</w:t>
            </w:r>
          </w:p>
        </w:tc>
        <w:tc>
          <w:tcPr>
            <w:tcW w:w="432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Solve problems in d.c. circuits</w:t>
            </w:r>
          </w:p>
        </w:tc>
      </w:tr>
      <w:tr w:rsidTr="0007140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UEENEEE107A</w:t>
            </w:r>
          </w:p>
        </w:tc>
        <w:tc>
          <w:tcPr>
            <w:tcW w:w="432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Use drawings, diagrams, schedules, standards, codes and specifications</w:t>
            </w:r>
          </w:p>
        </w:tc>
      </w:tr>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UEENEEG101A</w:t>
            </w:r>
          </w:p>
        </w:tc>
        <w:tc>
          <w:tcPr>
            <w:tcW w:w="432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Solve problems in electromagnetic devices and related circuits</w:t>
            </w:r>
          </w:p>
        </w:tc>
      </w:tr>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UEENEEG150A</w:t>
            </w:r>
          </w:p>
        </w:tc>
        <w:tc>
          <w:tcPr>
            <w:tcW w:w="432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Wind electrical coils</w:t>
            </w:r>
          </w:p>
        </w:tc>
      </w:tr>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UEENEEG151A</w:t>
            </w:r>
          </w:p>
        </w:tc>
        <w:tc>
          <w:tcPr>
            <w:tcW w:w="432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Place and connect electrical coils</w:t>
            </w:r>
          </w:p>
        </w:tc>
      </w:tr>
    </w:tbl>
    <w:p w:rsidR="00000000" w:rsidRPr="0007346A" w:rsidP="0007346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7140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 xml:space="preserve">4.2) </w:t>
            </w:r>
          </w:p>
        </w:tc>
      </w:tr>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Participants are best equipped to achieve competency in this unit if they have reading, writing and numeracy skills indicated by the following scales. Description of each scale is given in Volume 2, Part 3 ‘Literac</w:t>
            </w:r>
            <w:r w:rsidRPr="0007346A">
              <w:t>y and Numeracy’</w:t>
            </w:r>
          </w:p>
        </w:tc>
      </w:tr>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Reading</w:t>
            </w:r>
          </w:p>
        </w:tc>
        <w:tc>
          <w:tcPr>
            <w:tcW w:w="81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4</w:t>
            </w:r>
          </w:p>
        </w:tc>
        <w:tc>
          <w:tcPr>
            <w:tcW w:w="99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Writing</w:t>
            </w: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4</w:t>
            </w:r>
          </w:p>
        </w:tc>
        <w:tc>
          <w:tcPr>
            <w:tcW w:w="12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Numeracy</w:t>
            </w:r>
          </w:p>
        </w:tc>
        <w:tc>
          <w:tcPr>
            <w:tcW w:w="72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4</w:t>
            </w:r>
          </w:p>
        </w:tc>
      </w:tr>
    </w:tbl>
    <w:p w:rsidR="00000000" w:rsidRPr="0007346A" w:rsidP="0007346A">
      <w:pPr>
        <w:pStyle w:val="BodyText"/>
      </w:pPr>
    </w:p>
    <w:p w:rsidR="00000000" w:rsidRPr="0007346A" w:rsidP="0007346A">
      <w:pPr>
        <w:pStyle w:val="AllowPageBreak"/>
      </w:pPr>
    </w:p>
    <w:p w:rsidR="00000000" w:rsidRPr="0007346A" w:rsidP="0007346A">
      <w:pPr>
        <w:pStyle w:val="Heading1"/>
      </w:pPr>
      <w:bookmarkStart w:id="6" w:name="O_586128"/>
      <w:bookmarkEnd w:id="6"/>
      <w:r w:rsidRPr="0007346A">
        <w:t>Employability Skills Information</w:t>
      </w:r>
    </w:p>
    <w:tbl>
      <w:tblPr>
        <w:tblW w:w="0" w:type="auto"/>
        <w:tblLayout w:type="fixed"/>
        <w:tblCellMar>
          <w:left w:w="62" w:type="dxa"/>
          <w:right w:w="62" w:type="dxa"/>
        </w:tblCellMar>
        <w:tblLook w:val="0000"/>
      </w:tblPr>
      <w:tblGrid>
        <w:gridCol w:w="2700"/>
        <w:gridCol w:w="5760"/>
      </w:tblGrid>
      <w:tr w:rsidTr="000714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 xml:space="preserve">5) </w:t>
            </w:r>
          </w:p>
        </w:tc>
      </w:tr>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This unit contains Employability Skills</w:t>
            </w:r>
          </w:p>
          <w:p w:rsidR="00000000" w:rsidRPr="0007346A" w:rsidP="0007346A">
            <w:pPr>
              <w:pStyle w:val="BodyText"/>
            </w:pPr>
            <w:r w:rsidRPr="0007346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7346A">
              <w:t>requirements.</w:t>
            </w:r>
          </w:p>
        </w:tc>
      </w:tr>
    </w:tbl>
    <w:p w:rsidR="00000000" w:rsidRPr="0007346A" w:rsidP="0007346A">
      <w:pPr>
        <w:pStyle w:val="BodyText"/>
      </w:pPr>
    </w:p>
    <w:p w:rsidR="00000000" w:rsidRPr="0007346A" w:rsidP="0007346A">
      <w:pPr>
        <w:pStyle w:val="AllowPageBreak"/>
      </w:pPr>
    </w:p>
    <w:p w:rsidR="00000000" w:rsidRPr="0007346A" w:rsidP="0007346A">
      <w:pPr>
        <w:pStyle w:val="Heading1"/>
      </w:pPr>
      <w:bookmarkStart w:id="7" w:name="O_586127"/>
      <w:bookmarkEnd w:id="7"/>
      <w:r w:rsidRPr="0007346A">
        <w:t>Elements and Performance Criteria Pre-Content</w:t>
      </w:r>
    </w:p>
    <w:tbl>
      <w:tblPr>
        <w:tblW w:w="0" w:type="auto"/>
        <w:tblLayout w:type="fixed"/>
        <w:tblCellMar>
          <w:left w:w="62" w:type="dxa"/>
          <w:right w:w="62" w:type="dxa"/>
        </w:tblCellMar>
        <w:tblLook w:val="0000"/>
      </w:tblPr>
      <w:tblGrid>
        <w:gridCol w:w="2700"/>
        <w:gridCol w:w="5760"/>
      </w:tblGrid>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6)</w:t>
            </w:r>
            <w:r w:rsidRPr="0007346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Performance Criteria describe the required performance needed to demonstrate achievement of the element</w:t>
            </w:r>
            <w:r w:rsidRPr="0007346A">
              <w:t>. Assessment of performance is to be consistent with the Evidence Guide.</w:t>
            </w:r>
          </w:p>
        </w:tc>
      </w:tr>
    </w:tbl>
    <w:p w:rsidR="00000000" w:rsidRPr="0007346A" w:rsidP="0007346A">
      <w:pPr>
        <w:pStyle w:val="BodyText"/>
      </w:pPr>
    </w:p>
    <w:p w:rsidR="00000000" w:rsidRPr="0007346A" w:rsidP="0007346A">
      <w:pPr>
        <w:pStyle w:val="AllowPageBreak"/>
      </w:pPr>
    </w:p>
    <w:p w:rsidR="00000000" w:rsidRPr="0007346A" w:rsidP="0007346A">
      <w:pPr>
        <w:pStyle w:val="Heading1"/>
      </w:pPr>
      <w:bookmarkStart w:id="8" w:name="O_586126"/>
      <w:bookmarkEnd w:id="8"/>
      <w:r w:rsidRPr="0007346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7140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PERFORMANCE CRITERIA</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1</w:t>
            </w:r>
          </w:p>
        </w:tc>
        <w:tc>
          <w:tcPr>
            <w:tcW w:w="2296" w:type="dxa"/>
            <w:vMerge w:val="restart"/>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Prepare to rewind direct current machines.</w:t>
            </w: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1.1</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OHS procedures for a given work area a</w:t>
            </w:r>
            <w:r w:rsidRPr="0007346A">
              <w:t>re identified, obtained and understood.</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1.2</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Established OHS risk control measures for work preparation are followed.</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1.3</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The extent of the work is determined from job sheets, specifications and regulatory requirements.</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1.4</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 xml:space="preserve">Advice is sought from the work supervisor to ensure the work is coordinated effectively with others. </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1.5</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Induction machine is dismantled and parts tagged and stored to prevent loss or damage.</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1.6</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Winding data is obtained from winding data records or directly from measurements of stator and recorded in accordance with established procedures.</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1.7</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Winding is stripped from stator in accordance with established procedures.</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1.8</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Materials required f</w:t>
            </w:r>
            <w:r w:rsidRPr="0007346A">
              <w:t>or the work are obtained in accordance with established procedures and procedures.</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1.9</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Tools, equipment and testing devices needed to carry out the work are obtained and checked for correct operation and safety.</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2</w:t>
            </w:r>
          </w:p>
        </w:tc>
        <w:tc>
          <w:tcPr>
            <w:tcW w:w="2296" w:type="dxa"/>
            <w:vMerge w:val="restart"/>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Rewind direct current machines.</w:t>
            </w: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2.1</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Established OHS risk control work measures are followed.</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2.2</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Machines/equipment are checked as being isolated where necessary in strict accordance OHS requirements and procedures.</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2.3</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Induction machine is dismantled and parts tagged and stored to pre</w:t>
            </w:r>
            <w:r w:rsidRPr="0007346A">
              <w:t>vent loss or damage.</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2.4</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Winding is stripped from stator in accordance with established procedures.</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2.5</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Armature and fields are wound and insulated in accordance with winding data and established procedures.</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2.6</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Machine is assembled and prepares for final testing in accordance with established procedures.</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2.7</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Prescribed solutions are used to resolve work completion issues.</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2.8</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Routine quality checks are conducted to ensure coils are correctly wound with cor</w:t>
            </w:r>
            <w:r w:rsidRPr="0007346A">
              <w:t>rect wire, number of turns and shape.</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2.9</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Work is completed in acceptable timeframe given environment and workplace conditions.</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3</w:t>
            </w:r>
          </w:p>
        </w:tc>
        <w:tc>
          <w:tcPr>
            <w:tcW w:w="2296"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Complete work report.</w:t>
            </w: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3.1</w:t>
            </w:r>
          </w:p>
        </w:tc>
        <w:tc>
          <w:tcPr>
            <w:tcW w:w="48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OHS measures work completion risk control is followed.</w:t>
            </w:r>
          </w:p>
        </w:tc>
      </w:tr>
      <w:tr w:rsidTr="000714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3.2</w:t>
            </w:r>
          </w:p>
        </w:tc>
        <w:tc>
          <w:tcPr>
            <w:tcW w:w="486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 xml:space="preserve">Work report forms/data sheets are </w:t>
            </w:r>
            <w:r w:rsidRPr="0007346A">
              <w:t>completed accurately in accordance with established procedures.</w:t>
            </w:r>
          </w:p>
        </w:tc>
      </w:tr>
    </w:tbl>
    <w:p w:rsidR="00000000" w:rsidRPr="0007346A" w:rsidP="0007346A">
      <w:pPr>
        <w:pStyle w:val="BodyText"/>
      </w:pPr>
    </w:p>
    <w:p w:rsidR="00000000" w:rsidRPr="0007346A" w:rsidP="0007346A">
      <w:pPr>
        <w:pStyle w:val="AllowPageBreak"/>
      </w:pPr>
    </w:p>
    <w:p w:rsidR="00000000" w:rsidRPr="0007346A" w:rsidP="0007346A">
      <w:pPr>
        <w:pStyle w:val="Heading1"/>
      </w:pPr>
      <w:bookmarkStart w:id="9" w:name="O_586125"/>
      <w:bookmarkEnd w:id="9"/>
      <w:r w:rsidRPr="0007346A">
        <w:t>Required Skills and Knowledge</w:t>
      </w:r>
    </w:p>
    <w:tbl>
      <w:tblPr>
        <w:tblW w:w="0" w:type="auto"/>
        <w:tblLayout w:type="fixed"/>
        <w:tblCellMar>
          <w:left w:w="62" w:type="dxa"/>
          <w:right w:w="62" w:type="dxa"/>
        </w:tblCellMar>
        <w:tblLook w:val="0000"/>
      </w:tblPr>
      <w:tblGrid>
        <w:gridCol w:w="8460"/>
      </w:tblGrid>
      <w:tr w:rsidTr="0007140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REQUIRED SKILLS AND KNOWLEDGE</w:t>
            </w:r>
          </w:p>
        </w:tc>
      </w:tr>
      <w:tr w:rsidTr="0007140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8)</w:t>
            </w:r>
            <w:r w:rsidRPr="0007346A">
              <w:t xml:space="preserve"> This describes the essential skills and knowledge and their level, required for this unit.</w:t>
            </w:r>
          </w:p>
          <w:p w:rsidR="00000000" w:rsidRPr="0007346A" w:rsidP="0007346A">
            <w:pPr>
              <w:pStyle w:val="BodyText"/>
            </w:pPr>
            <w:r w:rsidRPr="0007346A">
              <w:t>Evidence shall show that knowledge has been acquired of safe working practices and rewinding direct current machines rated for low voltage.</w:t>
            </w:r>
          </w:p>
          <w:p w:rsidR="00000000" w:rsidRPr="0007346A" w:rsidP="0007346A">
            <w:pPr>
              <w:pStyle w:val="BodyText"/>
            </w:pPr>
            <w:r w:rsidRPr="0007346A">
              <w:t>All knowledge and skills detailed in this unit should be contextualised to current industry practices and technologi</w:t>
            </w:r>
            <w:r w:rsidRPr="0007346A">
              <w:t>es.</w:t>
            </w:r>
          </w:p>
          <w:p w:rsidR="00000000" w:rsidRPr="0007346A" w:rsidP="0007346A">
            <w:pPr>
              <w:pStyle w:val="BodyText"/>
            </w:pPr>
            <w:r w:rsidRPr="0007346A">
              <w:rPr>
                <w:rStyle w:val="SpecialBold"/>
              </w:rPr>
              <w:t>KS01-EG154A</w:t>
            </w:r>
            <w:r w:rsidRPr="0007346A">
              <w:rPr>
                <w:rStyle w:val="SpecialBold"/>
              </w:rPr>
              <w:tab/>
              <w:t xml:space="preserve">               Direct current motor winding techniques</w:t>
            </w:r>
          </w:p>
          <w:p w:rsidR="00000000" w:rsidRPr="0007346A" w:rsidP="0007346A">
            <w:pPr>
              <w:pStyle w:val="BodyText"/>
            </w:pPr>
            <w:r w:rsidRPr="0007346A">
              <w:t>Evidence shall show an understanding of direct current motor winding techniques to an extent indicated by the following aspects:</w:t>
            </w:r>
          </w:p>
          <w:p w:rsidR="00000000" w:rsidRPr="0007346A" w:rsidP="0007346A">
            <w:pPr>
              <w:pStyle w:val="BodyText"/>
            </w:pPr>
            <w:r w:rsidRPr="0007346A">
              <w:t>T1</w:t>
            </w:r>
            <w:r w:rsidRPr="0007346A">
              <w:tab/>
              <w:t>Principles and construction encompassing:</w:t>
            </w:r>
          </w:p>
          <w:p w:rsidR="00000000" w:rsidRPr="0007346A" w:rsidP="0007346A">
            <w:pPr>
              <w:pStyle w:val="ListBullet"/>
            </w:pPr>
            <w:r w:rsidRPr="0007346A">
              <w:t>Direct-cur</w:t>
            </w:r>
            <w:r w:rsidRPr="0007346A">
              <w:t>rent machine types</w:t>
            </w:r>
          </w:p>
          <w:p w:rsidR="00000000" w:rsidRPr="0007346A" w:rsidP="0007346A">
            <w:pPr>
              <w:pStyle w:val="ListBullet"/>
            </w:pPr>
            <w:r w:rsidRPr="0007346A">
              <w:t>Construction of direct-current machine</w:t>
            </w:r>
          </w:p>
          <w:p w:rsidR="00000000" w:rsidRPr="0007346A" w:rsidP="0007346A">
            <w:pPr>
              <w:pStyle w:val="ListBullet"/>
            </w:pPr>
            <w:r w:rsidRPr="0007346A">
              <w:t>Types of armature windings</w:t>
            </w:r>
          </w:p>
          <w:p w:rsidR="00000000" w:rsidRPr="0007346A" w:rsidP="0007346A">
            <w:pPr>
              <w:pStyle w:val="ListBullet"/>
            </w:pPr>
            <w:r w:rsidRPr="0007346A">
              <w:t xml:space="preserve">Parallel circuits in armature windings </w:t>
            </w:r>
          </w:p>
          <w:p w:rsidR="00000000" w:rsidRPr="0007346A" w:rsidP="0007346A">
            <w:pPr>
              <w:pStyle w:val="ListBullet"/>
            </w:pPr>
            <w:r w:rsidRPr="0007346A">
              <w:t>Value of generated e.m.f.</w:t>
            </w:r>
          </w:p>
          <w:p w:rsidR="00000000" w:rsidRPr="0007346A" w:rsidP="0007346A">
            <w:pPr>
              <w:pStyle w:val="BodyText"/>
            </w:pPr>
            <w:r w:rsidRPr="0007346A">
              <w:t>T2</w:t>
            </w:r>
            <w:r w:rsidRPr="0007346A">
              <w:tab/>
              <w:t>Direct current armature windings encompassing:</w:t>
            </w:r>
          </w:p>
          <w:p w:rsidR="00000000" w:rsidRPr="0007346A" w:rsidP="0007346A">
            <w:pPr>
              <w:pStyle w:val="ListBullet"/>
            </w:pPr>
            <w:r w:rsidRPr="0007346A">
              <w:t>Terms used in armature winding</w:t>
            </w:r>
          </w:p>
          <w:p w:rsidR="00000000" w:rsidRPr="0007346A" w:rsidP="0007346A">
            <w:pPr>
              <w:pStyle w:val="ListBullet"/>
            </w:pPr>
            <w:r w:rsidRPr="0007346A">
              <w:t>Lap and wave windings</w:t>
            </w:r>
          </w:p>
          <w:p w:rsidR="00000000" w:rsidRPr="0007346A" w:rsidP="0007346A">
            <w:pPr>
              <w:pStyle w:val="ListBullet"/>
            </w:pPr>
            <w:r w:rsidRPr="0007346A">
              <w:t>Progressive and retrogressive windings.</w:t>
            </w:r>
          </w:p>
          <w:p w:rsidR="00000000" w:rsidRPr="0007346A" w:rsidP="0007346A">
            <w:pPr>
              <w:pStyle w:val="BodyText"/>
            </w:pPr>
            <w:r w:rsidRPr="0007346A">
              <w:t>T3</w:t>
            </w:r>
            <w:r w:rsidRPr="0007346A">
              <w:tab/>
              <w:t>Simplex lap windings encompassing:</w:t>
            </w:r>
          </w:p>
          <w:p w:rsidR="00000000" w:rsidRPr="0007346A" w:rsidP="0007346A">
            <w:pPr>
              <w:pStyle w:val="ListBullet"/>
            </w:pPr>
            <w:r w:rsidRPr="0007346A">
              <w:t>Simplex lap armature winding</w:t>
            </w:r>
          </w:p>
          <w:p w:rsidR="00000000" w:rsidRPr="0007346A" w:rsidP="0007346A">
            <w:pPr>
              <w:pStyle w:val="ListBullet"/>
            </w:pPr>
            <w:r w:rsidRPr="0007346A">
              <w:t>Commutator pitch</w:t>
            </w:r>
          </w:p>
          <w:p w:rsidR="00000000" w:rsidRPr="0007346A" w:rsidP="0007346A">
            <w:pPr>
              <w:pStyle w:val="ListBullet"/>
            </w:pPr>
            <w:r w:rsidRPr="0007346A">
              <w:t>Number and position of brushes</w:t>
            </w:r>
          </w:p>
          <w:p w:rsidR="00000000" w:rsidRPr="0007346A" w:rsidP="0007346A">
            <w:pPr>
              <w:pStyle w:val="ListBullet"/>
            </w:pPr>
            <w:r w:rsidRPr="0007346A">
              <w:t>Characteristics of simplex lap windings</w:t>
            </w:r>
          </w:p>
          <w:p w:rsidR="00000000" w:rsidRPr="0007346A" w:rsidP="0007346A">
            <w:pPr>
              <w:pStyle w:val="ListBullet"/>
            </w:pPr>
            <w:r w:rsidRPr="0007346A">
              <w:t>Equalising connections for armature windings</w:t>
            </w:r>
          </w:p>
          <w:p w:rsidR="00000000" w:rsidRPr="0007346A" w:rsidP="0007346A">
            <w:pPr>
              <w:pStyle w:val="ListBullet"/>
            </w:pPr>
            <w:r w:rsidRPr="0007346A">
              <w:t>Applications fo</w:t>
            </w:r>
            <w:r w:rsidRPr="0007346A">
              <w:t>r lap windings.</w:t>
            </w:r>
          </w:p>
          <w:p w:rsidR="00000000" w:rsidRPr="0007346A" w:rsidP="0007346A">
            <w:pPr>
              <w:pStyle w:val="BodyText"/>
            </w:pPr>
            <w:r w:rsidRPr="0007346A">
              <w:t>T4</w:t>
            </w:r>
            <w:r w:rsidRPr="0007346A">
              <w:tab/>
              <w:t>Simplex wave windings encompassing:</w:t>
            </w:r>
          </w:p>
          <w:p w:rsidR="00000000" w:rsidRPr="0007346A" w:rsidP="0007346A">
            <w:pPr>
              <w:pStyle w:val="ListBullet"/>
            </w:pPr>
            <w:r w:rsidRPr="0007346A">
              <w:t>Simplex wave armature winding</w:t>
            </w:r>
          </w:p>
          <w:p w:rsidR="00000000" w:rsidRPr="0007346A" w:rsidP="0007346A">
            <w:pPr>
              <w:pStyle w:val="ListBullet"/>
            </w:pPr>
            <w:r w:rsidRPr="0007346A">
              <w:t>Commutator pitch</w:t>
            </w:r>
          </w:p>
          <w:p w:rsidR="00000000" w:rsidRPr="0007346A" w:rsidP="0007346A">
            <w:pPr>
              <w:pStyle w:val="ListBullet"/>
            </w:pPr>
            <w:r w:rsidRPr="0007346A">
              <w:t>Number and position of brushes</w:t>
            </w:r>
          </w:p>
          <w:p w:rsidR="00000000" w:rsidRPr="0007346A" w:rsidP="0007346A">
            <w:pPr>
              <w:pStyle w:val="ListBullet"/>
            </w:pPr>
            <w:r w:rsidRPr="0007346A">
              <w:t>Dummy coils</w:t>
            </w:r>
          </w:p>
          <w:p w:rsidR="00000000" w:rsidRPr="0007346A" w:rsidP="0007346A">
            <w:pPr>
              <w:pStyle w:val="ListBullet"/>
            </w:pPr>
            <w:r w:rsidRPr="0007346A">
              <w:t>Characteristics of simplex wave windings</w:t>
            </w:r>
          </w:p>
          <w:p w:rsidR="00000000" w:rsidRPr="0007346A" w:rsidP="0007346A">
            <w:pPr>
              <w:pStyle w:val="ListBullet"/>
            </w:pPr>
            <w:r w:rsidRPr="0007346A">
              <w:t>Applications of wave windings</w:t>
            </w:r>
          </w:p>
          <w:p w:rsidR="00000000" w:rsidRPr="0007346A" w:rsidP="0007346A">
            <w:pPr>
              <w:pStyle w:val="ListBullet"/>
            </w:pPr>
            <w:r w:rsidRPr="0007346A">
              <w:t>Comparison of lap and wave windings</w:t>
            </w:r>
          </w:p>
          <w:p w:rsidR="00000000" w:rsidRPr="0007346A" w:rsidP="0007346A">
            <w:pPr>
              <w:pStyle w:val="ListBullet"/>
            </w:pPr>
            <w:r w:rsidRPr="0007346A">
              <w:t>Arm</w:t>
            </w:r>
            <w:r w:rsidRPr="0007346A">
              <w:t>ature winding calculations.</w:t>
            </w:r>
          </w:p>
          <w:p w:rsidR="00000000" w:rsidRPr="0007346A" w:rsidP="0007346A">
            <w:pPr>
              <w:pStyle w:val="BodyText"/>
            </w:pPr>
            <w:r w:rsidRPr="0007346A">
              <w:t>T5</w:t>
            </w:r>
            <w:r w:rsidRPr="0007346A">
              <w:tab/>
              <w:t>Commutation and interpoles encompassing:</w:t>
            </w:r>
          </w:p>
          <w:p w:rsidR="00000000" w:rsidRPr="0007346A" w:rsidP="0007346A">
            <w:pPr>
              <w:pStyle w:val="ListBullet"/>
            </w:pPr>
            <w:r w:rsidRPr="0007346A">
              <w:t>Principles of commutation</w:t>
            </w:r>
          </w:p>
          <w:p w:rsidR="00000000" w:rsidRPr="0007346A" w:rsidP="0007346A">
            <w:pPr>
              <w:pStyle w:val="ListBullet"/>
            </w:pPr>
            <w:r w:rsidRPr="0007346A">
              <w:t>Conditions for sparkless commutation</w:t>
            </w:r>
          </w:p>
          <w:p w:rsidR="00000000" w:rsidRPr="0007346A" w:rsidP="0007346A">
            <w:pPr>
              <w:pStyle w:val="ListBullet"/>
            </w:pPr>
            <w:r w:rsidRPr="0007346A">
              <w:t>Methods used to reduce sparking</w:t>
            </w:r>
          </w:p>
          <w:p w:rsidR="00000000" w:rsidRPr="0007346A" w:rsidP="0007346A">
            <w:pPr>
              <w:pStyle w:val="ListBullet"/>
            </w:pPr>
            <w:r w:rsidRPr="0007346A">
              <w:t>Resistance commutation</w:t>
            </w:r>
          </w:p>
          <w:p w:rsidR="00000000" w:rsidRPr="0007346A" w:rsidP="0007346A">
            <w:pPr>
              <w:pStyle w:val="ListBullet"/>
            </w:pPr>
            <w:r w:rsidRPr="0007346A">
              <w:t>e.m.f. commutation</w:t>
            </w:r>
          </w:p>
          <w:p w:rsidR="00000000" w:rsidRPr="0007346A" w:rsidP="0007346A">
            <w:pPr>
              <w:pStyle w:val="ListBullet"/>
            </w:pPr>
            <w:r w:rsidRPr="0007346A">
              <w:t>Interpoles or commutating poles</w:t>
            </w:r>
          </w:p>
          <w:p w:rsidR="00000000" w:rsidRPr="0007346A" w:rsidP="0007346A">
            <w:pPr>
              <w:pStyle w:val="ListBullet"/>
            </w:pPr>
            <w:r w:rsidRPr="0007346A">
              <w:t>Advantages of interpoles.</w:t>
            </w:r>
          </w:p>
          <w:p w:rsidR="00000000" w:rsidRPr="0007346A" w:rsidP="0007346A">
            <w:pPr>
              <w:pStyle w:val="BodyText"/>
            </w:pPr>
            <w:r w:rsidRPr="0007346A">
              <w:t>T6</w:t>
            </w:r>
            <w:r w:rsidRPr="0007346A">
              <w:tab/>
              <w:t>Testing techniques encompassing:</w:t>
            </w:r>
          </w:p>
          <w:p w:rsidR="00000000" w:rsidRPr="0007346A" w:rsidP="0007346A">
            <w:pPr>
              <w:pStyle w:val="ListBullet"/>
            </w:pPr>
            <w:r w:rsidRPr="0007346A">
              <w:t>Continuity</w:t>
            </w:r>
          </w:p>
          <w:p w:rsidR="00000000" w:rsidRPr="0007346A" w:rsidP="0007346A">
            <w:pPr>
              <w:pStyle w:val="ListBullet"/>
            </w:pPr>
            <w:r w:rsidRPr="0007346A">
              <w:t>Insulation testing</w:t>
            </w:r>
          </w:p>
          <w:p w:rsidR="00000000" w:rsidRPr="0007346A" w:rsidP="0007346A">
            <w:pPr>
              <w:pStyle w:val="ListBullet"/>
            </w:pPr>
            <w:r w:rsidRPr="0007346A">
              <w:t>Use of ‘growler’</w:t>
            </w:r>
          </w:p>
          <w:p w:rsidR="00000000" w:rsidRPr="0007346A" w:rsidP="0007346A">
            <w:pPr>
              <w:pStyle w:val="ListBullet"/>
            </w:pPr>
            <w:r w:rsidRPr="0007346A">
              <w:t>Magnetic field testing</w:t>
            </w:r>
          </w:p>
          <w:p w:rsidR="00000000" w:rsidRPr="0007346A" w:rsidP="0007346A">
            <w:pPr>
              <w:pStyle w:val="BodyText"/>
            </w:pPr>
            <w:r w:rsidRPr="0007346A">
              <w:t>T7</w:t>
            </w:r>
            <w:r w:rsidRPr="0007346A">
              <w:tab/>
              <w:t>Critical details and measurements when stripping a stator of a DC machine.</w:t>
            </w:r>
          </w:p>
          <w:p w:rsidR="00000000" w:rsidRPr="0007346A" w:rsidP="0007346A">
            <w:pPr>
              <w:pStyle w:val="ListBullet"/>
            </w:pPr>
            <w:r w:rsidRPr="0007346A">
              <w:t>Types of windings.</w:t>
            </w:r>
          </w:p>
          <w:p w:rsidR="00000000" w:rsidRPr="0007346A" w:rsidP="0007346A">
            <w:pPr>
              <w:pStyle w:val="ListBullet"/>
            </w:pPr>
            <w:r w:rsidRPr="0007346A">
              <w:t>Wave winding.</w:t>
            </w:r>
          </w:p>
          <w:p w:rsidR="00000000" w:rsidRPr="0007346A" w:rsidP="0007346A">
            <w:pPr>
              <w:pStyle w:val="ListBullet"/>
            </w:pPr>
            <w:r w:rsidRPr="0007346A">
              <w:t>Lap winding</w:t>
            </w:r>
            <w:r w:rsidRPr="0007346A">
              <w:t xml:space="preserve"> with equalisers</w:t>
            </w:r>
          </w:p>
          <w:p w:rsidR="00000000" w:rsidRPr="0007346A" w:rsidP="0007346A">
            <w:pPr>
              <w:pStyle w:val="ListBullet"/>
            </w:pPr>
            <w:r w:rsidRPr="0007346A">
              <w:t>Winding layout.</w:t>
            </w:r>
          </w:p>
          <w:p w:rsidR="00000000" w:rsidRPr="0007346A" w:rsidP="0007346A">
            <w:pPr>
              <w:pStyle w:val="BodyText"/>
            </w:pPr>
            <w:r w:rsidRPr="0007346A">
              <w:t>T8</w:t>
            </w:r>
            <w:r w:rsidRPr="0007346A">
              <w:tab/>
              <w:t>Procedures and precautions required when inspecting and/or re-using a commutator</w:t>
            </w:r>
          </w:p>
          <w:p w:rsidR="00000000" w:rsidRPr="0007346A" w:rsidP="0007346A">
            <w:pPr>
              <w:pStyle w:val="ListBullet"/>
            </w:pPr>
            <w:r w:rsidRPr="0007346A">
              <w:t>Removal of armature leads on TIG welded commutator.</w:t>
            </w:r>
          </w:p>
          <w:p w:rsidR="00000000" w:rsidRPr="0007346A" w:rsidP="0007346A">
            <w:pPr>
              <w:pStyle w:val="ListBullet"/>
            </w:pPr>
            <w:r w:rsidRPr="0007346A">
              <w:t>Dimensioned to be checked.</w:t>
            </w:r>
          </w:p>
          <w:p w:rsidR="00000000" w:rsidRPr="0007346A" w:rsidP="0007346A">
            <w:pPr>
              <w:pStyle w:val="ListBullet"/>
            </w:pPr>
            <w:r w:rsidRPr="0007346A">
              <w:t>TIG Welded and soft soldered commutators.</w:t>
            </w:r>
          </w:p>
          <w:p w:rsidR="00000000" w:rsidRPr="0007346A" w:rsidP="0007346A">
            <w:pPr>
              <w:pStyle w:val="ListBullet"/>
            </w:pPr>
            <w:r w:rsidRPr="0007346A">
              <w:t>Coil position and commutator segment relationship.</w:t>
            </w:r>
          </w:p>
          <w:p w:rsidR="00000000" w:rsidRPr="0007346A" w:rsidP="0007346A">
            <w:pPr>
              <w:pStyle w:val="ListBullet"/>
            </w:pPr>
            <w:r w:rsidRPr="0007346A">
              <w:t>Commutator wear ring.</w:t>
            </w:r>
          </w:p>
          <w:p w:rsidR="00000000" w:rsidRPr="0007346A" w:rsidP="0007346A">
            <w:pPr>
              <w:pStyle w:val="BodyText"/>
            </w:pPr>
            <w:r w:rsidRPr="0007346A">
              <w:t>T9</w:t>
            </w:r>
            <w:r w:rsidRPr="0007346A">
              <w:tab/>
              <w:t>Preparation for rewinding.</w:t>
            </w:r>
          </w:p>
          <w:p w:rsidR="00000000" w:rsidRPr="0007346A" w:rsidP="0007346A">
            <w:pPr>
              <w:pStyle w:val="ListBullet"/>
            </w:pPr>
            <w:r w:rsidRPr="0007346A">
              <w:t>Checking the condition of a:</w:t>
            </w:r>
          </w:p>
          <w:p w:rsidR="00000000" w:rsidRPr="0007346A" w:rsidP="0007346A">
            <w:pPr>
              <w:pStyle w:val="ListBullet"/>
            </w:pPr>
            <w:r w:rsidRPr="0007346A">
              <w:t>Stripped core.</w:t>
            </w:r>
          </w:p>
          <w:p w:rsidR="00000000" w:rsidRPr="0007346A" w:rsidP="0007346A">
            <w:pPr>
              <w:pStyle w:val="ListBullet"/>
            </w:pPr>
            <w:r w:rsidRPr="0007346A">
              <w:t>Commutator.</w:t>
            </w:r>
          </w:p>
          <w:p w:rsidR="00000000" w:rsidRPr="0007346A" w:rsidP="0007346A">
            <w:pPr>
              <w:pStyle w:val="ListBullet"/>
            </w:pPr>
            <w:r w:rsidRPr="0007346A">
              <w:t>Removing of old winding.</w:t>
            </w:r>
          </w:p>
          <w:p w:rsidR="00000000" w:rsidRPr="0007346A" w:rsidP="0007346A">
            <w:pPr>
              <w:pStyle w:val="ListBullet"/>
            </w:pPr>
            <w:r w:rsidRPr="0007346A">
              <w:t>Core loss test.</w:t>
            </w:r>
          </w:p>
          <w:p w:rsidR="00000000" w:rsidRPr="0007346A" w:rsidP="0007346A">
            <w:pPr>
              <w:pStyle w:val="ListBullet"/>
            </w:pPr>
            <w:r w:rsidRPr="0007346A">
              <w:t>Hot spots in armature core.</w:t>
            </w:r>
          </w:p>
          <w:p w:rsidR="00000000" w:rsidRPr="0007346A" w:rsidP="0007346A">
            <w:pPr>
              <w:pStyle w:val="ListBullet"/>
            </w:pPr>
            <w:r w:rsidRPr="0007346A">
              <w:t>Testing commutator before u</w:t>
            </w:r>
            <w:r w:rsidRPr="0007346A">
              <w:t>se.</w:t>
            </w:r>
          </w:p>
          <w:p w:rsidR="00000000" w:rsidRPr="0007346A" w:rsidP="0007346A">
            <w:pPr>
              <w:pStyle w:val="BodyText"/>
            </w:pPr>
            <w:r w:rsidRPr="0007346A">
              <w:t>T10</w:t>
            </w:r>
            <w:r w:rsidRPr="0007346A">
              <w:tab/>
              <w:t>Selection of appropriate insulation.</w:t>
            </w:r>
          </w:p>
          <w:p w:rsidR="00000000" w:rsidRPr="0007346A" w:rsidP="0007346A">
            <w:pPr>
              <w:pStyle w:val="ListBullet"/>
            </w:pPr>
            <w:r w:rsidRPr="0007346A">
              <w:t>Reason for selecting a particular insulation.</w:t>
            </w:r>
          </w:p>
          <w:p w:rsidR="00000000" w:rsidRPr="0007346A" w:rsidP="0007346A">
            <w:pPr>
              <w:pStyle w:val="ListBullet"/>
            </w:pPr>
            <w:r w:rsidRPr="0007346A">
              <w:t>Dielectric strength.</w:t>
            </w:r>
          </w:p>
          <w:p w:rsidR="00000000" w:rsidRPr="0007346A" w:rsidP="0007346A">
            <w:pPr>
              <w:pStyle w:val="ListBullet"/>
            </w:pPr>
            <w:r w:rsidRPr="0007346A">
              <w:t>Temperature rating.</w:t>
            </w:r>
          </w:p>
          <w:p w:rsidR="00000000" w:rsidRPr="0007346A" w:rsidP="0007346A">
            <w:pPr>
              <w:pStyle w:val="ListBullet"/>
            </w:pPr>
            <w:r w:rsidRPr="0007346A">
              <w:t>Manufactures recommendations.</w:t>
            </w:r>
          </w:p>
          <w:p w:rsidR="00000000" w:rsidRPr="0007346A" w:rsidP="0007346A">
            <w:pPr>
              <w:pStyle w:val="ListBullet"/>
            </w:pPr>
            <w:r w:rsidRPr="0007346A">
              <w:t xml:space="preserve">Standards. </w:t>
            </w:r>
          </w:p>
          <w:p w:rsidR="00000000" w:rsidRPr="0007346A" w:rsidP="0007346A">
            <w:pPr>
              <w:pStyle w:val="ListBullet"/>
            </w:pPr>
            <w:r w:rsidRPr="0007346A">
              <w:t xml:space="preserve">Insulation properties, method of application and specific uses for: </w:t>
            </w:r>
          </w:p>
          <w:p w:rsidR="00000000" w:rsidRPr="0007346A" w:rsidP="0007346A">
            <w:pPr>
              <w:pStyle w:val="ListBullet"/>
            </w:pPr>
            <w:r w:rsidRPr="0007346A">
              <w:t>B stage insu</w:t>
            </w:r>
            <w:r w:rsidRPr="0007346A">
              <w:t xml:space="preserve">lation </w:t>
            </w:r>
          </w:p>
          <w:p w:rsidR="00000000" w:rsidRPr="0007346A" w:rsidP="0007346A">
            <w:pPr>
              <w:pStyle w:val="ListBullet"/>
            </w:pPr>
            <w:r w:rsidRPr="0007346A">
              <w:t>VPI insulation</w:t>
            </w:r>
          </w:p>
          <w:p w:rsidR="00000000" w:rsidRPr="0007346A" w:rsidP="0007346A">
            <w:pPr>
              <w:pStyle w:val="ListBullet"/>
            </w:pPr>
            <w:r w:rsidRPr="0007346A">
              <w:t>Insulations used on the slot portion and overhang.</w:t>
            </w:r>
          </w:p>
          <w:p w:rsidR="00000000" w:rsidRPr="0007346A" w:rsidP="0007346A">
            <w:pPr>
              <w:pStyle w:val="BodyText"/>
            </w:pPr>
            <w:r w:rsidRPr="0007346A">
              <w:t>T11</w:t>
            </w:r>
            <w:r w:rsidRPr="0007346A">
              <w:tab/>
              <w:t>Calculations and insulation specifications.</w:t>
            </w:r>
          </w:p>
          <w:p w:rsidR="00000000" w:rsidRPr="0007346A" w:rsidP="0007346A">
            <w:pPr>
              <w:pStyle w:val="ListBullet"/>
            </w:pPr>
            <w:r w:rsidRPr="0007346A">
              <w:t>Preparation of coils and equalisers.</w:t>
            </w:r>
          </w:p>
          <w:p w:rsidR="00000000" w:rsidRPr="0007346A" w:rsidP="0007346A">
            <w:pPr>
              <w:pStyle w:val="ListBullet"/>
            </w:pPr>
            <w:r w:rsidRPr="0007346A">
              <w:t>Manufactures specifications.</w:t>
            </w:r>
          </w:p>
          <w:p w:rsidR="00000000" w:rsidRPr="0007346A" w:rsidP="0007346A">
            <w:pPr>
              <w:pStyle w:val="ListBullet"/>
            </w:pPr>
            <w:r w:rsidRPr="0007346A">
              <w:t>Calculation of a half coil length and the amount of copper required.</w:t>
            </w:r>
          </w:p>
          <w:p w:rsidR="00000000" w:rsidRPr="0007346A" w:rsidP="0007346A">
            <w:pPr>
              <w:pStyle w:val="ListBullet"/>
            </w:pPr>
            <w:r w:rsidRPr="0007346A">
              <w:t>Preparation of copper prior to insulating coils and equalisers on armatures;</w:t>
            </w:r>
          </w:p>
          <w:p w:rsidR="00000000" w:rsidRPr="0007346A" w:rsidP="0007346A">
            <w:pPr>
              <w:pStyle w:val="ListBullet2"/>
            </w:pPr>
            <w:r w:rsidRPr="0007346A">
              <w:t>Commutators.</w:t>
            </w:r>
          </w:p>
          <w:p w:rsidR="00000000" w:rsidRPr="0007346A" w:rsidP="0007346A">
            <w:pPr>
              <w:pStyle w:val="ListBullet2"/>
            </w:pPr>
            <w:r w:rsidRPr="0007346A">
              <w:t>TIG welded.</w:t>
            </w:r>
          </w:p>
          <w:p w:rsidR="00000000" w:rsidRPr="0007346A" w:rsidP="0007346A">
            <w:pPr>
              <w:pStyle w:val="ListBullet2"/>
            </w:pPr>
            <w:r w:rsidRPr="0007346A">
              <w:t>Soft soldered.</w:t>
            </w:r>
          </w:p>
          <w:p w:rsidR="00000000" w:rsidRPr="0007346A" w:rsidP="0007346A">
            <w:pPr>
              <w:pStyle w:val="ListBullet2"/>
            </w:pPr>
            <w:r w:rsidRPr="0007346A">
              <w:t>Identification of insulation specifications.</w:t>
            </w:r>
          </w:p>
        </w:tc>
      </w:tr>
    </w:tbl>
    <w:p w:rsidR="00000000" w:rsidRPr="0007346A" w:rsidP="0007346A">
      <w:pPr>
        <w:pStyle w:val="BodyText"/>
      </w:pPr>
    </w:p>
    <w:p w:rsidR="00000000" w:rsidRPr="0007346A" w:rsidP="0007346A">
      <w:pPr>
        <w:pStyle w:val="AllowPageBreak"/>
      </w:pPr>
    </w:p>
    <w:p w:rsidR="00000000" w:rsidRPr="0007346A" w:rsidP="0007346A">
      <w:pPr>
        <w:pStyle w:val="Heading1"/>
      </w:pPr>
      <w:bookmarkStart w:id="10" w:name="O_586124"/>
      <w:bookmarkEnd w:id="10"/>
      <w:r w:rsidRPr="0007346A">
        <w:t>Evidence Guide</w:t>
      </w:r>
    </w:p>
    <w:tbl>
      <w:tblPr>
        <w:tblW w:w="0" w:type="auto"/>
        <w:tblLayout w:type="fixed"/>
        <w:tblCellMar>
          <w:left w:w="62" w:type="dxa"/>
          <w:right w:w="62" w:type="dxa"/>
        </w:tblCellMar>
        <w:tblLook w:val="0000"/>
      </w:tblPr>
      <w:tblGrid>
        <w:gridCol w:w="8460"/>
      </w:tblGrid>
      <w:tr w:rsidTr="0007140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EVIDENCE GUIDE</w:t>
            </w:r>
          </w:p>
        </w:tc>
      </w:tr>
      <w:tr w:rsidTr="0007140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9)</w:t>
            </w:r>
            <w:r w:rsidRPr="0007346A">
              <w:t xml:space="preserve"> The evidence guide provides advice on assessment and must be read in conjunction with the Performance Criteria, Required Skills and Knowledge, the Range Statement and the Assessment Guidelines for this Training Package. </w:t>
            </w:r>
          </w:p>
          <w:p w:rsidR="00000000" w:rsidRPr="0007346A" w:rsidP="0007346A">
            <w:pPr>
              <w:pStyle w:val="BodyText"/>
            </w:pPr>
            <w:r w:rsidRPr="0007346A">
              <w:t>T</w:t>
            </w:r>
            <w:r w:rsidRPr="0007346A">
              <w:t>he Evidence Guide forms an integral part of this unit. It must be used in conjunction with all parts of this unit and performed in accordance with the Assessment Guidelines of this Training Package.</w:t>
            </w:r>
          </w:p>
        </w:tc>
      </w:tr>
    </w:tbl>
    <w:p w:rsidR="00000000" w:rsidRPr="0007346A" w:rsidP="0007346A">
      <w:pPr>
        <w:pStyle w:val="BodyText"/>
      </w:pPr>
    </w:p>
    <w:tbl>
      <w:tblPr>
        <w:tblW w:w="0" w:type="auto"/>
        <w:tblLayout w:type="fixed"/>
        <w:tblCellMar>
          <w:left w:w="62" w:type="dxa"/>
          <w:right w:w="62" w:type="dxa"/>
        </w:tblCellMar>
        <w:tblLook w:val="0000"/>
      </w:tblPr>
      <w:tblGrid>
        <w:gridCol w:w="1890"/>
        <w:gridCol w:w="6570"/>
      </w:tblGrid>
      <w:tr w:rsidTr="000714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9.1)</w:t>
            </w:r>
          </w:p>
        </w:tc>
      </w:tr>
      <w:tr w:rsidTr="000714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Longitudinal competency development approaches to assessment, such as Profiling, require data to be reliably gathered in a form that can be consistently interpreted over time. This approach is best utilised in Apprenticeship programs and reduces assessment</w:t>
            </w:r>
            <w:r w:rsidRPr="0007346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7346A">
              <w:t>tency in a realistically simulated work environment. It is recognised that, in some circumstances, assessment in part or full can occur outside the workplace. However, it must be in accordance with industry and regulatory policy.</w:t>
            </w:r>
          </w:p>
          <w:p w:rsidR="00000000" w:rsidRPr="0007346A" w:rsidP="0007346A">
            <w:pPr>
              <w:pStyle w:val="BodyText"/>
            </w:pPr>
            <w:r w:rsidRPr="0007346A">
              <w:t>Methods chosen for a parti</w:t>
            </w:r>
            <w:r w:rsidRPr="0007346A">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07346A">
              <w:t>the critical nature of the competencies being assessed.</w:t>
            </w:r>
          </w:p>
          <w:p w:rsidR="00000000" w:rsidRPr="0007346A" w:rsidP="0007346A">
            <w:pPr>
              <w:pStyle w:val="BodyText"/>
            </w:pPr>
            <w:r w:rsidRPr="0007346A">
              <w:t>The critical safety nature of working with electricity, electrical equipment, gas or any other hazardous substance/material carries risk in deeming a person competent. Sources of evidence need to be ‘</w:t>
            </w:r>
            <w:r w:rsidRPr="0007346A">
              <w:t>rich’ in nature to minimise error in judgment.</w:t>
            </w:r>
          </w:p>
          <w:p w:rsidR="00000000" w:rsidRPr="0007346A" w:rsidP="0007346A">
            <w:pPr>
              <w:pStyle w:val="BodyText"/>
            </w:pPr>
            <w:r w:rsidRPr="0007346A">
              <w:t xml:space="preserve">Activities associated with normal every day work have a bearing on the decision as to how much and how detailed the data gathered will contribute to its ‘richness’. Some skills are more critical to safety and </w:t>
            </w:r>
            <w:r w:rsidRPr="0007346A">
              <w:t>operational requirements while the same skills may be more or less frequently practised. These points are raised for the assessors to consider when choosing an assessment method and developing assessment instruments. Sample assessment instruments are inclu</w:t>
            </w:r>
            <w:r w:rsidRPr="0007346A">
              <w:t>ded for Assessors in the Assessment Guidelines of this Training Package.</w:t>
            </w:r>
          </w:p>
        </w:tc>
      </w:tr>
    </w:tbl>
    <w:p w:rsidR="00000000" w:rsidRPr="0007346A" w:rsidP="0007346A">
      <w:pPr>
        <w:pStyle w:val="BodyText"/>
      </w:pPr>
    </w:p>
    <w:tbl>
      <w:tblPr>
        <w:tblW w:w="0" w:type="auto"/>
        <w:tblLayout w:type="fixed"/>
        <w:tblCellMar>
          <w:left w:w="62" w:type="dxa"/>
          <w:right w:w="62" w:type="dxa"/>
        </w:tblCellMar>
        <w:tblLook w:val="0000"/>
      </w:tblPr>
      <w:tblGrid>
        <w:gridCol w:w="1890"/>
        <w:gridCol w:w="6570"/>
      </w:tblGrid>
      <w:tr w:rsidTr="00071403">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9.2)</w:t>
            </w:r>
          </w:p>
        </w:tc>
      </w:tr>
      <w:tr w:rsidTr="000714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Before the critical aspects of evidence are considered all prerequisites shall be met.</w:t>
            </w:r>
          </w:p>
          <w:p w:rsidR="00000000" w:rsidRPr="0007346A" w:rsidP="0007346A">
            <w:pPr>
              <w:pStyle w:val="BodyText"/>
            </w:pPr>
            <w:r w:rsidRPr="0007346A">
              <w:t>Evidence f</w:t>
            </w:r>
            <w:r w:rsidRPr="0007346A">
              <w:t>or competence in this unit shall be considered holistically.  Each element and associated performance criteria shall be demonstrated on at least two occasions in accordance with the ‘Assessment Guidelines – UEE11’.  Evidence shall also comprise:</w:t>
            </w:r>
          </w:p>
          <w:p w:rsidR="00000000" w:rsidRPr="0007346A" w:rsidP="0007346A">
            <w:pPr>
              <w:pStyle w:val="ListBullet"/>
            </w:pPr>
            <w:r w:rsidRPr="0007346A">
              <w:t>A represe</w:t>
            </w:r>
            <w:r w:rsidRPr="0007346A">
              <w:t>ntative body of work performance demonstrated within the timeframes typically expected of the discipline, work function and industrial environment. In particular this shall incorporate evidence that shows a candidate is able to:</w:t>
            </w:r>
          </w:p>
          <w:p w:rsidR="00000000" w:rsidRPr="0007346A" w:rsidP="0007346A">
            <w:pPr>
              <w:pStyle w:val="ListBullet2"/>
            </w:pPr>
            <w:r w:rsidRPr="0007346A">
              <w:t>Implement Occupational Health and Safety workplace procedures and practices including the use of risk control measures as specified in the performance criteria and range statement</w:t>
            </w:r>
          </w:p>
          <w:p w:rsidR="00000000" w:rsidRPr="0007346A" w:rsidP="0007346A">
            <w:pPr>
              <w:pStyle w:val="ListBullet2"/>
            </w:pPr>
            <w:r w:rsidRPr="0007346A">
              <w:t>Apply sustainable energy principles and practices as specified in the perfor</w:t>
            </w:r>
            <w:r w:rsidRPr="0007346A">
              <w:t>mance criteria and range statement</w:t>
            </w:r>
          </w:p>
          <w:p w:rsidR="00000000" w:rsidRPr="0007346A" w:rsidP="0007346A">
            <w:pPr>
              <w:pStyle w:val="ListBullet2"/>
            </w:pPr>
            <w:r w:rsidRPr="0007346A">
              <w:t>Demonstrate an understanding of the essential knowledge and associated skills as described in this unit.  It may be required by some jurisdictions that RTOs provide a percentile graded result for the purpose of regulatory</w:t>
            </w:r>
            <w:r w:rsidRPr="0007346A">
              <w:t xml:space="preserve"> or licensing requirements.   </w:t>
            </w:r>
          </w:p>
          <w:p w:rsidR="00000000" w:rsidRPr="0007346A" w:rsidP="0007346A">
            <w:pPr>
              <w:pStyle w:val="ListBullet2"/>
            </w:pPr>
            <w:r w:rsidRPr="0007346A">
              <w:t>Demonstrate an appropriate level of skills enabling employment</w:t>
            </w:r>
          </w:p>
          <w:p w:rsidR="00000000" w:rsidRPr="0007346A" w:rsidP="0007346A">
            <w:pPr>
              <w:pStyle w:val="ListBullet2"/>
            </w:pPr>
            <w:r w:rsidRPr="0007346A">
              <w:t>Conduct work observing the relevant Anti Discrimination legislation, regulations, polices and workplace procedures</w:t>
            </w:r>
          </w:p>
          <w:p w:rsidR="00000000" w:rsidRPr="0007346A" w:rsidP="0007346A">
            <w:pPr>
              <w:pStyle w:val="ListBullet"/>
            </w:pPr>
            <w:r w:rsidRPr="0007346A">
              <w:t>Demonstrated consistent performance across a r</w:t>
            </w:r>
            <w:r w:rsidRPr="0007346A">
              <w:t>epresentative range of contexts from the prescribed items below:</w:t>
            </w:r>
          </w:p>
          <w:p w:rsidR="00000000" w:rsidRPr="0007346A" w:rsidP="0007346A">
            <w:pPr>
              <w:pStyle w:val="ListBullet2"/>
            </w:pPr>
            <w:r w:rsidRPr="0007346A">
              <w:t>Rewind direct current machines rated for low voltage as described as described in 8) and including:</w:t>
            </w:r>
          </w:p>
          <w:p w:rsidR="00000000" w:rsidRPr="0007346A" w:rsidP="0007346A">
            <w:pPr>
              <w:pStyle w:val="BodyText"/>
            </w:pPr>
            <w:r w:rsidRPr="0007346A">
              <w:t>A</w:t>
            </w:r>
            <w:r w:rsidRPr="0007346A">
              <w:tab/>
              <w:t>Dismantling machine and storing parts securely.</w:t>
            </w:r>
          </w:p>
          <w:p w:rsidR="00000000" w:rsidRPr="0007346A" w:rsidP="0007346A">
            <w:pPr>
              <w:pStyle w:val="BodyText"/>
            </w:pPr>
            <w:r w:rsidRPr="0007346A">
              <w:t>B</w:t>
            </w:r>
            <w:r w:rsidRPr="0007346A">
              <w:tab/>
              <w:t>Preparing stator for winding.</w:t>
            </w:r>
          </w:p>
          <w:p w:rsidR="00000000" w:rsidRPr="0007346A" w:rsidP="0007346A">
            <w:pPr>
              <w:pStyle w:val="BodyText"/>
            </w:pPr>
            <w:r w:rsidRPr="0007346A">
              <w:t>C</w:t>
            </w:r>
            <w:r w:rsidRPr="0007346A">
              <w:tab/>
              <w:t>Follow</w:t>
            </w:r>
            <w:r w:rsidRPr="0007346A">
              <w:t>ing winding specifications.</w:t>
            </w:r>
          </w:p>
          <w:p w:rsidR="00000000" w:rsidRPr="0007346A" w:rsidP="0007346A">
            <w:pPr>
              <w:pStyle w:val="BodyText"/>
            </w:pPr>
            <w:r w:rsidRPr="0007346A">
              <w:t>D</w:t>
            </w:r>
            <w:r w:rsidRPr="0007346A">
              <w:tab/>
              <w:t>Selecting correct coils and insulation.</w:t>
            </w:r>
          </w:p>
          <w:p w:rsidR="00000000" w:rsidRPr="0007346A" w:rsidP="0007346A">
            <w:pPr>
              <w:pStyle w:val="BodyText"/>
            </w:pPr>
            <w:r w:rsidRPr="0007346A">
              <w:t>E</w:t>
            </w:r>
            <w:r w:rsidRPr="0007346A">
              <w:tab/>
              <w:t>Winding and connecting armature and fields correctly.</w:t>
            </w:r>
          </w:p>
          <w:p w:rsidR="00000000" w:rsidRPr="0007346A" w:rsidP="0007346A">
            <w:pPr>
              <w:pStyle w:val="BodyText"/>
            </w:pPr>
            <w:r w:rsidRPr="0007346A">
              <w:t>F</w:t>
            </w:r>
            <w:r w:rsidRPr="0007346A">
              <w:tab/>
              <w:t>Assembling machine and preparing for testing.</w:t>
            </w:r>
          </w:p>
          <w:p w:rsidR="00000000" w:rsidRPr="0007346A" w:rsidP="0007346A">
            <w:pPr>
              <w:pStyle w:val="BodyText"/>
            </w:pPr>
            <w:r w:rsidRPr="0007346A">
              <w:t>G</w:t>
            </w:r>
            <w:r w:rsidRPr="0007346A">
              <w:tab/>
              <w:t>Adhering to quality procedures.</w:t>
            </w:r>
          </w:p>
          <w:p w:rsidR="00000000" w:rsidRPr="0007346A" w:rsidP="0007346A">
            <w:pPr>
              <w:pStyle w:val="BodyText"/>
            </w:pPr>
            <w:r w:rsidRPr="0007346A">
              <w:t>H</w:t>
            </w:r>
            <w:r w:rsidRPr="0007346A">
              <w:tab/>
              <w:t>Completing work report/forms accurately.</w:t>
            </w:r>
          </w:p>
          <w:p w:rsidR="00000000" w:rsidRPr="0007346A" w:rsidP="0007346A">
            <w:pPr>
              <w:pStyle w:val="BodyText"/>
            </w:pPr>
            <w:r w:rsidRPr="0007346A">
              <w:t>I</w:t>
            </w:r>
            <w:r w:rsidRPr="0007346A">
              <w:tab/>
            </w:r>
            <w:r w:rsidRPr="0007346A">
              <w:t>Dealing with unplanned events by drawing on essential knowledge and skills to provide appropriate solutions incorporated in the holistic assessment with the above listed items.</w:t>
            </w:r>
          </w:p>
          <w:p w:rsidR="00000000" w:rsidRPr="0007346A" w:rsidP="0007346A">
            <w:pPr>
              <w:pStyle w:val="BodyText"/>
            </w:pPr>
            <w:r w:rsidRPr="0007346A">
              <w:t xml:space="preserve">Note: </w:t>
            </w:r>
          </w:p>
          <w:p w:rsidR="00000000" w:rsidRPr="0007346A" w:rsidP="0007346A">
            <w:pPr>
              <w:pStyle w:val="BodyText"/>
            </w:pPr>
            <w:r w:rsidRPr="0007346A">
              <w:t>Successful completion of relevant vendor training may be used to contrib</w:t>
            </w:r>
            <w:r w:rsidRPr="0007346A">
              <w:t>ute to evidence on which competency is deemed. In these cases the alignment of outcomes of vendor training with performance criteria and critical aspects of evidence shall be clearly identified.</w:t>
            </w:r>
          </w:p>
        </w:tc>
      </w:tr>
    </w:tbl>
    <w:p w:rsidR="00000000" w:rsidRPr="0007346A" w:rsidP="0007346A">
      <w:pPr>
        <w:pStyle w:val="BodyText"/>
      </w:pPr>
    </w:p>
    <w:tbl>
      <w:tblPr>
        <w:tblW w:w="0" w:type="auto"/>
        <w:tblLayout w:type="fixed"/>
        <w:tblCellMar>
          <w:left w:w="62" w:type="dxa"/>
          <w:right w:w="62" w:type="dxa"/>
        </w:tblCellMar>
        <w:tblLook w:val="0000"/>
      </w:tblPr>
      <w:tblGrid>
        <w:gridCol w:w="1890"/>
        <w:gridCol w:w="6570"/>
      </w:tblGrid>
      <w:tr w:rsidTr="0007140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9.3)</w:t>
            </w:r>
          </w:p>
        </w:tc>
      </w:tr>
      <w:tr w:rsidTr="0007140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Thi</w:t>
            </w:r>
            <w:r w:rsidRPr="0007346A">
              <w:t>s unit should be assessed as it relates to normal work practice using procedures, information and resources typical of a workplace. This should include:</w:t>
            </w:r>
          </w:p>
          <w:p w:rsidR="00000000" w:rsidRPr="0007346A" w:rsidP="0007346A">
            <w:pPr>
              <w:pStyle w:val="BodyText"/>
            </w:pPr>
            <w:r w:rsidRPr="0007346A">
              <w:t>OHS policy and work procedures and instructions.</w:t>
            </w:r>
          </w:p>
          <w:p w:rsidR="00000000" w:rsidRPr="0007346A" w:rsidP="0007346A">
            <w:pPr>
              <w:pStyle w:val="BodyText"/>
            </w:pPr>
            <w:r w:rsidRPr="0007346A">
              <w:t>Suitable work environment, facilities, equipment and m</w:t>
            </w:r>
            <w:r w:rsidRPr="0007346A">
              <w:t>aterials to undertake actual work as prescribed by this unit.</w:t>
            </w:r>
          </w:p>
          <w:p w:rsidR="00000000" w:rsidRPr="0007346A" w:rsidP="0007346A">
            <w:pPr>
              <w:pStyle w:val="BodyText"/>
            </w:pPr>
            <w:r w:rsidRPr="0007346A">
              <w:t>These should be part of the formal learning/assessment environment.</w:t>
            </w:r>
          </w:p>
          <w:p w:rsidR="00000000" w:rsidRPr="0007346A" w:rsidP="0007346A">
            <w:pPr>
              <w:pStyle w:val="BodyText"/>
            </w:pPr>
            <w:r w:rsidRPr="0007346A">
              <w:t>Note:</w:t>
            </w:r>
          </w:p>
          <w:p w:rsidR="00000000" w:rsidRPr="0007346A" w:rsidP="0007346A">
            <w:pPr>
              <w:pStyle w:val="BodyText"/>
            </w:pPr>
            <w:r w:rsidRPr="0007346A">
              <w:t>Where simulation is considered a suitable strategy for assessment, conditions must be authentic and as far as possible reproduce and replicate the workplace and be consistent with the approved industry simulation policy.</w:t>
            </w:r>
          </w:p>
          <w:p w:rsidR="00000000" w:rsidRPr="0007346A" w:rsidP="0007346A">
            <w:pPr>
              <w:pStyle w:val="BodyText"/>
            </w:pPr>
            <w:r w:rsidRPr="0007346A">
              <w:t>The resources used for assessment s</w:t>
            </w:r>
            <w:r w:rsidRPr="0007346A">
              <w:t>hould reflect current industry practices in relation to rewinding direct current machines rated for low voltage.</w:t>
            </w:r>
          </w:p>
        </w:tc>
      </w:tr>
    </w:tbl>
    <w:p w:rsidR="00000000" w:rsidRPr="0007346A" w:rsidP="0007346A">
      <w:pPr>
        <w:pStyle w:val="BodyText"/>
      </w:pPr>
    </w:p>
    <w:tbl>
      <w:tblPr>
        <w:tblW w:w="0" w:type="auto"/>
        <w:tblLayout w:type="fixed"/>
        <w:tblCellMar>
          <w:left w:w="62" w:type="dxa"/>
          <w:right w:w="62" w:type="dxa"/>
        </w:tblCellMar>
        <w:tblLook w:val="0000"/>
      </w:tblPr>
      <w:tblGrid>
        <w:gridCol w:w="1890"/>
        <w:gridCol w:w="6570"/>
      </w:tblGrid>
      <w:tr w:rsidTr="000714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9.4)</w:t>
            </w:r>
          </w:p>
        </w:tc>
      </w:tr>
      <w:tr w:rsidTr="000714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This unit shall be assessed by methods given in Volume 1, Part 3 ‘Assessment Guidelines’.</w:t>
            </w:r>
          </w:p>
          <w:p w:rsidR="00000000" w:rsidRPr="0007346A" w:rsidP="0007346A">
            <w:pPr>
              <w:pStyle w:val="BodyText"/>
            </w:pPr>
            <w:r w:rsidRPr="0007346A">
              <w:t xml:space="preserve">Note: </w:t>
            </w:r>
          </w:p>
          <w:p w:rsidR="00000000" w:rsidRPr="0007346A" w:rsidP="0007346A">
            <w:pPr>
              <w:pStyle w:val="BodyText"/>
            </w:pPr>
            <w:r w:rsidRPr="0007346A">
              <w:t>Competent perfor</w:t>
            </w:r>
            <w:r w:rsidRPr="0007346A">
              <w:t>mance with inherent safe working practices is expected in the industry to which this unit applies. This requires assessment in a structured environment which is primarily intended for learning/assessment and incorporates all necessary equipment and facilit</w:t>
            </w:r>
            <w:r w:rsidRPr="0007346A">
              <w:t>ies for learners to develop and demonstrate the essential knowledge and skills described in this unit.</w:t>
            </w:r>
          </w:p>
        </w:tc>
      </w:tr>
    </w:tbl>
    <w:p w:rsidR="00000000" w:rsidRPr="0007346A" w:rsidP="0007346A">
      <w:pPr>
        <w:pStyle w:val="BodyText"/>
      </w:pPr>
    </w:p>
    <w:tbl>
      <w:tblPr>
        <w:tblW w:w="0" w:type="auto"/>
        <w:tblLayout w:type="fixed"/>
        <w:tblCellMar>
          <w:left w:w="62" w:type="dxa"/>
          <w:right w:w="62" w:type="dxa"/>
        </w:tblCellMar>
        <w:tblLook w:val="0000"/>
      </w:tblPr>
      <w:tblGrid>
        <w:gridCol w:w="1890"/>
        <w:gridCol w:w="1530"/>
        <w:gridCol w:w="5040"/>
      </w:tblGrid>
      <w:tr w:rsidTr="000714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9.5)</w:t>
            </w:r>
          </w:p>
        </w:tc>
      </w:tr>
      <w:tr w:rsidTr="000714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For optimisation of training and assessment effort, competency development in this unit may be arranged concurrently with unit:</w:t>
            </w:r>
          </w:p>
        </w:tc>
      </w:tr>
      <w:tr w:rsidTr="000714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UEENEEG157A</w:t>
            </w:r>
          </w:p>
        </w:tc>
        <w:tc>
          <w:tcPr>
            <w:tcW w:w="504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t>Conduct electrical tests on LV electrical machines</w:t>
            </w:r>
          </w:p>
        </w:tc>
      </w:tr>
      <w:tr w:rsidTr="000714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The critical aspects of occupational health and safety cover</w:t>
            </w:r>
            <w:r w:rsidRPr="0007346A">
              <w:t>ed in unit UEENEEE101A and other discipline specific occupational health and safety units shall be incorporated in relation to this unit.</w:t>
            </w:r>
          </w:p>
        </w:tc>
      </w:tr>
    </w:tbl>
    <w:p w:rsidR="00000000" w:rsidRPr="0007346A" w:rsidP="0007346A">
      <w:pPr>
        <w:pStyle w:val="BodyText"/>
      </w:pPr>
    </w:p>
    <w:p w:rsidR="00000000" w:rsidRPr="0007346A" w:rsidP="0007346A">
      <w:pPr>
        <w:pStyle w:val="AllowPageBreak"/>
      </w:pPr>
    </w:p>
    <w:p w:rsidR="00000000" w:rsidRPr="0007346A" w:rsidP="0007346A">
      <w:pPr>
        <w:pStyle w:val="Heading1"/>
      </w:pPr>
      <w:bookmarkStart w:id="11" w:name="O_586123"/>
      <w:bookmarkEnd w:id="11"/>
      <w:r w:rsidRPr="0007346A">
        <w:t>Range Statement</w:t>
      </w:r>
    </w:p>
    <w:tbl>
      <w:tblPr>
        <w:tblW w:w="0" w:type="auto"/>
        <w:tblLayout w:type="fixed"/>
        <w:tblCellMar>
          <w:left w:w="62" w:type="dxa"/>
          <w:right w:w="62" w:type="dxa"/>
        </w:tblCellMar>
        <w:tblLook w:val="0000"/>
      </w:tblPr>
      <w:tblGrid>
        <w:gridCol w:w="8460"/>
      </w:tblGrid>
      <w:tr w:rsidTr="0007140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RANGE STATEMENT</w:t>
            </w:r>
          </w:p>
        </w:tc>
      </w:tr>
      <w:tr w:rsidTr="0007140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10)</w:t>
            </w:r>
            <w:r w:rsidRPr="0007346A">
              <w:t xml:space="preserve"> This relates to the unit as a whole providing the range of contexts and conditions to which the performance criteria apply. It allows for different work environments and situations that will affect performance.</w:t>
            </w:r>
          </w:p>
          <w:p w:rsidR="00000000" w:rsidRPr="0007346A" w:rsidP="0007346A">
            <w:pPr>
              <w:pStyle w:val="BodyText"/>
            </w:pPr>
            <w:r w:rsidRPr="0007346A">
              <w:t xml:space="preserve">This unit shall be demonstrated in relation </w:t>
            </w:r>
            <w:r w:rsidRPr="0007346A">
              <w:t>to dismantling and winding armatures and field coils for at least three different direct current machines in an environment designed specifically for the purpose.</w:t>
            </w:r>
          </w:p>
          <w:p w:rsidR="00000000" w:rsidRPr="0007346A" w:rsidP="0007346A">
            <w:pPr>
              <w:pStyle w:val="BodyText"/>
            </w:pPr>
            <w:r w:rsidRPr="0007346A">
              <w:t>Generic terms used throughout this Vocational Standard shall be regarded as part of the Range</w:t>
            </w:r>
            <w:r w:rsidRPr="0007346A">
              <w:t xml:space="preserve"> Statement in which competency is demonstrated. The definition of these and other terms that apply are given in Volume 2, Part 2.1.</w:t>
            </w:r>
          </w:p>
        </w:tc>
      </w:tr>
    </w:tbl>
    <w:p w:rsidR="00000000" w:rsidRPr="0007346A" w:rsidP="0007346A">
      <w:pPr>
        <w:pStyle w:val="BodyText"/>
      </w:pPr>
    </w:p>
    <w:p w:rsidR="00000000" w:rsidRPr="0007346A" w:rsidP="0007346A">
      <w:pPr>
        <w:pStyle w:val="AllowPageBreak"/>
      </w:pPr>
    </w:p>
    <w:p w:rsidR="00000000" w:rsidRPr="0007346A" w:rsidP="0007346A">
      <w:pPr>
        <w:pStyle w:val="Heading1"/>
      </w:pPr>
      <w:bookmarkStart w:id="12" w:name="O_586122"/>
      <w:bookmarkEnd w:id="12"/>
      <w:r w:rsidRPr="0007346A">
        <w:t>Unit Sector(s)</w:t>
      </w:r>
    </w:p>
    <w:p w:rsidR="00000000" w:rsidRPr="0007346A" w:rsidP="0007346A">
      <w:pPr>
        <w:pStyle w:val="BodyText"/>
      </w:pPr>
      <w:r w:rsidRPr="0007346A">
        <w:t>Not applicable.</w:t>
      </w:r>
    </w:p>
    <w:p w:rsidR="00000000" w:rsidRPr="0007346A" w:rsidP="0007346A">
      <w:pPr>
        <w:pStyle w:val="AllowPageBreak"/>
      </w:pPr>
    </w:p>
    <w:p w:rsidR="00000000" w:rsidRPr="0007346A" w:rsidP="0007346A">
      <w:pPr>
        <w:pStyle w:val="Heading1"/>
      </w:pPr>
      <w:bookmarkStart w:id="13" w:name="O_586121"/>
      <w:bookmarkEnd w:id="13"/>
      <w:r w:rsidRPr="0007346A">
        <w:t>Competency Field</w:t>
      </w:r>
    </w:p>
    <w:tbl>
      <w:tblPr>
        <w:tblW w:w="0" w:type="auto"/>
        <w:tblLayout w:type="fixed"/>
        <w:tblCellMar>
          <w:left w:w="62" w:type="dxa"/>
          <w:right w:w="62" w:type="dxa"/>
        </w:tblCellMar>
        <w:tblLook w:val="0000"/>
      </w:tblPr>
      <w:tblGrid>
        <w:gridCol w:w="2700"/>
        <w:gridCol w:w="5760"/>
      </w:tblGrid>
      <w:tr w:rsidTr="000714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7346A">
            <w:pPr>
              <w:pStyle w:val="BodyText"/>
              <w:rPr>
                <w:lang w:val="en-NZ"/>
              </w:rPr>
            </w:pPr>
            <w:r w:rsidRPr="0007346A">
              <w:rPr>
                <w:rStyle w:val="SpecialBold"/>
              </w:rPr>
              <w:t xml:space="preserve">11) </w:t>
            </w:r>
          </w:p>
        </w:tc>
      </w:tr>
      <w:tr w:rsidTr="000714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346A" w:rsidP="0007346A">
            <w:pPr>
              <w:pStyle w:val="BodyText"/>
            </w:pPr>
            <w:r w:rsidRPr="0007346A">
              <w:t>Electrical</w:t>
            </w:r>
          </w:p>
        </w:tc>
      </w:tr>
    </w:tbl>
    <w:p w:rsidR="00000000" w:rsidRPr="0007346A" w:rsidP="0007346A">
      <w:pPr>
        <w:pStyle w:val="BodyText"/>
      </w:pPr>
    </w:p>
    <w:p w:rsidR="00000000" w:rsidRPr="0007346A" w:rsidP="0007346A"/>
    <w:sectPr w:rsidSect="000734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rsidRPr="00071403" w:rsidP="00071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03" w:rsidP="00073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71403" w:rsidP="000734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71403" w:rsidP="000734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rsidRPr="00071403" w:rsidP="000714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03" w:rsidRPr="002D2AF8" w:rsidP="0007346A">
    <w:pPr>
      <w:pStyle w:val="Header"/>
      <w:framePr w:wrap="around"/>
    </w:pPr>
    <w:r>
      <w:fldChar w:fldCharType="begin"/>
    </w:r>
    <w:r>
      <w:instrText xml:space="preserve"> TITLE   \* MERGEFORMAT </w:instrText>
    </w:r>
    <w:r>
      <w:fldChar w:fldCharType="separate"/>
    </w:r>
    <w:r>
      <w:t>UEENEEG154A Rewind LV direct current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71403" w:rsidP="000734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1EE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A64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427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4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46A"/>
    <w:pPr>
      <w:spacing w:before="360" w:after="60"/>
      <w:outlineLvl w:val="0"/>
    </w:pPr>
    <w:rPr>
      <w:sz w:val="32"/>
    </w:rPr>
  </w:style>
  <w:style w:type="paragraph" w:styleId="Heading2">
    <w:name w:val="heading 2"/>
    <w:basedOn w:val="HeadingBase"/>
    <w:next w:val="BodyText"/>
    <w:link w:val="Heading2Char"/>
    <w:qFormat/>
    <w:rsid w:val="0007346A"/>
    <w:pPr>
      <w:keepLines/>
      <w:spacing w:before="240" w:after="120"/>
      <w:outlineLvl w:val="1"/>
    </w:pPr>
    <w:rPr>
      <w:sz w:val="28"/>
      <w:szCs w:val="40"/>
    </w:rPr>
  </w:style>
  <w:style w:type="paragraph" w:styleId="Heading3">
    <w:name w:val="heading 3"/>
    <w:basedOn w:val="HeadingBase"/>
    <w:next w:val="BodyText"/>
    <w:link w:val="Heading3Char"/>
    <w:qFormat/>
    <w:rsid w:val="0007346A"/>
    <w:pPr>
      <w:spacing w:before="180" w:after="120"/>
      <w:outlineLvl w:val="2"/>
    </w:pPr>
    <w:rPr>
      <w:spacing w:val="-10"/>
      <w:kern w:val="32"/>
    </w:rPr>
  </w:style>
  <w:style w:type="paragraph" w:styleId="Heading4">
    <w:name w:val="heading 4"/>
    <w:basedOn w:val="HeadingBase"/>
    <w:next w:val="BodyText"/>
    <w:link w:val="Heading4Char"/>
    <w:qFormat/>
    <w:rsid w:val="0007346A"/>
    <w:pPr>
      <w:spacing w:before="160" w:after="120"/>
      <w:outlineLvl w:val="3"/>
    </w:pPr>
    <w:rPr>
      <w:sz w:val="22"/>
    </w:rPr>
  </w:style>
  <w:style w:type="paragraph" w:styleId="Heading5">
    <w:name w:val="heading 5"/>
    <w:basedOn w:val="HeadingBase"/>
    <w:next w:val="Normal"/>
    <w:link w:val="Heading5Char"/>
    <w:qFormat/>
    <w:rsid w:val="0007346A"/>
    <w:pPr>
      <w:spacing w:before="80"/>
      <w:outlineLvl w:val="4"/>
    </w:pPr>
    <w:rPr>
      <w:color w:val="918585"/>
      <w:sz w:val="20"/>
    </w:rPr>
  </w:style>
  <w:style w:type="paragraph" w:styleId="Heading6">
    <w:name w:val="heading 6"/>
    <w:basedOn w:val="HeadingBase"/>
    <w:next w:val="Normal"/>
    <w:link w:val="Heading6Char"/>
    <w:qFormat/>
    <w:rsid w:val="0007346A"/>
    <w:pPr>
      <w:spacing w:before="60"/>
      <w:outlineLvl w:val="5"/>
    </w:pPr>
    <w:rPr>
      <w:color w:val="918585"/>
      <w:sz w:val="20"/>
    </w:rPr>
  </w:style>
  <w:style w:type="paragraph" w:styleId="Heading7">
    <w:name w:val="heading 7"/>
    <w:basedOn w:val="Normal"/>
    <w:next w:val="Normal"/>
    <w:link w:val="Heading7Char"/>
    <w:qFormat/>
    <w:rsid w:val="0007346A"/>
    <w:pPr>
      <w:ind w:left="720"/>
      <w:outlineLvl w:val="6"/>
    </w:pPr>
    <w:rPr>
      <w:i/>
    </w:rPr>
  </w:style>
  <w:style w:type="paragraph" w:styleId="Heading8">
    <w:name w:val="heading 8"/>
    <w:basedOn w:val="Normal"/>
    <w:next w:val="Normal"/>
    <w:link w:val="Heading8Char"/>
    <w:qFormat/>
    <w:rsid w:val="0007346A"/>
    <w:pPr>
      <w:ind w:left="720"/>
      <w:outlineLvl w:val="7"/>
    </w:pPr>
    <w:rPr>
      <w:i/>
    </w:rPr>
  </w:style>
  <w:style w:type="paragraph" w:styleId="Heading9">
    <w:name w:val="heading 9"/>
    <w:basedOn w:val="Normal"/>
    <w:next w:val="Normal"/>
    <w:link w:val="Heading9Char"/>
    <w:qFormat/>
    <w:rsid w:val="0007346A"/>
    <w:pPr>
      <w:ind w:left="720"/>
      <w:outlineLvl w:val="8"/>
    </w:pPr>
    <w:rPr>
      <w:i/>
    </w:rPr>
  </w:style>
  <w:style w:type="character" w:default="1" w:styleId="DefaultParagraphFont">
    <w:name w:val="Default Paragraph Font"/>
    <w:uiPriority w:val="1"/>
    <w:unhideWhenUsed/>
    <w:rsid w:val="00073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46A"/>
  </w:style>
  <w:style w:type="character" w:customStyle="1" w:styleId="Heading1Char">
    <w:name w:val="Heading 1 Char"/>
    <w:basedOn w:val="DefaultParagraphFont"/>
    <w:link w:val="Heading1"/>
    <w:rsid w:val="0007346A"/>
    <w:rPr>
      <w:rFonts w:ascii="Times New Roman" w:eastAsia="Times New Roman" w:hAnsi="Times New Roman" w:cs="Times New Roman"/>
      <w:b/>
      <w:sz w:val="32"/>
      <w:szCs w:val="20"/>
      <w:lang w:eastAsia="en-US"/>
    </w:rPr>
  </w:style>
  <w:style w:type="paragraph" w:styleId="BodyText">
    <w:name w:val="Body Text"/>
    <w:basedOn w:val="Normal"/>
    <w:link w:val="BodyTextChar"/>
    <w:rsid w:val="000734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46A"/>
    <w:rPr>
      <w:rFonts w:ascii="Times New Roman" w:eastAsia="Times New Roman" w:hAnsi="Times New Roman" w:cs="Times New Roman"/>
      <w:sz w:val="24"/>
      <w:lang w:eastAsia="en-US"/>
    </w:rPr>
  </w:style>
  <w:style w:type="paragraph" w:styleId="ListBullet">
    <w:name w:val="List Bullet"/>
    <w:basedOn w:val="List"/>
    <w:rsid w:val="0007346A"/>
    <w:pPr>
      <w:numPr>
        <w:numId w:val="13"/>
      </w:numPr>
      <w:tabs>
        <w:tab w:val="clear" w:pos="340"/>
      </w:tabs>
      <w:spacing w:before="40" w:after="40"/>
    </w:pPr>
  </w:style>
  <w:style w:type="character" w:customStyle="1" w:styleId="SpecialBold">
    <w:name w:val="Special Bold"/>
    <w:basedOn w:val="DefaultParagraphFont"/>
    <w:rsid w:val="0007346A"/>
    <w:rPr>
      <w:b/>
      <w:spacing w:val="0"/>
    </w:rPr>
  </w:style>
  <w:style w:type="paragraph" w:styleId="ListBullet2">
    <w:name w:val="List Bullet 2"/>
    <w:basedOn w:val="List2"/>
    <w:rsid w:val="0007346A"/>
    <w:pPr>
      <w:numPr>
        <w:numId w:val="14"/>
      </w:numPr>
      <w:tabs>
        <w:tab w:val="clear" w:pos="680"/>
      </w:tabs>
    </w:pPr>
  </w:style>
  <w:style w:type="paragraph" w:customStyle="1" w:styleId="SuperHeading">
    <w:name w:val="SuperHeading"/>
    <w:basedOn w:val="Normal"/>
    <w:rsid w:val="0007346A"/>
    <w:pPr>
      <w:spacing w:before="240" w:after="120"/>
      <w:outlineLvl w:val="0"/>
    </w:pPr>
    <w:rPr>
      <w:rFonts w:ascii="Times New Roman" w:hAnsi="Times New Roman"/>
      <w:b/>
      <w:sz w:val="32"/>
    </w:rPr>
  </w:style>
  <w:style w:type="paragraph" w:customStyle="1" w:styleId="AllowPageBreak">
    <w:name w:val="AllowPageBreak"/>
    <w:rsid w:val="000734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4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4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46A"/>
    <w:rPr>
      <w:rFonts w:ascii="Courier New" w:eastAsia="Times New Roman" w:hAnsi="Courier New" w:cs="Times New Roman"/>
      <w:i/>
      <w:szCs w:val="20"/>
      <w:lang w:eastAsia="en-US"/>
    </w:rPr>
  </w:style>
  <w:style w:type="paragraph" w:customStyle="1" w:styleId="HeadingBase">
    <w:name w:val="Heading Base"/>
    <w:rsid w:val="00073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46A"/>
    <w:pPr>
      <w:tabs>
        <w:tab w:val="right" w:leader="dot" w:pos="9072"/>
      </w:tabs>
      <w:ind w:left="567"/>
    </w:pPr>
    <w:rPr>
      <w:szCs w:val="22"/>
    </w:rPr>
  </w:style>
  <w:style w:type="paragraph" w:customStyle="1" w:styleId="TOCBase">
    <w:name w:val="TOC Base"/>
    <w:rsid w:val="00073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46A"/>
    <w:pPr>
      <w:tabs>
        <w:tab w:val="right" w:leader="dot" w:pos="9072"/>
      </w:tabs>
      <w:spacing w:before="40" w:after="40"/>
      <w:ind w:left="284"/>
    </w:pPr>
    <w:rPr>
      <w:rFonts w:ascii="Times New Roman" w:hAnsi="Times New Roman"/>
    </w:rPr>
  </w:style>
  <w:style w:type="paragraph" w:styleId="TOC1">
    <w:name w:val="toc 1"/>
    <w:basedOn w:val="TOCBase"/>
    <w:next w:val="Normal"/>
    <w:rsid w:val="000734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46A"/>
    <w:rPr>
      <w:rFonts w:ascii="Times New Roman" w:eastAsia="Times New Roman" w:hAnsi="Times New Roman" w:cs="Times New Roman"/>
      <w:sz w:val="16"/>
      <w:lang w:eastAsia="en-US"/>
    </w:rPr>
  </w:style>
  <w:style w:type="paragraph" w:styleId="Title">
    <w:name w:val="Title"/>
    <w:basedOn w:val="HeadingBase"/>
    <w:link w:val="TitleChar"/>
    <w:qFormat/>
    <w:rsid w:val="0007346A"/>
    <w:pPr>
      <w:spacing w:before="5040"/>
      <w:jc w:val="center"/>
    </w:pPr>
    <w:rPr>
      <w:sz w:val="48"/>
      <w:szCs w:val="72"/>
      <w:lang w:val="en-US"/>
    </w:rPr>
  </w:style>
  <w:style w:type="character" w:customStyle="1" w:styleId="TitleChar">
    <w:name w:val="Title Char"/>
    <w:basedOn w:val="DefaultParagraphFont"/>
    <w:link w:val="Title"/>
    <w:rsid w:val="00073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46A"/>
    <w:pPr>
      <w:tabs>
        <w:tab w:val="left" w:pos="3600"/>
        <w:tab w:val="left" w:pos="3958"/>
      </w:tabs>
    </w:pPr>
  </w:style>
  <w:style w:type="paragraph" w:styleId="List">
    <w:name w:val="List"/>
    <w:basedOn w:val="BodyText"/>
    <w:next w:val="BodyText"/>
    <w:rsid w:val="0007346A"/>
    <w:pPr>
      <w:tabs>
        <w:tab w:val="left" w:pos="340"/>
      </w:tabs>
      <w:spacing w:before="60" w:after="60"/>
      <w:ind w:left="340" w:hanging="340"/>
    </w:pPr>
  </w:style>
  <w:style w:type="paragraph" w:customStyle="1" w:styleId="Note">
    <w:name w:val="Note"/>
    <w:basedOn w:val="BodyText"/>
    <w:rsid w:val="00073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46A"/>
    <w:pPr>
      <w:framePr w:wrap="auto" w:hAnchor="text" w:y="6049"/>
    </w:pPr>
    <w:rPr>
      <w:color w:val="000000"/>
      <w:sz w:val="40"/>
    </w:rPr>
  </w:style>
  <w:style w:type="paragraph" w:customStyle="1" w:styleId="TOCTitle">
    <w:name w:val="TOCTitle"/>
    <w:basedOn w:val="Heading1"/>
    <w:rsid w:val="0007346A"/>
    <w:pPr>
      <w:spacing w:after="240"/>
      <w:jc w:val="center"/>
      <w:outlineLvl w:val="9"/>
    </w:pPr>
    <w:rPr>
      <w:caps/>
    </w:rPr>
  </w:style>
  <w:style w:type="paragraph" w:customStyle="1" w:styleId="Version">
    <w:name w:val="Version"/>
    <w:rsid w:val="000734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46A"/>
    <w:pPr>
      <w:keepNext w:val="0"/>
      <w:tabs>
        <w:tab w:val="right" w:pos="4176"/>
      </w:tabs>
      <w:ind w:left="198" w:hanging="198"/>
    </w:pPr>
    <w:rPr>
      <w:rFonts w:ascii="Garamond" w:hAnsi="Garamond"/>
    </w:rPr>
  </w:style>
  <w:style w:type="paragraph" w:styleId="IndexHeading">
    <w:name w:val="index heading"/>
    <w:basedOn w:val="Normal"/>
    <w:next w:val="Index1"/>
    <w:semiHidden/>
    <w:rsid w:val="0007346A"/>
    <w:pPr>
      <w:spacing w:before="120" w:after="120"/>
    </w:pPr>
    <w:rPr>
      <w:rFonts w:ascii="Arial" w:hAnsi="Arial"/>
      <w:b/>
      <w:color w:val="918585"/>
      <w:sz w:val="24"/>
    </w:rPr>
  </w:style>
  <w:style w:type="paragraph" w:styleId="Header">
    <w:name w:val="header"/>
    <w:basedOn w:val="Normal"/>
    <w:link w:val="HeaderChar"/>
    <w:rsid w:val="00073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46A"/>
    <w:rPr>
      <w:rFonts w:ascii="Times New Roman" w:eastAsia="Times New Roman" w:hAnsi="Times New Roman" w:cs="Times New Roman"/>
      <w:sz w:val="16"/>
      <w:szCs w:val="20"/>
      <w:lang w:val="en-GB" w:eastAsia="en-US"/>
    </w:rPr>
  </w:style>
  <w:style w:type="paragraph" w:customStyle="1" w:styleId="Chapter">
    <w:name w:val="Chapter"/>
    <w:basedOn w:val="Normal"/>
    <w:rsid w:val="0007346A"/>
    <w:pPr>
      <w:spacing w:before="240"/>
    </w:pPr>
    <w:rPr>
      <w:rFonts w:ascii="Times New Roman" w:hAnsi="Times New Roman"/>
      <w:smallCaps/>
      <w:spacing w:val="80"/>
      <w:sz w:val="28"/>
    </w:rPr>
  </w:style>
  <w:style w:type="paragraph" w:customStyle="1" w:styleId="InChapter">
    <w:name w:val="InChapter"/>
    <w:basedOn w:val="Heading3"/>
    <w:rsid w:val="0007346A"/>
    <w:pPr>
      <w:spacing w:after="240"/>
      <w:outlineLvl w:val="9"/>
    </w:pPr>
    <w:rPr>
      <w:noProof/>
    </w:rPr>
  </w:style>
  <w:style w:type="paragraph" w:styleId="Index2">
    <w:name w:val="index 2"/>
    <w:basedOn w:val="Normal"/>
    <w:next w:val="Normal"/>
    <w:semiHidden/>
    <w:rsid w:val="0007346A"/>
    <w:pPr>
      <w:tabs>
        <w:tab w:val="right" w:pos="4176"/>
      </w:tabs>
      <w:ind w:left="568" w:hanging="284"/>
    </w:pPr>
    <w:rPr>
      <w:rFonts w:ascii="Garamond" w:hAnsi="Garamond"/>
    </w:rPr>
  </w:style>
  <w:style w:type="paragraph" w:customStyle="1" w:styleId="Byline">
    <w:name w:val="Byline"/>
    <w:rsid w:val="00073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46A"/>
    <w:pPr>
      <w:tabs>
        <w:tab w:val="clear" w:pos="3600"/>
        <w:tab w:val="clear" w:pos="3958"/>
      </w:tabs>
      <w:jc w:val="right"/>
    </w:pPr>
  </w:style>
  <w:style w:type="character" w:styleId="Emphasis">
    <w:name w:val="Emphasis"/>
    <w:basedOn w:val="DefaultParagraphFont"/>
    <w:qFormat/>
    <w:rsid w:val="0007346A"/>
    <w:rPr>
      <w:i/>
    </w:rPr>
  </w:style>
  <w:style w:type="paragraph" w:styleId="Caption">
    <w:name w:val="caption"/>
    <w:basedOn w:val="BodyText"/>
    <w:next w:val="Normal"/>
    <w:qFormat/>
    <w:rsid w:val="0007346A"/>
    <w:pPr>
      <w:framePr w:w="2268" w:hSpace="181" w:vSpace="181" w:wrap="around" w:vAnchor="text" w:hAnchor="page" w:x="1135" w:y="285" w:anchorLock="1"/>
    </w:pPr>
    <w:rPr>
      <w:i/>
    </w:rPr>
  </w:style>
  <w:style w:type="paragraph" w:customStyle="1" w:styleId="MiniTOCTitle">
    <w:name w:val="MiniTOCTitle"/>
    <w:basedOn w:val="Heading4"/>
    <w:rsid w:val="0007346A"/>
    <w:pPr>
      <w:spacing w:before="240"/>
      <w:outlineLvl w:val="9"/>
    </w:pPr>
    <w:rPr>
      <w:noProof/>
      <w:sz w:val="24"/>
    </w:rPr>
  </w:style>
  <w:style w:type="paragraph" w:customStyle="1" w:styleId="MiniTOCItem">
    <w:name w:val="MiniTOCItem"/>
    <w:basedOn w:val="ListBullet"/>
    <w:rsid w:val="0007346A"/>
    <w:pPr>
      <w:numPr>
        <w:numId w:val="0"/>
      </w:numPr>
      <w:tabs>
        <w:tab w:val="right" w:leader="dot" w:pos="6521"/>
      </w:tabs>
      <w:spacing w:before="0" w:after="0"/>
    </w:pPr>
  </w:style>
  <w:style w:type="paragraph" w:customStyle="1" w:styleId="TOFTitle">
    <w:name w:val="TOFTitle"/>
    <w:basedOn w:val="TOCTitle"/>
    <w:rsid w:val="0007346A"/>
  </w:style>
  <w:style w:type="paragraph" w:styleId="TableofFigures">
    <w:name w:val="table of figures"/>
    <w:basedOn w:val="Normal"/>
    <w:next w:val="Normal"/>
    <w:semiHidden/>
    <w:rsid w:val="0007346A"/>
    <w:pPr>
      <w:tabs>
        <w:tab w:val="right" w:leader="dot" w:pos="9072"/>
      </w:tabs>
      <w:ind w:left="970" w:hanging="403"/>
    </w:pPr>
    <w:rPr>
      <w:rFonts w:ascii="Times New Roman" w:hAnsi="Times New Roman"/>
      <w:b/>
    </w:rPr>
  </w:style>
  <w:style w:type="paragraph" w:styleId="ListNumber">
    <w:name w:val="List Number"/>
    <w:basedOn w:val="List"/>
    <w:rsid w:val="0007346A"/>
    <w:pPr>
      <w:numPr>
        <w:numId w:val="11"/>
      </w:numPr>
    </w:pPr>
  </w:style>
  <w:style w:type="character" w:customStyle="1" w:styleId="WingdingSymbols">
    <w:name w:val="Wingding Symbols"/>
    <w:rsid w:val="0007346A"/>
    <w:rPr>
      <w:rFonts w:ascii="Wingdings" w:hAnsi="Wingdings"/>
    </w:rPr>
  </w:style>
  <w:style w:type="paragraph" w:customStyle="1" w:styleId="TableHeading">
    <w:name w:val="Table Heading"/>
    <w:basedOn w:val="HeadingBase"/>
    <w:rsid w:val="0007346A"/>
    <w:pPr>
      <w:keepLines/>
      <w:pBdr>
        <w:bottom w:val="single" w:sz="6" w:space="1" w:color="918585"/>
      </w:pBdr>
      <w:spacing w:before="240"/>
    </w:pPr>
  </w:style>
  <w:style w:type="character" w:customStyle="1" w:styleId="HotSpot">
    <w:name w:val="HotSpot"/>
    <w:rsid w:val="0007346A"/>
    <w:rPr>
      <w:color w:val="0033CC"/>
      <w:u w:val="none"/>
    </w:rPr>
  </w:style>
  <w:style w:type="paragraph" w:customStyle="1" w:styleId="BodyTextRight">
    <w:name w:val="Body Text Right"/>
    <w:basedOn w:val="BodyText"/>
    <w:rsid w:val="0007346A"/>
    <w:pPr>
      <w:spacing w:before="0" w:after="0"/>
      <w:jc w:val="right"/>
    </w:pPr>
  </w:style>
  <w:style w:type="paragraph" w:styleId="Index3">
    <w:name w:val="index 3"/>
    <w:basedOn w:val="ListNumber2"/>
    <w:next w:val="Normal"/>
    <w:semiHidden/>
    <w:rsid w:val="0007346A"/>
    <w:pPr>
      <w:numPr>
        <w:numId w:val="0"/>
      </w:numPr>
      <w:tabs>
        <w:tab w:val="right" w:leader="dot" w:pos="4176"/>
      </w:tabs>
    </w:pPr>
  </w:style>
  <w:style w:type="paragraph" w:styleId="ListNumber2">
    <w:name w:val="List Number 2"/>
    <w:basedOn w:val="List2"/>
    <w:rsid w:val="0007346A"/>
    <w:pPr>
      <w:numPr>
        <w:numId w:val="10"/>
      </w:numPr>
      <w:tabs>
        <w:tab w:val="clear" w:pos="1060"/>
      </w:tabs>
    </w:pPr>
  </w:style>
  <w:style w:type="paragraph" w:customStyle="1" w:styleId="MarginNote">
    <w:name w:val="Margin Note"/>
    <w:basedOn w:val="BodyText"/>
    <w:rsid w:val="00073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4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46A"/>
    <w:rPr>
      <w:sz w:val="32"/>
    </w:rPr>
  </w:style>
  <w:style w:type="paragraph" w:customStyle="1" w:styleId="HeadingProcedure">
    <w:name w:val="Heading Procedure"/>
    <w:basedOn w:val="HeadingBase"/>
    <w:next w:val="Normal"/>
    <w:rsid w:val="0007346A"/>
    <w:pPr>
      <w:tabs>
        <w:tab w:val="left" w:pos="0"/>
      </w:tabs>
      <w:spacing w:before="120" w:after="60"/>
    </w:pPr>
    <w:rPr>
      <w:i/>
      <w:color w:val="918585"/>
      <w:sz w:val="22"/>
    </w:rPr>
  </w:style>
  <w:style w:type="paragraph" w:customStyle="1" w:styleId="TableBodyText">
    <w:name w:val="Table Body Text"/>
    <w:basedOn w:val="BodyText"/>
    <w:rsid w:val="0007346A"/>
    <w:pPr>
      <w:spacing w:before="60" w:after="60"/>
    </w:pPr>
  </w:style>
  <w:style w:type="paragraph" w:styleId="ListContinue">
    <w:name w:val="List Continue"/>
    <w:basedOn w:val="List"/>
    <w:rsid w:val="0007346A"/>
    <w:pPr>
      <w:ind w:firstLine="0"/>
    </w:pPr>
  </w:style>
  <w:style w:type="paragraph" w:customStyle="1" w:styleId="ListNote">
    <w:name w:val="List Note"/>
    <w:basedOn w:val="List"/>
    <w:rsid w:val="0007346A"/>
    <w:pPr>
      <w:pBdr>
        <w:top w:val="single" w:sz="6" w:space="2" w:color="918585"/>
        <w:bottom w:val="single" w:sz="6" w:space="2" w:color="918585"/>
      </w:pBdr>
      <w:tabs>
        <w:tab w:val="left" w:pos="1021"/>
      </w:tabs>
      <w:ind w:firstLine="0"/>
    </w:pPr>
  </w:style>
  <w:style w:type="paragraph" w:customStyle="1" w:styleId="Warning">
    <w:name w:val="Warning"/>
    <w:basedOn w:val="BodyText"/>
    <w:rsid w:val="0007346A"/>
    <w:pPr>
      <w:shd w:val="clear" w:color="auto" w:fill="D9D9D9"/>
      <w:tabs>
        <w:tab w:val="left" w:pos="992"/>
      </w:tabs>
      <w:ind w:left="119" w:right="119"/>
    </w:pPr>
    <w:rPr>
      <w:sz w:val="20"/>
    </w:rPr>
  </w:style>
  <w:style w:type="paragraph" w:customStyle="1" w:styleId="MarginIcons">
    <w:name w:val="Margin Icons"/>
    <w:basedOn w:val="BodyText"/>
    <w:rsid w:val="00073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46A"/>
    <w:rPr>
      <w:rFonts w:ascii="Courier New" w:hAnsi="Courier New"/>
    </w:rPr>
  </w:style>
  <w:style w:type="paragraph" w:customStyle="1" w:styleId="NoteBullet">
    <w:name w:val="Note Bullet"/>
    <w:basedOn w:val="Note"/>
    <w:rsid w:val="0007346A"/>
    <w:pPr>
      <w:tabs>
        <w:tab w:val="clear" w:pos="680"/>
      </w:tabs>
      <w:spacing w:before="60" w:after="60"/>
    </w:pPr>
  </w:style>
  <w:style w:type="paragraph" w:customStyle="1" w:styleId="SubHeading2">
    <w:name w:val="SubHeading2"/>
    <w:basedOn w:val="HeadingBase"/>
    <w:rsid w:val="0007346A"/>
    <w:pPr>
      <w:spacing w:before="240" w:after="60"/>
    </w:pPr>
    <w:rPr>
      <w:sz w:val="20"/>
    </w:rPr>
  </w:style>
  <w:style w:type="paragraph" w:customStyle="1" w:styleId="SubHeading1">
    <w:name w:val="SubHeading1"/>
    <w:basedOn w:val="HeadingBase"/>
    <w:rsid w:val="0007346A"/>
    <w:pPr>
      <w:spacing w:before="240" w:after="60"/>
    </w:pPr>
    <w:rPr>
      <w:color w:val="918585"/>
      <w:sz w:val="22"/>
    </w:rPr>
  </w:style>
  <w:style w:type="paragraph" w:customStyle="1" w:styleId="SideHeading">
    <w:name w:val="Side Heading"/>
    <w:basedOn w:val="HeadingBase"/>
    <w:rsid w:val="00073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46A"/>
    <w:pPr>
      <w:numPr>
        <w:numId w:val="12"/>
      </w:numPr>
    </w:pPr>
  </w:style>
  <w:style w:type="paragraph" w:styleId="PlainText">
    <w:name w:val="Plain Text"/>
    <w:basedOn w:val="Normal"/>
    <w:link w:val="PlainTextChar"/>
    <w:rsid w:val="0007346A"/>
    <w:rPr>
      <w:sz w:val="20"/>
    </w:rPr>
  </w:style>
  <w:style w:type="character" w:customStyle="1" w:styleId="PlainTextChar">
    <w:name w:val="Plain Text Char"/>
    <w:basedOn w:val="DefaultParagraphFont"/>
    <w:link w:val="PlainText"/>
    <w:rsid w:val="0007346A"/>
    <w:rPr>
      <w:rFonts w:ascii="Courier New" w:eastAsia="Times New Roman" w:hAnsi="Courier New" w:cs="Times New Roman"/>
      <w:sz w:val="20"/>
      <w:szCs w:val="20"/>
      <w:lang w:eastAsia="en-US"/>
    </w:rPr>
  </w:style>
  <w:style w:type="character" w:customStyle="1" w:styleId="MenuOption">
    <w:name w:val="Menu Option"/>
    <w:basedOn w:val="DefaultParagraphFont"/>
    <w:rsid w:val="0007346A"/>
    <w:rPr>
      <w:b/>
      <w:smallCaps/>
    </w:rPr>
  </w:style>
  <w:style w:type="paragraph" w:customStyle="1" w:styleId="TableListNumber">
    <w:name w:val="Table List Number"/>
    <w:basedOn w:val="ListNumber"/>
    <w:rsid w:val="0007346A"/>
    <w:pPr>
      <w:numPr>
        <w:numId w:val="0"/>
      </w:numPr>
    </w:pPr>
  </w:style>
  <w:style w:type="paragraph" w:styleId="TOC4">
    <w:name w:val="toc 4"/>
    <w:basedOn w:val="TOCBase"/>
    <w:next w:val="Normal"/>
    <w:semiHidden/>
    <w:rsid w:val="0007346A"/>
    <w:pPr>
      <w:tabs>
        <w:tab w:val="right" w:leader="dot" w:pos="9071"/>
      </w:tabs>
      <w:ind w:left="1701"/>
    </w:pPr>
  </w:style>
  <w:style w:type="paragraph" w:customStyle="1" w:styleId="ListAlpha">
    <w:name w:val="List Alpha"/>
    <w:basedOn w:val="List"/>
    <w:rsid w:val="0007346A"/>
    <w:pPr>
      <w:numPr>
        <w:numId w:val="9"/>
      </w:numPr>
    </w:pPr>
  </w:style>
  <w:style w:type="paragraph" w:customStyle="1" w:styleId="ListAlpha2">
    <w:name w:val="List Alpha 2"/>
    <w:basedOn w:val="List2"/>
    <w:rsid w:val="0007346A"/>
    <w:pPr>
      <w:numPr>
        <w:numId w:val="8"/>
      </w:numPr>
    </w:pPr>
  </w:style>
  <w:style w:type="paragraph" w:styleId="List2">
    <w:name w:val="List 2"/>
    <w:basedOn w:val="BodyText"/>
    <w:rsid w:val="0007346A"/>
    <w:pPr>
      <w:tabs>
        <w:tab w:val="left" w:pos="680"/>
      </w:tabs>
      <w:spacing w:before="60" w:after="60"/>
      <w:ind w:left="680" w:hanging="340"/>
    </w:pPr>
  </w:style>
  <w:style w:type="paragraph" w:styleId="List3">
    <w:name w:val="List 3"/>
    <w:basedOn w:val="BodyText"/>
    <w:rsid w:val="0007346A"/>
    <w:pPr>
      <w:tabs>
        <w:tab w:val="left" w:pos="1021"/>
      </w:tabs>
      <w:spacing w:before="60" w:after="60"/>
      <w:ind w:left="1020" w:hanging="340"/>
    </w:pPr>
  </w:style>
  <w:style w:type="paragraph" w:styleId="List4">
    <w:name w:val="List 4"/>
    <w:basedOn w:val="BodyText"/>
    <w:rsid w:val="0007346A"/>
    <w:pPr>
      <w:tabs>
        <w:tab w:val="left" w:pos="1361"/>
      </w:tabs>
      <w:spacing w:before="60" w:after="60"/>
      <w:ind w:left="1361" w:hanging="340"/>
    </w:pPr>
  </w:style>
  <w:style w:type="paragraph" w:styleId="List5">
    <w:name w:val="List 5"/>
    <w:basedOn w:val="BodyText"/>
    <w:rsid w:val="0007346A"/>
    <w:pPr>
      <w:tabs>
        <w:tab w:val="left" w:pos="1701"/>
      </w:tabs>
      <w:spacing w:before="60" w:after="60"/>
      <w:ind w:left="1701" w:hanging="340"/>
    </w:pPr>
  </w:style>
  <w:style w:type="paragraph" w:styleId="ListBullet3">
    <w:name w:val="List Bullet 3"/>
    <w:basedOn w:val="List3"/>
    <w:rsid w:val="0007346A"/>
    <w:pPr>
      <w:numPr>
        <w:numId w:val="15"/>
      </w:numPr>
      <w:tabs>
        <w:tab w:val="clear" w:pos="1021"/>
      </w:tabs>
      <w:ind w:left="1037" w:hanging="357"/>
    </w:pPr>
  </w:style>
  <w:style w:type="paragraph" w:styleId="ListBullet4">
    <w:name w:val="List Bullet 4"/>
    <w:basedOn w:val="List4"/>
    <w:rsid w:val="0007346A"/>
    <w:pPr>
      <w:numPr>
        <w:numId w:val="3"/>
      </w:numPr>
    </w:pPr>
  </w:style>
  <w:style w:type="paragraph" w:styleId="ListBullet5">
    <w:name w:val="List Bullet 5"/>
    <w:basedOn w:val="List5"/>
    <w:rsid w:val="0007346A"/>
    <w:pPr>
      <w:numPr>
        <w:numId w:val="4"/>
      </w:numPr>
    </w:pPr>
  </w:style>
  <w:style w:type="paragraph" w:styleId="ListContinue2">
    <w:name w:val="List Continue 2"/>
    <w:basedOn w:val="List2"/>
    <w:rsid w:val="0007346A"/>
    <w:pPr>
      <w:ind w:firstLine="0"/>
    </w:pPr>
  </w:style>
  <w:style w:type="paragraph" w:styleId="ListContinue3">
    <w:name w:val="List Continue 3"/>
    <w:basedOn w:val="List3"/>
    <w:rsid w:val="0007346A"/>
    <w:pPr>
      <w:ind w:left="1021" w:firstLine="0"/>
    </w:pPr>
  </w:style>
  <w:style w:type="paragraph" w:styleId="ListContinue4">
    <w:name w:val="List Continue 4"/>
    <w:basedOn w:val="List4"/>
    <w:rsid w:val="0007346A"/>
    <w:pPr>
      <w:ind w:firstLine="0"/>
    </w:pPr>
  </w:style>
  <w:style w:type="paragraph" w:styleId="ListContinue5">
    <w:name w:val="List Continue 5"/>
    <w:basedOn w:val="List5"/>
    <w:rsid w:val="0007346A"/>
    <w:pPr>
      <w:ind w:firstLine="0"/>
    </w:pPr>
  </w:style>
  <w:style w:type="paragraph" w:styleId="ListNumber3">
    <w:name w:val="List Number 3"/>
    <w:basedOn w:val="List3"/>
    <w:rsid w:val="0007346A"/>
    <w:pPr>
      <w:numPr>
        <w:numId w:val="5"/>
      </w:numPr>
    </w:pPr>
  </w:style>
  <w:style w:type="paragraph" w:styleId="ListNumber4">
    <w:name w:val="List Number 4"/>
    <w:basedOn w:val="List4"/>
    <w:rsid w:val="0007346A"/>
    <w:pPr>
      <w:numPr>
        <w:numId w:val="6"/>
      </w:numPr>
    </w:pPr>
  </w:style>
  <w:style w:type="paragraph" w:styleId="ListNumber5">
    <w:name w:val="List Number 5"/>
    <w:basedOn w:val="List5"/>
    <w:rsid w:val="0007346A"/>
    <w:pPr>
      <w:numPr>
        <w:numId w:val="7"/>
      </w:numPr>
    </w:pPr>
  </w:style>
  <w:style w:type="paragraph" w:styleId="BlockText">
    <w:name w:val="Block Text"/>
    <w:basedOn w:val="Normal"/>
    <w:rsid w:val="0007346A"/>
    <w:pPr>
      <w:spacing w:after="120"/>
      <w:ind w:left="1440" w:right="1440"/>
    </w:pPr>
  </w:style>
  <w:style w:type="character" w:customStyle="1" w:styleId="Subscript">
    <w:name w:val="Subscript"/>
    <w:basedOn w:val="DefaultParagraphFont"/>
    <w:rsid w:val="0007346A"/>
    <w:rPr>
      <w:sz w:val="16"/>
      <w:vertAlign w:val="subscript"/>
    </w:rPr>
  </w:style>
  <w:style w:type="character" w:customStyle="1" w:styleId="Superscript">
    <w:name w:val="Superscript"/>
    <w:basedOn w:val="DefaultParagraphFont"/>
    <w:rsid w:val="0007346A"/>
    <w:rPr>
      <w:sz w:val="16"/>
      <w:vertAlign w:val="superscript"/>
    </w:rPr>
  </w:style>
  <w:style w:type="character" w:customStyle="1" w:styleId="Symbols">
    <w:name w:val="Symbols"/>
    <w:basedOn w:val="DefaultParagraphFont"/>
    <w:rsid w:val="0007346A"/>
    <w:rPr>
      <w:rFonts w:ascii="Symbol" w:hAnsi="Symbol"/>
    </w:rPr>
  </w:style>
  <w:style w:type="character" w:customStyle="1" w:styleId="MenuOptions">
    <w:name w:val="Menu Options"/>
    <w:basedOn w:val="DefaultParagraphFont"/>
    <w:rsid w:val="0007346A"/>
    <w:rPr>
      <w:rFonts w:ascii="Arial Narrow" w:hAnsi="Arial Narrow"/>
      <w:smallCaps/>
    </w:rPr>
  </w:style>
  <w:style w:type="character" w:customStyle="1" w:styleId="Buttons">
    <w:name w:val="Buttons"/>
    <w:basedOn w:val="DefaultParagraphFont"/>
    <w:rsid w:val="0007346A"/>
    <w:rPr>
      <w:b/>
    </w:rPr>
  </w:style>
  <w:style w:type="character" w:customStyle="1" w:styleId="Underlined">
    <w:name w:val="Underlined"/>
    <w:basedOn w:val="DefaultParagraphFont"/>
    <w:rsid w:val="0007346A"/>
    <w:rPr>
      <w:u w:val="single"/>
    </w:rPr>
  </w:style>
  <w:style w:type="paragraph" w:customStyle="1" w:styleId="TableBodyTextRight">
    <w:name w:val="Table Body Text Right"/>
    <w:basedOn w:val="TableBodyText"/>
    <w:rsid w:val="0007346A"/>
    <w:pPr>
      <w:widowControl w:val="0"/>
      <w:autoSpaceDE w:val="0"/>
      <w:autoSpaceDN w:val="0"/>
      <w:adjustRightInd w:val="0"/>
      <w:jc w:val="right"/>
    </w:pPr>
    <w:rPr>
      <w:rFonts w:cs="Arial"/>
      <w:szCs w:val="18"/>
    </w:rPr>
  </w:style>
  <w:style w:type="paragraph" w:customStyle="1" w:styleId="CopyrightText">
    <w:name w:val="Copyright Text"/>
    <w:basedOn w:val="BodyText"/>
    <w:rsid w:val="0007346A"/>
    <w:rPr>
      <w:sz w:val="18"/>
    </w:rPr>
  </w:style>
  <w:style w:type="paragraph" w:customStyle="1" w:styleId="BodySmallRight">
    <w:name w:val="Body Small Right"/>
    <w:basedOn w:val="BodyTextRight"/>
    <w:rsid w:val="0007346A"/>
    <w:rPr>
      <w:sz w:val="18"/>
      <w:szCs w:val="18"/>
    </w:rPr>
  </w:style>
  <w:style w:type="paragraph" w:customStyle="1" w:styleId="MarginEdition">
    <w:name w:val="Margin Edition"/>
    <w:basedOn w:val="MarginNote"/>
    <w:rsid w:val="0007346A"/>
    <w:pPr>
      <w:spacing w:before="0" w:after="0"/>
    </w:pPr>
    <w:rPr>
      <w:rFonts w:ascii="Times New Roman" w:hAnsi="Times New Roman"/>
      <w:color w:val="999999"/>
    </w:rPr>
  </w:style>
  <w:style w:type="paragraph" w:customStyle="1" w:styleId="Spacer">
    <w:name w:val="Spacer"/>
    <w:basedOn w:val="Normal"/>
    <w:rsid w:val="0007346A"/>
    <w:rPr>
      <w:sz w:val="2"/>
      <w:szCs w:val="2"/>
    </w:rPr>
  </w:style>
  <w:style w:type="character" w:customStyle="1" w:styleId="Small">
    <w:name w:val="Small"/>
    <w:basedOn w:val="DefaultParagraphFont"/>
    <w:rsid w:val="0007346A"/>
    <w:rPr>
      <w:sz w:val="16"/>
    </w:rPr>
  </w:style>
  <w:style w:type="paragraph" w:customStyle="1" w:styleId="WideTable">
    <w:name w:val="Wide Table"/>
    <w:basedOn w:val="Normal"/>
    <w:rsid w:val="0007346A"/>
    <w:pPr>
      <w:ind w:left="-1418"/>
    </w:pPr>
    <w:rPr>
      <w:sz w:val="2"/>
      <w:szCs w:val="2"/>
    </w:rPr>
  </w:style>
  <w:style w:type="character" w:styleId="PageNumber">
    <w:name w:val="page number"/>
    <w:basedOn w:val="DefaultParagraphFont"/>
    <w:rsid w:val="0007346A"/>
  </w:style>
  <w:style w:type="paragraph" w:styleId="Quote">
    <w:name w:val="Quote"/>
    <w:basedOn w:val="Heading1"/>
    <w:link w:val="QuoteChar"/>
    <w:qFormat/>
    <w:rsid w:val="0007346A"/>
    <w:rPr>
      <w:b w:val="0"/>
      <w:sz w:val="72"/>
      <w:szCs w:val="72"/>
      <w:lang w:val="en-NZ"/>
    </w:rPr>
  </w:style>
  <w:style w:type="character" w:customStyle="1" w:styleId="QuoteChar">
    <w:name w:val="Quote Char"/>
    <w:basedOn w:val="DefaultParagraphFont"/>
    <w:link w:val="Quote"/>
    <w:rsid w:val="00073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46A"/>
    <w:pPr>
      <w:pageBreakBefore/>
    </w:pPr>
  </w:style>
  <w:style w:type="paragraph" w:customStyle="1" w:styleId="Border">
    <w:name w:val="Border"/>
    <w:basedOn w:val="Normal"/>
    <w:qFormat/>
    <w:rsid w:val="00073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46A"/>
    <w:rPr>
      <w:b/>
      <w:bCs/>
      <w:i/>
      <w:iCs/>
      <w:color w:val="auto"/>
    </w:rPr>
  </w:style>
  <w:style w:type="paragraph" w:styleId="IntenseQuote">
    <w:name w:val="Intense Quote"/>
    <w:basedOn w:val="Normal"/>
    <w:next w:val="Normal"/>
    <w:link w:val="IntenseQuoteChar"/>
    <w:uiPriority w:val="30"/>
    <w:qFormat/>
    <w:rsid w:val="00073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4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46A"/>
    <w:rPr>
      <w:smallCaps/>
      <w:color w:val="auto"/>
      <w:u w:val="single"/>
    </w:rPr>
  </w:style>
  <w:style w:type="character" w:styleId="IntenseReference">
    <w:name w:val="Intense Reference"/>
    <w:basedOn w:val="DefaultParagraphFont"/>
    <w:uiPriority w:val="32"/>
    <w:qFormat/>
    <w:rsid w:val="0007346A"/>
    <w:rPr>
      <w:b/>
      <w:bCs/>
      <w:smallCaps/>
      <w:color w:val="auto"/>
      <w:spacing w:val="5"/>
      <w:u w:val="single"/>
    </w:rPr>
  </w:style>
  <w:style w:type="paragraph" w:customStyle="1" w:styleId="2ColumnHeading">
    <w:name w:val="2Column Heading"/>
    <w:basedOn w:val="BodyText"/>
    <w:qFormat/>
    <w:rsid w:val="0007346A"/>
    <w:pPr>
      <w:spacing w:after="60"/>
      <w:ind w:left="-2268"/>
    </w:pPr>
    <w:rPr>
      <w:b/>
    </w:rPr>
  </w:style>
  <w:style w:type="paragraph" w:customStyle="1" w:styleId="Heading1TOC">
    <w:name w:val="Heading1 TOC"/>
    <w:basedOn w:val="Normal"/>
    <w:qFormat/>
    <w:rsid w:val="0007346A"/>
    <w:pPr>
      <w:spacing w:before="240" w:after="120"/>
    </w:pPr>
    <w:rPr>
      <w:rFonts w:ascii="Times New Roman" w:hAnsi="Times New Roman"/>
      <w:b/>
      <w:sz w:val="32"/>
    </w:rPr>
  </w:style>
  <w:style w:type="paragraph" w:customStyle="1" w:styleId="Heading2TOC">
    <w:name w:val="Heading2 TOC"/>
    <w:basedOn w:val="Normal"/>
    <w:qFormat/>
    <w:rsid w:val="0007346A"/>
    <w:pPr>
      <w:spacing w:before="240" w:after="60"/>
    </w:pPr>
    <w:rPr>
      <w:rFonts w:ascii="Times New Roman" w:hAnsi="Times New Roman"/>
      <w:b/>
      <w:sz w:val="28"/>
    </w:rPr>
  </w:style>
  <w:style w:type="character" w:customStyle="1" w:styleId="Underline">
    <w:name w:val="Underline"/>
    <w:basedOn w:val="DefaultParagraphFont"/>
    <w:qFormat/>
    <w:rsid w:val="0007346A"/>
    <w:rPr>
      <w:u w:val="single"/>
    </w:rPr>
  </w:style>
  <w:style w:type="character" w:customStyle="1" w:styleId="BoldandItalics">
    <w:name w:val="Bold and Italics"/>
    <w:qFormat/>
    <w:rsid w:val="0007346A"/>
    <w:rPr>
      <w:b/>
      <w:i/>
      <w:u w:val="none"/>
    </w:rPr>
  </w:style>
  <w:style w:type="paragraph" w:styleId="BalloonText">
    <w:name w:val="Balloon Text"/>
    <w:basedOn w:val="Normal"/>
    <w:link w:val="BalloonTextChar"/>
    <w:rsid w:val="0007346A"/>
    <w:rPr>
      <w:rFonts w:ascii="Tahoma" w:hAnsi="Tahoma" w:cs="Tahoma"/>
      <w:sz w:val="16"/>
      <w:szCs w:val="16"/>
    </w:rPr>
  </w:style>
  <w:style w:type="character" w:customStyle="1" w:styleId="BalloonTextChar">
    <w:name w:val="Balloon Text Char"/>
    <w:basedOn w:val="DefaultParagraphFont"/>
    <w:link w:val="BalloonText"/>
    <w:rsid w:val="000734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4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4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46A"/>
    <w:rPr>
      <w:b/>
      <w:color w:val="660033"/>
      <w:spacing w:val="0"/>
    </w:rPr>
  </w:style>
  <w:style w:type="paragraph" w:customStyle="1" w:styleId="Nameditemlist">
    <w:name w:val="Named item list"/>
    <w:basedOn w:val="BodyText"/>
    <w:qFormat/>
    <w:rsid w:val="000734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2139</Words>
  <Characters>13004</Characters>
  <Application>Microsoft Office Word</Application>
  <DocSecurity>0</DocSecurity>
  <Lines>515</Lines>
  <Paragraphs>252</Paragraphs>
  <ScaleCrop>false</ScaleCrop>
  <Company>Author-it Software Corporation Ltd.</Company>
  <LinksUpToDate>false</LinksUpToDate>
  <CharactersWithSpaces>15000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UEENEEG154A Rewind LV direct current machines</dc:title>
  <dc:subject>Approved</dc:subject>
  <dc:creator>E-OZ Training Standards</dc:creator>
  <cp:keywords>Release: 2</cp:keywords>
  <dc:description>Review Date: 12 April 2008</dc:description>
  <cp:lastModifiedBy>TPCMS</cp:lastModifiedBy>
  <cp:revision>3</cp:revision>
  <dcterms:created xsi:type="dcterms:W3CDTF">2013-08-14T06:39:00Z</dcterms:created>
  <dcterms:modified xsi:type="dcterms:W3CDTF">2013-08-14T06:39:00Z</dcterms:modified>
</cp:coreProperties>
</file>