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B76" w:rsidP="00B81B76">
      <w:pPr>
        <w:pStyle w:val="Title"/>
      </w:pPr>
      <w:r>
        <w:fldChar w:fldCharType="begin"/>
      </w:r>
      <w:r>
        <w:instrText xml:space="preserve"> TITLE   \* MERGEFORMAT </w:instrText>
      </w:r>
      <w:r>
        <w:fldChar w:fldCharType="separate"/>
      </w:r>
      <w:r>
        <w:t>UEENEEG151A Place and connect electrical coils</w:t>
      </w:r>
      <w:r>
        <w:fldChar w:fldCharType="end"/>
      </w:r>
    </w:p>
    <w:p w:rsidR="00B81B76" w:rsidP="00B81B76">
      <w:pPr>
        <w:pStyle w:val="Version"/>
        <w:sectPr w:rsidSect="001459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59CF" w:rsidP="001459CF">
      <w:pPr>
        <w:pStyle w:val="SuperHeading"/>
      </w:pPr>
      <w:r w:rsidRPr="001459CF">
        <w:t>UEENEEG151A Place and connect electrical coils</w:t>
      </w:r>
    </w:p>
    <w:p w:rsidR="00000000" w:rsidRPr="001459CF" w:rsidP="001459CF">
      <w:pPr>
        <w:pStyle w:val="Heading1"/>
      </w:pPr>
      <w:bookmarkStart w:id="1" w:name="O_586061"/>
      <w:bookmarkEnd w:id="1"/>
      <w:r w:rsidRPr="001459CF">
        <w:t>Modification History</w:t>
      </w:r>
    </w:p>
    <w:p w:rsidR="00000000" w:rsidRPr="001459CF" w:rsidP="001459CF">
      <w:pPr>
        <w:pStyle w:val="BodyText"/>
      </w:pPr>
      <w:r w:rsidRPr="001459CF">
        <w:t>Not applicable.</w:t>
      </w:r>
    </w:p>
    <w:p w:rsidR="00000000" w:rsidRPr="001459CF" w:rsidP="001459CF">
      <w:pPr>
        <w:pStyle w:val="AllowPageBreak"/>
      </w:pPr>
    </w:p>
    <w:p w:rsidR="00000000" w:rsidRPr="001459CF" w:rsidP="001459CF">
      <w:pPr>
        <w:pStyle w:val="Heading1"/>
      </w:pPr>
      <w:bookmarkStart w:id="2" w:name="O_586060"/>
      <w:bookmarkEnd w:id="2"/>
      <w:r w:rsidRPr="001459CF">
        <w:t>Unit Descriptor</w:t>
      </w:r>
    </w:p>
    <w:tbl>
      <w:tblPr>
        <w:tblW w:w="0" w:type="auto"/>
        <w:tblLayout w:type="fixed"/>
        <w:tblCellMar>
          <w:left w:w="62" w:type="dxa"/>
          <w:right w:w="62" w:type="dxa"/>
        </w:tblCellMar>
        <w:tblLook w:val="0000"/>
      </w:tblPr>
      <w:tblGrid>
        <w:gridCol w:w="2700"/>
        <w:gridCol w:w="5760"/>
      </w:tblGrid>
      <w:tr w:rsidTr="00B81B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rPr>
                <w:rStyle w:val="SpecialBold"/>
              </w:rPr>
              <w:t>1)</w:t>
            </w:r>
            <w:r w:rsidRPr="001459CF">
              <w:t xml:space="preserve"> </w:t>
            </w:r>
            <w:r w:rsidRPr="001459CF">
              <w:rPr>
                <w:rStyle w:val="SpecialBold"/>
              </w:rPr>
              <w:t>Scope:</w:t>
            </w:r>
          </w:p>
        </w:tc>
      </w:tr>
      <w:tr w:rsidTr="00B81B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459C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rPr>
                <w:rStyle w:val="SpecialBold"/>
              </w:rPr>
              <w:t>1.1) Descriptor</w:t>
            </w:r>
          </w:p>
        </w:tc>
      </w:tr>
      <w:tr w:rsidTr="00B81B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t>This unit covers insulating, placing and connecting electrical coils, in an small armatures/stators, transformers and solenoid equip</w:t>
            </w:r>
            <w:r w:rsidRPr="001459CF">
              <w:t>ped devices. The unit encompasses working safely, using hand and powered tools, measuring, applying basic knowledge of electrical circuits, connecting conductors following technical instructions and set procedures and recording work activities.</w:t>
            </w:r>
          </w:p>
        </w:tc>
      </w:tr>
    </w:tbl>
    <w:p w:rsidR="00000000" w:rsidRPr="001459CF" w:rsidP="001459CF">
      <w:pPr>
        <w:pStyle w:val="BodyText"/>
      </w:pPr>
    </w:p>
    <w:p w:rsidR="00000000" w:rsidRPr="001459CF" w:rsidP="001459CF">
      <w:pPr>
        <w:pStyle w:val="AllowPageBreak"/>
      </w:pPr>
    </w:p>
    <w:p w:rsidR="00000000" w:rsidRPr="001459CF" w:rsidP="001459CF">
      <w:pPr>
        <w:pStyle w:val="Heading1"/>
      </w:pPr>
      <w:bookmarkStart w:id="3" w:name="O_586059"/>
      <w:bookmarkEnd w:id="3"/>
      <w:r w:rsidRPr="001459CF">
        <w:t>Application of the Unit</w:t>
      </w:r>
    </w:p>
    <w:tbl>
      <w:tblPr>
        <w:tblW w:w="0" w:type="auto"/>
        <w:tblLayout w:type="fixed"/>
        <w:tblCellMar>
          <w:left w:w="62" w:type="dxa"/>
          <w:right w:w="62" w:type="dxa"/>
        </w:tblCellMar>
        <w:tblLook w:val="0000"/>
      </w:tblPr>
      <w:tblGrid>
        <w:gridCol w:w="2672"/>
        <w:gridCol w:w="5699"/>
      </w:tblGrid>
      <w:tr w:rsidTr="00B81B7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rPr>
                <w:rStyle w:val="SpecialBold"/>
              </w:rPr>
              <w:t>2)</w:t>
            </w:r>
          </w:p>
        </w:tc>
      </w:tr>
      <w:tr w:rsidTr="00B81B7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t>This unit is intended for competency development entry-level employment based programs incorporated in approved contracts of training.</w:t>
            </w:r>
          </w:p>
        </w:tc>
      </w:tr>
    </w:tbl>
    <w:p w:rsidR="00000000" w:rsidRPr="001459CF" w:rsidP="001459CF">
      <w:pPr>
        <w:pStyle w:val="BodyText"/>
      </w:pPr>
    </w:p>
    <w:p w:rsidR="00000000" w:rsidRPr="001459CF" w:rsidP="001459CF">
      <w:pPr>
        <w:pStyle w:val="AllowPageBreak"/>
      </w:pPr>
    </w:p>
    <w:p w:rsidR="00000000" w:rsidRPr="001459CF" w:rsidP="001459CF">
      <w:pPr>
        <w:pStyle w:val="Heading1"/>
      </w:pPr>
      <w:bookmarkStart w:id="4" w:name="O_586058"/>
      <w:bookmarkEnd w:id="4"/>
      <w:r w:rsidRPr="001459CF">
        <w:t>Licensing/Regulatory Information</w:t>
      </w:r>
    </w:p>
    <w:tbl>
      <w:tblPr>
        <w:tblW w:w="0" w:type="auto"/>
        <w:tblLayout w:type="fixed"/>
        <w:tblCellMar>
          <w:left w:w="62" w:type="dxa"/>
          <w:right w:w="62" w:type="dxa"/>
        </w:tblCellMar>
        <w:tblLook w:val="0000"/>
      </w:tblPr>
      <w:tblGrid>
        <w:gridCol w:w="2700"/>
        <w:gridCol w:w="5760"/>
      </w:tblGrid>
      <w:tr w:rsidTr="00B81B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rPr>
                <w:rStyle w:val="SpecialBold"/>
              </w:rPr>
              <w:t xml:space="preserve">License </w:t>
            </w:r>
            <w:r w:rsidRPr="001459CF">
              <w:rPr>
                <w:rStyle w:val="SpecialBold"/>
              </w:rPr>
              <w:t>to practice</w:t>
            </w:r>
          </w:p>
        </w:tc>
        <w:tc>
          <w:tcPr>
            <w:tcW w:w="57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rPr>
                <w:rStyle w:val="SpecialBold"/>
              </w:rPr>
              <w:t xml:space="preserve">3) </w:t>
            </w:r>
          </w:p>
        </w:tc>
      </w:tr>
      <w:tr w:rsidTr="00B81B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t>The skills and knowledge described in this unit do not require a license to practice in the workplace. However, practice in this unit is subject to regulations directly related to occupational health and safety and where applicable contra</w:t>
            </w:r>
            <w:r w:rsidRPr="001459CF">
              <w:t>cts of training such as apprenticeships.</w:t>
            </w:r>
          </w:p>
        </w:tc>
      </w:tr>
    </w:tbl>
    <w:p w:rsidR="00000000" w:rsidRPr="001459CF" w:rsidP="001459CF">
      <w:pPr>
        <w:pStyle w:val="BodyText"/>
      </w:pPr>
    </w:p>
    <w:p w:rsidR="00000000" w:rsidRPr="001459CF" w:rsidP="001459CF">
      <w:pPr>
        <w:pStyle w:val="AllowPageBreak"/>
      </w:pPr>
    </w:p>
    <w:p w:rsidR="00000000" w:rsidRPr="001459CF" w:rsidP="001459CF">
      <w:pPr>
        <w:pStyle w:val="Heading1"/>
      </w:pPr>
      <w:bookmarkStart w:id="5" w:name="O_586057"/>
      <w:bookmarkEnd w:id="5"/>
      <w:r w:rsidRPr="001459CF">
        <w:t>Pre-Requisites</w:t>
      </w:r>
    </w:p>
    <w:tbl>
      <w:tblPr>
        <w:tblW w:w="0" w:type="auto"/>
        <w:tblLayout w:type="fixed"/>
        <w:tblCellMar>
          <w:left w:w="62" w:type="dxa"/>
          <w:right w:w="62" w:type="dxa"/>
        </w:tblCellMar>
        <w:tblLook w:val="0000"/>
      </w:tblPr>
      <w:tblGrid>
        <w:gridCol w:w="2700"/>
        <w:gridCol w:w="1440"/>
        <w:gridCol w:w="4320"/>
      </w:tblGrid>
      <w:tr w:rsidTr="00B81B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rPr>
                <w:rStyle w:val="SpecialBold"/>
              </w:rPr>
              <w:t xml:space="preserve">4) </w:t>
            </w:r>
          </w:p>
        </w:tc>
      </w:tr>
      <w:tr w:rsidTr="00B81B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rPr>
                <w:rStyle w:val="SpecialBold"/>
              </w:rPr>
              <w:t>4.1)</w:t>
            </w:r>
          </w:p>
        </w:tc>
      </w:tr>
      <w:tr w:rsidTr="00B81B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Granting competency in this unit shall be made only after competency in the following unit(s) has/have been confirmed.</w:t>
            </w:r>
          </w:p>
        </w:tc>
      </w:tr>
      <w:tr w:rsidTr="00B81B7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UEENEEE101A</w:t>
            </w:r>
          </w:p>
        </w:tc>
        <w:tc>
          <w:tcPr>
            <w:tcW w:w="432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Apply Occupational Health and Safety regulations, codes and practices in the workplace</w:t>
            </w:r>
          </w:p>
        </w:tc>
      </w:tr>
      <w:tr w:rsidTr="00B81B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UEENEEE102A</w:t>
            </w:r>
          </w:p>
        </w:tc>
        <w:tc>
          <w:tcPr>
            <w:tcW w:w="432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Fabricate, assemble and dismantle utilities industry components</w:t>
            </w:r>
          </w:p>
        </w:tc>
      </w:tr>
      <w:tr w:rsidTr="00B81B76">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UEENEEE104A</w:t>
            </w:r>
          </w:p>
        </w:tc>
        <w:tc>
          <w:tcPr>
            <w:tcW w:w="432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Solve problems in d.c. circuits</w:t>
            </w:r>
          </w:p>
        </w:tc>
      </w:tr>
      <w:tr w:rsidTr="00B81B76">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 xml:space="preserve">UEENEEE107A </w:t>
            </w:r>
          </w:p>
        </w:tc>
        <w:tc>
          <w:tcPr>
            <w:tcW w:w="432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Use drawings, diagrams, schedules, standards, codes and specifications</w:t>
            </w:r>
          </w:p>
        </w:tc>
      </w:tr>
      <w:tr w:rsidTr="00B81B7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UEENEEG150A</w:t>
            </w:r>
          </w:p>
        </w:tc>
        <w:tc>
          <w:tcPr>
            <w:tcW w:w="432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t>Wind electrical coils</w:t>
            </w:r>
          </w:p>
        </w:tc>
      </w:tr>
    </w:tbl>
    <w:p w:rsidR="00000000" w:rsidRPr="001459CF" w:rsidP="001459C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81B7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rPr>
                <w:rStyle w:val="SpecialBold"/>
              </w:rPr>
              <w:t xml:space="preserve">4.2) </w:t>
            </w:r>
          </w:p>
        </w:tc>
      </w:tr>
      <w:tr w:rsidTr="00B81B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Participa</w:t>
            </w:r>
            <w:r w:rsidRPr="001459CF">
              <w:t>nts are best equipped to achieve competency in this unit if they have reading, writing and numeracy skills indicated by the following scales. Description of each scale is given in Volume 2, Part 3 ‘Literacy and Numeracy’</w:t>
            </w:r>
          </w:p>
        </w:tc>
      </w:tr>
      <w:tr w:rsidTr="00B81B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Reading</w:t>
            </w:r>
          </w:p>
        </w:tc>
        <w:tc>
          <w:tcPr>
            <w:tcW w:w="81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3</w:t>
            </w:r>
          </w:p>
        </w:tc>
        <w:tc>
          <w:tcPr>
            <w:tcW w:w="99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Writing</w:t>
            </w:r>
          </w:p>
        </w:tc>
        <w:tc>
          <w:tcPr>
            <w:tcW w:w="90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3</w:t>
            </w:r>
          </w:p>
        </w:tc>
        <w:tc>
          <w:tcPr>
            <w:tcW w:w="12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Numeracy</w:t>
            </w:r>
          </w:p>
        </w:tc>
        <w:tc>
          <w:tcPr>
            <w:tcW w:w="72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t>3</w:t>
            </w:r>
          </w:p>
        </w:tc>
      </w:tr>
    </w:tbl>
    <w:p w:rsidR="00000000" w:rsidRPr="001459CF" w:rsidP="001459CF">
      <w:pPr>
        <w:pStyle w:val="BodyText"/>
      </w:pPr>
    </w:p>
    <w:p w:rsidR="00000000" w:rsidRPr="001459CF" w:rsidP="001459CF">
      <w:pPr>
        <w:pStyle w:val="AllowPageBreak"/>
      </w:pPr>
    </w:p>
    <w:p w:rsidR="00000000" w:rsidRPr="001459CF" w:rsidP="001459CF">
      <w:pPr>
        <w:pStyle w:val="Heading1"/>
      </w:pPr>
      <w:bookmarkStart w:id="6" w:name="O_586056"/>
      <w:bookmarkEnd w:id="6"/>
      <w:r w:rsidRPr="001459CF">
        <w:t>Employability Skills Information</w:t>
      </w:r>
    </w:p>
    <w:tbl>
      <w:tblPr>
        <w:tblW w:w="0" w:type="auto"/>
        <w:tblLayout w:type="fixed"/>
        <w:tblCellMar>
          <w:left w:w="62" w:type="dxa"/>
          <w:right w:w="62" w:type="dxa"/>
        </w:tblCellMar>
        <w:tblLook w:val="0000"/>
      </w:tblPr>
      <w:tblGrid>
        <w:gridCol w:w="2700"/>
        <w:gridCol w:w="5760"/>
      </w:tblGrid>
      <w:tr w:rsidTr="00B81B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rPr>
                <w:rStyle w:val="SpecialBold"/>
              </w:rPr>
              <w:t xml:space="preserve">5) </w:t>
            </w:r>
          </w:p>
        </w:tc>
      </w:tr>
      <w:tr w:rsidTr="00B81B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t>This unit contains Employability Skills</w:t>
            </w:r>
          </w:p>
          <w:p w:rsidR="00000000" w:rsidRPr="001459CF" w:rsidP="001459CF">
            <w:pPr>
              <w:pStyle w:val="BodyText"/>
            </w:pPr>
            <w:r w:rsidRPr="001459CF">
              <w:t>The requ</w:t>
            </w:r>
            <w:r w:rsidRPr="001459CF">
              <w:t xml:space="preserve">ired outcomes described in this unit of competency contain applicable facets of Employability Skills. The Employability Skills Summary of the </w:t>
            </w:r>
            <w:r w:rsidRPr="001459CF">
              <w:t>qualification in which this unit of competency is packaged will assist in identifying Employability Skill requirem</w:t>
            </w:r>
            <w:r w:rsidRPr="001459CF">
              <w:t>ents.</w:t>
            </w:r>
          </w:p>
        </w:tc>
      </w:tr>
    </w:tbl>
    <w:p w:rsidR="00000000" w:rsidRPr="001459CF" w:rsidP="001459CF">
      <w:pPr>
        <w:pStyle w:val="BodyText"/>
      </w:pPr>
    </w:p>
    <w:p w:rsidR="00000000" w:rsidRPr="001459CF" w:rsidP="001459CF">
      <w:pPr>
        <w:pStyle w:val="AllowPageBreak"/>
      </w:pPr>
    </w:p>
    <w:p w:rsidR="00000000" w:rsidRPr="001459CF" w:rsidP="001459CF">
      <w:pPr>
        <w:pStyle w:val="Heading1"/>
      </w:pPr>
      <w:bookmarkStart w:id="7" w:name="O_586055"/>
      <w:bookmarkEnd w:id="7"/>
      <w:r w:rsidRPr="001459CF">
        <w:t>Elements and Performance Criteria Pre-Content</w:t>
      </w:r>
    </w:p>
    <w:tbl>
      <w:tblPr>
        <w:tblW w:w="0" w:type="auto"/>
        <w:tblLayout w:type="fixed"/>
        <w:tblCellMar>
          <w:left w:w="62" w:type="dxa"/>
          <w:right w:w="62" w:type="dxa"/>
        </w:tblCellMar>
        <w:tblLook w:val="0000"/>
      </w:tblPr>
      <w:tblGrid>
        <w:gridCol w:w="2700"/>
        <w:gridCol w:w="5760"/>
      </w:tblGrid>
      <w:tr w:rsidTr="00B81B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rPr>
                <w:rStyle w:val="SpecialBold"/>
              </w:rPr>
              <w:t>6)</w:t>
            </w:r>
            <w:r w:rsidRPr="001459C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t>Performance Criteria describe the required performance needed to demonstrate achievement of the element. Assess</w:t>
            </w:r>
            <w:r w:rsidRPr="001459CF">
              <w:t>ment of performance is to be consistent with the Evidence Guide.</w:t>
            </w:r>
          </w:p>
        </w:tc>
      </w:tr>
    </w:tbl>
    <w:p w:rsidR="00000000" w:rsidRPr="001459CF" w:rsidP="001459CF">
      <w:pPr>
        <w:pStyle w:val="BodyText"/>
      </w:pPr>
    </w:p>
    <w:p w:rsidR="00000000" w:rsidRPr="001459CF" w:rsidP="001459CF">
      <w:pPr>
        <w:pStyle w:val="AllowPageBreak"/>
      </w:pPr>
    </w:p>
    <w:p w:rsidR="00000000" w:rsidRPr="001459CF" w:rsidP="001459CF">
      <w:pPr>
        <w:pStyle w:val="Heading1"/>
      </w:pPr>
      <w:bookmarkStart w:id="8" w:name="O_586054"/>
      <w:bookmarkEnd w:id="8"/>
      <w:r w:rsidRPr="001459C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81B7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rPr>
                <w:rStyle w:val="SpecialBold"/>
              </w:rPr>
              <w:t>PERFORMANCE CRITERIA</w:t>
            </w:r>
          </w:p>
        </w:tc>
      </w:tr>
      <w:tr w:rsidTr="00B81B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1</w:t>
            </w:r>
          </w:p>
        </w:tc>
        <w:tc>
          <w:tcPr>
            <w:tcW w:w="2296" w:type="dxa"/>
            <w:vMerge w:val="restart"/>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Prepare to place and connect coils.</w:t>
            </w:r>
          </w:p>
        </w:tc>
        <w:tc>
          <w:tcPr>
            <w:tcW w:w="90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1.1</w:t>
            </w:r>
          </w:p>
        </w:tc>
        <w:tc>
          <w:tcPr>
            <w:tcW w:w="48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OHS procedures for a given work area are identified, obtained and understood.</w:t>
            </w:r>
          </w:p>
        </w:tc>
      </w:tr>
      <w:tr w:rsidTr="00B81B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1.2</w:t>
            </w:r>
          </w:p>
        </w:tc>
        <w:tc>
          <w:tcPr>
            <w:tcW w:w="48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Established OHS risk control measures for work preparation are followed.</w:t>
            </w:r>
          </w:p>
        </w:tc>
      </w:tr>
      <w:tr w:rsidTr="00B81B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1.3</w:t>
            </w:r>
          </w:p>
        </w:tc>
        <w:tc>
          <w:tcPr>
            <w:tcW w:w="48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Work instructions are identified, obtained and understood.</w:t>
            </w:r>
          </w:p>
        </w:tc>
      </w:tr>
      <w:tr w:rsidTr="00B81B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1.4</w:t>
            </w:r>
          </w:p>
        </w:tc>
        <w:tc>
          <w:tcPr>
            <w:tcW w:w="48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 xml:space="preserve">Advice is sought from the work supervisor to ensure the work is coordinated effectively with others. </w:t>
            </w:r>
          </w:p>
        </w:tc>
      </w:tr>
      <w:tr w:rsidTr="00B81B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1.5</w:t>
            </w:r>
          </w:p>
        </w:tc>
        <w:tc>
          <w:tcPr>
            <w:tcW w:w="48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Materials required for the work are obtained in accordance with established routines and procedures.</w:t>
            </w:r>
          </w:p>
        </w:tc>
      </w:tr>
      <w:tr w:rsidTr="00B81B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1.6</w:t>
            </w:r>
          </w:p>
        </w:tc>
        <w:tc>
          <w:tcPr>
            <w:tcW w:w="48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Tools, equipment and testing devices ne</w:t>
            </w:r>
            <w:r w:rsidRPr="001459CF">
              <w:t>eded to carry out the work are obtained and checked for correct operation and safety.</w:t>
            </w:r>
          </w:p>
        </w:tc>
      </w:tr>
      <w:tr w:rsidTr="00B81B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2</w:t>
            </w:r>
          </w:p>
        </w:tc>
        <w:tc>
          <w:tcPr>
            <w:tcW w:w="2296" w:type="dxa"/>
            <w:vMerge w:val="restart"/>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Place and connect coils.</w:t>
            </w:r>
          </w:p>
        </w:tc>
        <w:tc>
          <w:tcPr>
            <w:tcW w:w="90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2.1</w:t>
            </w:r>
          </w:p>
        </w:tc>
        <w:tc>
          <w:tcPr>
            <w:tcW w:w="48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Established OHS risk control work measures are followed.</w:t>
            </w:r>
          </w:p>
        </w:tc>
      </w:tr>
      <w:tr w:rsidTr="00B81B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2.2</w:t>
            </w:r>
          </w:p>
        </w:tc>
        <w:tc>
          <w:tcPr>
            <w:tcW w:w="48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Machines/equipment i</w:t>
            </w:r>
            <w:r w:rsidRPr="001459CF">
              <w:t>s checked as being isolated where necessary in strict accordance OHS requirements and procedures.</w:t>
            </w:r>
          </w:p>
        </w:tc>
      </w:tr>
      <w:tr w:rsidTr="00B81B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2.3</w:t>
            </w:r>
          </w:p>
        </w:tc>
        <w:tc>
          <w:tcPr>
            <w:tcW w:w="48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Coils and insulation are selected in accordance with work instructions and established routines.</w:t>
            </w:r>
          </w:p>
        </w:tc>
      </w:tr>
      <w:tr w:rsidTr="00B81B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2.4</w:t>
            </w:r>
          </w:p>
        </w:tc>
        <w:tc>
          <w:tcPr>
            <w:tcW w:w="48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Insulation is cut and applied in accordance with work instructions and established routines.</w:t>
            </w:r>
          </w:p>
        </w:tc>
      </w:tr>
      <w:tr w:rsidTr="00B81B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2.5</w:t>
            </w:r>
          </w:p>
        </w:tc>
        <w:tc>
          <w:tcPr>
            <w:tcW w:w="48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Coils are place in accordance with work instructions and established routines.</w:t>
            </w:r>
          </w:p>
        </w:tc>
      </w:tr>
      <w:tr w:rsidTr="00B81B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2.6</w:t>
            </w:r>
          </w:p>
        </w:tc>
        <w:tc>
          <w:tcPr>
            <w:tcW w:w="48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Coils ends are prepared and connections made in accordance with work i</w:t>
            </w:r>
            <w:r w:rsidRPr="001459CF">
              <w:t>nstructions and established routines.</w:t>
            </w:r>
          </w:p>
        </w:tc>
      </w:tr>
      <w:tr w:rsidTr="00B81B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2.7</w:t>
            </w:r>
          </w:p>
        </w:tc>
        <w:tc>
          <w:tcPr>
            <w:tcW w:w="48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Prescribed solutions are used to resolve work completion issues.</w:t>
            </w:r>
          </w:p>
        </w:tc>
      </w:tr>
      <w:tr w:rsidTr="00B81B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2.8</w:t>
            </w:r>
          </w:p>
        </w:tc>
        <w:tc>
          <w:tcPr>
            <w:tcW w:w="48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Routine quality checks are conducted to ensure coils are correctly wound with correct wire, number of turns and shape.</w:t>
            </w:r>
          </w:p>
        </w:tc>
      </w:tr>
      <w:tr w:rsidTr="00B81B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2.9</w:t>
            </w:r>
          </w:p>
        </w:tc>
        <w:tc>
          <w:tcPr>
            <w:tcW w:w="48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Work is completed in acceptable timeframe given environment and workplace conditions.</w:t>
            </w:r>
          </w:p>
        </w:tc>
      </w:tr>
      <w:tr w:rsidTr="00B81B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3</w:t>
            </w:r>
          </w:p>
        </w:tc>
        <w:tc>
          <w:tcPr>
            <w:tcW w:w="2296"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Complete work report.</w:t>
            </w:r>
          </w:p>
        </w:tc>
        <w:tc>
          <w:tcPr>
            <w:tcW w:w="90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3.1</w:t>
            </w:r>
          </w:p>
        </w:tc>
        <w:tc>
          <w:tcPr>
            <w:tcW w:w="48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OHS measures work completion risk control are followed.</w:t>
            </w:r>
          </w:p>
        </w:tc>
      </w:tr>
      <w:tr w:rsidTr="00B81B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3.2</w:t>
            </w:r>
          </w:p>
        </w:tc>
        <w:tc>
          <w:tcPr>
            <w:tcW w:w="486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t>Work report forms/data sheets are completed accurately.</w:t>
            </w:r>
          </w:p>
        </w:tc>
      </w:tr>
    </w:tbl>
    <w:p w:rsidR="00000000" w:rsidRPr="001459CF" w:rsidP="001459CF">
      <w:pPr>
        <w:pStyle w:val="BodyText"/>
      </w:pPr>
    </w:p>
    <w:p w:rsidR="00000000" w:rsidRPr="001459CF" w:rsidP="001459CF">
      <w:pPr>
        <w:pStyle w:val="AllowPageBreak"/>
      </w:pPr>
    </w:p>
    <w:p w:rsidR="00000000" w:rsidRPr="001459CF" w:rsidP="001459CF">
      <w:pPr>
        <w:pStyle w:val="Heading1"/>
      </w:pPr>
      <w:bookmarkStart w:id="9" w:name="O_586053"/>
      <w:bookmarkEnd w:id="9"/>
      <w:r w:rsidRPr="001459CF">
        <w:t>Req</w:t>
      </w:r>
      <w:r w:rsidRPr="001459CF">
        <w:t>uired Skills and Knowledge</w:t>
      </w:r>
    </w:p>
    <w:tbl>
      <w:tblPr>
        <w:tblW w:w="0" w:type="auto"/>
        <w:tblLayout w:type="fixed"/>
        <w:tblCellMar>
          <w:left w:w="62" w:type="dxa"/>
          <w:right w:w="62" w:type="dxa"/>
        </w:tblCellMar>
        <w:tblLook w:val="0000"/>
      </w:tblPr>
      <w:tblGrid>
        <w:gridCol w:w="8460"/>
      </w:tblGrid>
      <w:tr w:rsidTr="00B81B7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rPr>
                <w:rStyle w:val="SpecialBold"/>
              </w:rPr>
              <w:t>REQUIRED SKILLS AND KNOWLEDGE</w:t>
            </w:r>
          </w:p>
        </w:tc>
      </w:tr>
      <w:tr w:rsidTr="00B81B7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rPr>
                <w:rStyle w:val="SpecialBold"/>
              </w:rPr>
              <w:t>8)</w:t>
            </w:r>
            <w:r w:rsidRPr="001459CF">
              <w:t xml:space="preserve"> This describes the essential skills and knowledge and their level, required for this unit.</w:t>
            </w:r>
          </w:p>
          <w:p w:rsidR="00000000" w:rsidRPr="001459CF" w:rsidP="001459CF">
            <w:pPr>
              <w:pStyle w:val="BodyText"/>
            </w:pPr>
            <w:r w:rsidRPr="001459CF">
              <w:t>Evidence shall show that knowledge has been acquired of safe working practices and</w:t>
            </w:r>
            <w:r w:rsidRPr="001459CF">
              <w:t xml:space="preserve"> placing and connecting coils.</w:t>
            </w:r>
          </w:p>
          <w:p w:rsidR="00000000" w:rsidRPr="001459CF" w:rsidP="001459CF">
            <w:pPr>
              <w:pStyle w:val="BodyText"/>
            </w:pPr>
            <w:r w:rsidRPr="001459CF">
              <w:t>All knowledge and skills detailed in this unit should be contextualised to current industry practices and technologies.</w:t>
            </w:r>
          </w:p>
          <w:p w:rsidR="00000000" w:rsidRPr="001459CF" w:rsidP="001459CF">
            <w:pPr>
              <w:pStyle w:val="BodyText"/>
            </w:pPr>
            <w:r w:rsidRPr="001459CF">
              <w:rPr>
                <w:rStyle w:val="SpecialBold"/>
              </w:rPr>
              <w:t>KS01-EG151A</w:t>
            </w:r>
            <w:r w:rsidRPr="001459CF">
              <w:rPr>
                <w:rStyle w:val="SpecialBold"/>
              </w:rPr>
              <w:tab/>
              <w:t xml:space="preserve">              Electrical winding and connections</w:t>
            </w:r>
          </w:p>
          <w:p w:rsidR="00000000" w:rsidRPr="001459CF" w:rsidP="001459CF">
            <w:pPr>
              <w:pStyle w:val="BodyText"/>
            </w:pPr>
            <w:r w:rsidRPr="001459CF">
              <w:t>Evidence shall show an understanding of elec</w:t>
            </w:r>
            <w:r w:rsidRPr="001459CF">
              <w:t>trical winding and connections to an extent indicated by the following aspects:</w:t>
            </w:r>
          </w:p>
          <w:p w:rsidR="00000000" w:rsidRPr="001459CF" w:rsidP="001459CF">
            <w:pPr>
              <w:pStyle w:val="BodyText"/>
            </w:pPr>
            <w:r w:rsidRPr="001459CF">
              <w:t>T1</w:t>
            </w:r>
            <w:r w:rsidRPr="001459CF">
              <w:tab/>
              <w:t>Winding wires.</w:t>
            </w:r>
          </w:p>
          <w:p w:rsidR="00000000" w:rsidRPr="001459CF" w:rsidP="001459CF">
            <w:pPr>
              <w:pStyle w:val="ListBullet"/>
            </w:pPr>
            <w:r w:rsidRPr="001459CF">
              <w:t>Types of winding wires.</w:t>
            </w:r>
          </w:p>
          <w:p w:rsidR="00000000" w:rsidRPr="001459CF" w:rsidP="001459CF">
            <w:pPr>
              <w:pStyle w:val="ListBullet"/>
            </w:pPr>
            <w:r w:rsidRPr="001459CF">
              <w:t>Winding wire varnishes.</w:t>
            </w:r>
          </w:p>
          <w:p w:rsidR="00000000" w:rsidRPr="001459CF" w:rsidP="001459CF">
            <w:pPr>
              <w:pStyle w:val="ListBullet"/>
            </w:pPr>
            <w:r w:rsidRPr="001459CF">
              <w:t>Varnish temperature ratings.</w:t>
            </w:r>
          </w:p>
          <w:p w:rsidR="00000000" w:rsidRPr="001459CF" w:rsidP="001459CF">
            <w:pPr>
              <w:pStyle w:val="ListBullet"/>
            </w:pPr>
            <w:r w:rsidRPr="001459CF">
              <w:t>Varnish removal methods.</w:t>
            </w:r>
          </w:p>
          <w:p w:rsidR="00000000" w:rsidRPr="001459CF" w:rsidP="001459CF">
            <w:pPr>
              <w:pStyle w:val="ListBullet"/>
            </w:pPr>
            <w:r w:rsidRPr="001459CF">
              <w:t>Types of varnish.</w:t>
            </w:r>
          </w:p>
          <w:p w:rsidR="00000000" w:rsidRPr="001459CF" w:rsidP="001459CF">
            <w:pPr>
              <w:pStyle w:val="ListBullet2"/>
            </w:pPr>
            <w:r w:rsidRPr="001459CF">
              <w:t>Air drying</w:t>
            </w:r>
          </w:p>
          <w:p w:rsidR="00000000" w:rsidRPr="001459CF" w:rsidP="001459CF">
            <w:pPr>
              <w:pStyle w:val="ListBullet2"/>
            </w:pPr>
            <w:r w:rsidRPr="001459CF">
              <w:t>Baking</w:t>
            </w:r>
          </w:p>
          <w:p w:rsidR="00000000" w:rsidRPr="001459CF" w:rsidP="001459CF">
            <w:pPr>
              <w:pStyle w:val="ListBullet2"/>
            </w:pPr>
            <w:r w:rsidRPr="001459CF">
              <w:t>Epoxy</w:t>
            </w:r>
          </w:p>
          <w:p w:rsidR="00000000" w:rsidRPr="001459CF" w:rsidP="001459CF">
            <w:pPr>
              <w:pStyle w:val="ListBullet"/>
            </w:pPr>
            <w:r w:rsidRPr="001459CF">
              <w:t>Dangers relating to handling</w:t>
            </w:r>
          </w:p>
          <w:p w:rsidR="00000000" w:rsidRPr="001459CF" w:rsidP="001459CF">
            <w:pPr>
              <w:pStyle w:val="ListBullet"/>
            </w:pPr>
            <w:r w:rsidRPr="001459CF">
              <w:t>Methods of application.</w:t>
            </w:r>
          </w:p>
          <w:p w:rsidR="00000000" w:rsidRPr="001459CF" w:rsidP="001459CF">
            <w:pPr>
              <w:pStyle w:val="ListBullet2"/>
            </w:pPr>
            <w:r w:rsidRPr="001459CF">
              <w:t>Brush.</w:t>
            </w:r>
          </w:p>
          <w:p w:rsidR="00000000" w:rsidRPr="001459CF" w:rsidP="001459CF">
            <w:pPr>
              <w:pStyle w:val="ListBullet2"/>
            </w:pPr>
            <w:r w:rsidRPr="001459CF">
              <w:t>Spray.</w:t>
            </w:r>
          </w:p>
          <w:p w:rsidR="00000000" w:rsidRPr="001459CF" w:rsidP="001459CF">
            <w:pPr>
              <w:pStyle w:val="ListBullet2"/>
            </w:pPr>
            <w:r w:rsidRPr="001459CF">
              <w:t>Dip.</w:t>
            </w:r>
          </w:p>
          <w:p w:rsidR="00000000" w:rsidRPr="001459CF" w:rsidP="001459CF">
            <w:pPr>
              <w:pStyle w:val="ListBullet2"/>
            </w:pPr>
            <w:r w:rsidRPr="001459CF">
              <w:t>Trickle.</w:t>
            </w:r>
          </w:p>
          <w:p w:rsidR="00000000" w:rsidRPr="001459CF" w:rsidP="001459CF">
            <w:pPr>
              <w:pStyle w:val="ListBullet"/>
            </w:pPr>
            <w:r w:rsidRPr="001459CF">
              <w:t>Measuring wires.</w:t>
            </w:r>
          </w:p>
          <w:p w:rsidR="00000000" w:rsidRPr="001459CF" w:rsidP="001459CF">
            <w:pPr>
              <w:pStyle w:val="ListBullet2"/>
            </w:pPr>
            <w:r w:rsidRPr="001459CF">
              <w:t>Gauge.</w:t>
            </w:r>
          </w:p>
          <w:p w:rsidR="00000000" w:rsidRPr="001459CF" w:rsidP="001459CF">
            <w:pPr>
              <w:pStyle w:val="ListBullet2"/>
            </w:pPr>
            <w:r w:rsidRPr="001459CF">
              <w:t>Micrometer.`</w:t>
            </w:r>
          </w:p>
          <w:p w:rsidR="00000000" w:rsidRPr="001459CF" w:rsidP="001459CF">
            <w:pPr>
              <w:pStyle w:val="BodyText"/>
            </w:pPr>
            <w:r w:rsidRPr="001459CF">
              <w:t>T2</w:t>
            </w:r>
            <w:r w:rsidRPr="001459CF">
              <w:tab/>
              <w:t>Applications of winding wires</w:t>
            </w:r>
          </w:p>
          <w:p w:rsidR="00000000" w:rsidRPr="001459CF" w:rsidP="001459CF">
            <w:pPr>
              <w:pStyle w:val="ListBullet"/>
            </w:pPr>
            <w:r w:rsidRPr="001459CF">
              <w:t>Solenoid</w:t>
            </w:r>
          </w:p>
          <w:p w:rsidR="00000000" w:rsidRPr="001459CF" w:rsidP="001459CF">
            <w:pPr>
              <w:pStyle w:val="ListBullet"/>
            </w:pPr>
            <w:r w:rsidRPr="001459CF">
              <w:t>Stator windings</w:t>
            </w:r>
          </w:p>
          <w:p w:rsidR="00000000" w:rsidRPr="001459CF" w:rsidP="001459CF">
            <w:pPr>
              <w:pStyle w:val="ListBullet"/>
            </w:pPr>
            <w:r w:rsidRPr="001459CF">
              <w:t>Armature windings.</w:t>
            </w:r>
          </w:p>
          <w:p w:rsidR="00000000" w:rsidRPr="001459CF" w:rsidP="001459CF">
            <w:pPr>
              <w:pStyle w:val="ListBullet"/>
            </w:pPr>
            <w:r w:rsidRPr="001459CF">
              <w:t>Transformer windings</w:t>
            </w:r>
          </w:p>
          <w:p w:rsidR="00000000" w:rsidRPr="001459CF" w:rsidP="001459CF">
            <w:pPr>
              <w:pStyle w:val="ListBullet"/>
            </w:pPr>
            <w:r w:rsidRPr="001459CF">
              <w:t>Induction coils.</w:t>
            </w:r>
          </w:p>
          <w:p w:rsidR="00000000" w:rsidRPr="001459CF" w:rsidP="001459CF">
            <w:pPr>
              <w:pStyle w:val="BodyText"/>
            </w:pPr>
            <w:r w:rsidRPr="001459CF">
              <w:t>T3</w:t>
            </w:r>
            <w:r w:rsidRPr="001459CF">
              <w:tab/>
            </w:r>
            <w:r w:rsidRPr="001459CF">
              <w:t xml:space="preserve">Methods of winding wire connection </w:t>
            </w:r>
          </w:p>
          <w:p w:rsidR="00000000" w:rsidRPr="001459CF" w:rsidP="001459CF">
            <w:pPr>
              <w:pStyle w:val="ListBullet"/>
            </w:pPr>
            <w:r w:rsidRPr="001459CF">
              <w:t>Conductor preparation.</w:t>
            </w:r>
          </w:p>
          <w:p w:rsidR="00000000" w:rsidRPr="001459CF" w:rsidP="001459CF">
            <w:pPr>
              <w:pStyle w:val="ListBullet"/>
            </w:pPr>
            <w:r w:rsidRPr="001459CF">
              <w:t>Joining methods – soft soldering</w:t>
            </w:r>
          </w:p>
          <w:p w:rsidR="00000000" w:rsidRPr="001459CF" w:rsidP="001459CF">
            <w:pPr>
              <w:pStyle w:val="ListBullet2"/>
            </w:pPr>
            <w:r w:rsidRPr="001459CF">
              <w:t>Types of soldering irons and tips</w:t>
            </w:r>
          </w:p>
          <w:p w:rsidR="00000000" w:rsidRPr="001459CF" w:rsidP="001459CF">
            <w:pPr>
              <w:pStyle w:val="ListBullet2"/>
            </w:pPr>
            <w:r w:rsidRPr="001459CF">
              <w:t>Types of solder</w:t>
            </w:r>
          </w:p>
          <w:p w:rsidR="00000000" w:rsidRPr="001459CF" w:rsidP="001459CF">
            <w:pPr>
              <w:pStyle w:val="ListBullet2"/>
            </w:pPr>
            <w:r w:rsidRPr="001459CF">
              <w:t>Fluxes:   purpose;  types;  dangers</w:t>
            </w:r>
          </w:p>
          <w:p w:rsidR="00000000" w:rsidRPr="001459CF" w:rsidP="001459CF">
            <w:pPr>
              <w:pStyle w:val="ListBullet2"/>
            </w:pPr>
            <w:r w:rsidRPr="001459CF">
              <w:t>Soldering process</w:t>
            </w:r>
          </w:p>
          <w:p w:rsidR="00000000" w:rsidRPr="001459CF" w:rsidP="001459CF">
            <w:pPr>
              <w:pStyle w:val="ListBullet2"/>
            </w:pPr>
            <w:r w:rsidRPr="001459CF">
              <w:t>Inspection</w:t>
            </w:r>
          </w:p>
          <w:p w:rsidR="00000000" w:rsidRPr="001459CF" w:rsidP="001459CF">
            <w:pPr>
              <w:pStyle w:val="ListBullet"/>
            </w:pPr>
            <w:r w:rsidRPr="001459CF">
              <w:t>Hard soldering - Silver soldering</w:t>
            </w:r>
          </w:p>
          <w:p w:rsidR="00000000" w:rsidRPr="001459CF" w:rsidP="001459CF">
            <w:pPr>
              <w:pStyle w:val="ListBullet2"/>
            </w:pPr>
            <w:r w:rsidRPr="001459CF">
              <w:t xml:space="preserve">Advantages </w:t>
            </w:r>
          </w:p>
          <w:p w:rsidR="00000000" w:rsidRPr="001459CF" w:rsidP="001459CF">
            <w:pPr>
              <w:pStyle w:val="ListBullet2"/>
            </w:pPr>
            <w:r w:rsidRPr="001459CF">
              <w:t>Types of silver soldering wire</w:t>
            </w:r>
          </w:p>
          <w:p w:rsidR="00000000" w:rsidRPr="001459CF" w:rsidP="001459CF">
            <w:pPr>
              <w:pStyle w:val="ListBullet2"/>
            </w:pPr>
            <w:r w:rsidRPr="001459CF">
              <w:t>Types of flux</w:t>
            </w:r>
          </w:p>
          <w:p w:rsidR="00000000" w:rsidRPr="001459CF" w:rsidP="001459CF">
            <w:pPr>
              <w:pStyle w:val="ListBullet2"/>
            </w:pPr>
            <w:r w:rsidRPr="001459CF">
              <w:t>Operation and safe working procedures with the oxy acetylene welding torch</w:t>
            </w:r>
          </w:p>
          <w:p w:rsidR="00000000" w:rsidRPr="001459CF" w:rsidP="001459CF">
            <w:pPr>
              <w:pStyle w:val="ListBullet2"/>
            </w:pPr>
            <w:r w:rsidRPr="001459CF">
              <w:t>Preparation of join</w:t>
            </w:r>
          </w:p>
          <w:p w:rsidR="00000000" w:rsidRPr="001459CF" w:rsidP="001459CF">
            <w:pPr>
              <w:pStyle w:val="ListBullet2"/>
            </w:pPr>
            <w:r w:rsidRPr="001459CF">
              <w:t>Silver soldering process and inspection</w:t>
            </w:r>
          </w:p>
          <w:p w:rsidR="00000000" w:rsidRPr="001459CF" w:rsidP="001459CF">
            <w:pPr>
              <w:pStyle w:val="ListBullet"/>
            </w:pPr>
            <w:r w:rsidRPr="001459CF">
              <w:t>Fusing</w:t>
            </w:r>
          </w:p>
          <w:p w:rsidR="00000000" w:rsidRPr="001459CF" w:rsidP="001459CF">
            <w:pPr>
              <w:pStyle w:val="ListBullet2"/>
            </w:pPr>
            <w:r w:rsidRPr="001459CF">
              <w:t>Advantages</w:t>
            </w:r>
          </w:p>
          <w:p w:rsidR="00000000" w:rsidRPr="001459CF" w:rsidP="001459CF">
            <w:pPr>
              <w:pStyle w:val="ListBullet2"/>
            </w:pPr>
            <w:r w:rsidRPr="001459CF">
              <w:t>Preparation of join</w:t>
            </w:r>
          </w:p>
          <w:p w:rsidR="00000000" w:rsidRPr="001459CF" w:rsidP="001459CF">
            <w:pPr>
              <w:pStyle w:val="ListBullet2"/>
            </w:pPr>
            <w:r w:rsidRPr="001459CF">
              <w:t>Fusing process</w:t>
            </w:r>
          </w:p>
          <w:p w:rsidR="00000000" w:rsidRPr="001459CF" w:rsidP="001459CF">
            <w:pPr>
              <w:pStyle w:val="ListBullet2"/>
            </w:pPr>
            <w:r w:rsidRPr="001459CF">
              <w:t>Safe working procedu</w:t>
            </w:r>
            <w:r w:rsidRPr="001459CF">
              <w:t>res</w:t>
            </w:r>
          </w:p>
          <w:p w:rsidR="00000000" w:rsidRPr="001459CF" w:rsidP="001459CF">
            <w:pPr>
              <w:pStyle w:val="BodyText"/>
            </w:pPr>
            <w:r w:rsidRPr="001459CF">
              <w:t>T4</w:t>
            </w:r>
            <w:r w:rsidRPr="001459CF">
              <w:tab/>
              <w:t>Insulation methods.</w:t>
            </w:r>
          </w:p>
          <w:p w:rsidR="00000000" w:rsidRPr="001459CF" w:rsidP="001459CF">
            <w:pPr>
              <w:pStyle w:val="BodyText"/>
            </w:pPr>
            <w:r w:rsidRPr="001459CF">
              <w:t>T5</w:t>
            </w:r>
            <w:r w:rsidRPr="001459CF">
              <w:tab/>
              <w:t>Basic techniques in insulating coils for electrical static and rotating machines.</w:t>
            </w:r>
          </w:p>
          <w:p w:rsidR="00000000" w:rsidRPr="001459CF" w:rsidP="001459CF">
            <w:pPr>
              <w:pStyle w:val="ListBullet"/>
            </w:pPr>
            <w:r w:rsidRPr="001459CF">
              <w:t>Methods of insulating coils.</w:t>
            </w:r>
          </w:p>
          <w:p w:rsidR="00000000" w:rsidRPr="001459CF" w:rsidP="001459CF">
            <w:pPr>
              <w:pStyle w:val="ListBullet"/>
            </w:pPr>
            <w:r w:rsidRPr="001459CF">
              <w:t>Types of insulation used.</w:t>
            </w:r>
          </w:p>
          <w:p w:rsidR="00000000" w:rsidRPr="001459CF" w:rsidP="001459CF">
            <w:pPr>
              <w:pStyle w:val="ListBullet"/>
            </w:pPr>
            <w:r w:rsidRPr="001459CF">
              <w:t>Precautions.</w:t>
            </w:r>
          </w:p>
          <w:p w:rsidR="00000000" w:rsidRPr="001459CF" w:rsidP="001459CF">
            <w:pPr>
              <w:pStyle w:val="BodyText"/>
            </w:pPr>
            <w:r w:rsidRPr="001459CF">
              <w:t>T6</w:t>
            </w:r>
            <w:r w:rsidRPr="001459CF">
              <w:tab/>
              <w:t>Coil types.</w:t>
            </w:r>
          </w:p>
          <w:p w:rsidR="00000000" w:rsidRPr="001459CF" w:rsidP="001459CF">
            <w:pPr>
              <w:pStyle w:val="ListBullet"/>
            </w:pPr>
            <w:r w:rsidRPr="001459CF">
              <w:t xml:space="preserve">Universal motor field coils (single phase);  </w:t>
            </w:r>
          </w:p>
          <w:p w:rsidR="00000000" w:rsidRPr="001459CF" w:rsidP="001459CF">
            <w:pPr>
              <w:pStyle w:val="ListBullet"/>
            </w:pPr>
            <w:r w:rsidRPr="001459CF">
              <w:t xml:space="preserve">Distributed concentric coil group (single phase/three phase);  </w:t>
            </w:r>
          </w:p>
          <w:p w:rsidR="00000000" w:rsidRPr="001459CF" w:rsidP="001459CF">
            <w:pPr>
              <w:pStyle w:val="ListBullet"/>
            </w:pPr>
            <w:r w:rsidRPr="001459CF">
              <w:t xml:space="preserve">Distributed “D” or mush shape coil group (three phase);  </w:t>
            </w:r>
          </w:p>
          <w:p w:rsidR="00000000" w:rsidRPr="001459CF" w:rsidP="001459CF">
            <w:pPr>
              <w:pStyle w:val="ListBullet"/>
            </w:pPr>
            <w:r w:rsidRPr="001459CF">
              <w:t>Distributed round end (three phase);</w:t>
            </w:r>
          </w:p>
          <w:p w:rsidR="00000000" w:rsidRPr="001459CF" w:rsidP="001459CF">
            <w:pPr>
              <w:pStyle w:val="ListBullet"/>
            </w:pPr>
            <w:r w:rsidRPr="001459CF">
              <w:t>Distributed diamond shape coil group wound as individual coils (three phase)</w:t>
            </w:r>
          </w:p>
          <w:p w:rsidR="00000000" w:rsidRPr="001459CF" w:rsidP="001459CF">
            <w:pPr>
              <w:pStyle w:val="BodyText"/>
            </w:pPr>
            <w:r w:rsidRPr="001459CF">
              <w:t>T7</w:t>
            </w:r>
            <w:r w:rsidRPr="001459CF">
              <w:tab/>
              <w:t xml:space="preserve">Basic techniques </w:t>
            </w:r>
            <w:r w:rsidRPr="001459CF">
              <w:t>in placing coils for electrical static and rotating machines</w:t>
            </w:r>
          </w:p>
          <w:p w:rsidR="00000000" w:rsidRPr="001459CF" w:rsidP="001459CF">
            <w:pPr>
              <w:pStyle w:val="ListBullet"/>
            </w:pPr>
            <w:r w:rsidRPr="001459CF">
              <w:t>Record data</w:t>
            </w:r>
          </w:p>
          <w:p w:rsidR="00000000" w:rsidRPr="001459CF" w:rsidP="001459CF">
            <w:pPr>
              <w:pStyle w:val="ListBullet"/>
            </w:pPr>
            <w:r w:rsidRPr="001459CF">
              <w:t>Manufacture for universal field coils</w:t>
            </w:r>
          </w:p>
          <w:p w:rsidR="00000000" w:rsidRPr="001459CF" w:rsidP="001459CF">
            <w:pPr>
              <w:pStyle w:val="ListBullet"/>
            </w:pPr>
            <w:r w:rsidRPr="001459CF">
              <w:t xml:space="preserve">Coil finishing:   </w:t>
            </w:r>
          </w:p>
          <w:p w:rsidR="00000000" w:rsidRPr="001459CF" w:rsidP="001459CF">
            <w:pPr>
              <w:pStyle w:val="ListBullet"/>
            </w:pPr>
            <w:r w:rsidRPr="001459CF">
              <w:t xml:space="preserve">insertion into slots;  </w:t>
            </w:r>
          </w:p>
          <w:p w:rsidR="00000000" w:rsidRPr="001459CF" w:rsidP="001459CF">
            <w:pPr>
              <w:pStyle w:val="ListBullet"/>
            </w:pPr>
            <w:r w:rsidRPr="001459CF">
              <w:t xml:space="preserve">taping (where applicable);  </w:t>
            </w:r>
          </w:p>
          <w:p w:rsidR="00000000" w:rsidRPr="001459CF" w:rsidP="001459CF">
            <w:pPr>
              <w:pStyle w:val="ListBullet"/>
            </w:pPr>
            <w:r w:rsidRPr="001459CF">
              <w:t>connection for correct polarity</w:t>
            </w:r>
          </w:p>
          <w:p w:rsidR="00000000" w:rsidRPr="001459CF" w:rsidP="001459CF">
            <w:pPr>
              <w:pStyle w:val="ListBullet"/>
            </w:pPr>
            <w:r w:rsidRPr="001459CF">
              <w:t>Electrical testing</w:t>
            </w:r>
          </w:p>
        </w:tc>
      </w:tr>
    </w:tbl>
    <w:p w:rsidR="00000000" w:rsidRPr="001459CF" w:rsidP="001459CF">
      <w:pPr>
        <w:pStyle w:val="BodyText"/>
      </w:pPr>
    </w:p>
    <w:p w:rsidR="00000000" w:rsidRPr="001459CF" w:rsidP="001459CF">
      <w:pPr>
        <w:pStyle w:val="AllowPageBreak"/>
      </w:pPr>
    </w:p>
    <w:p w:rsidR="00000000" w:rsidRPr="001459CF" w:rsidP="001459CF">
      <w:pPr>
        <w:pStyle w:val="Heading1"/>
      </w:pPr>
      <w:bookmarkStart w:id="10" w:name="O_586052"/>
      <w:bookmarkEnd w:id="10"/>
      <w:r w:rsidRPr="001459CF">
        <w:t>Evidence Guide</w:t>
      </w:r>
    </w:p>
    <w:tbl>
      <w:tblPr>
        <w:tblW w:w="0" w:type="auto"/>
        <w:tblLayout w:type="fixed"/>
        <w:tblCellMar>
          <w:left w:w="62" w:type="dxa"/>
          <w:right w:w="62" w:type="dxa"/>
        </w:tblCellMar>
        <w:tblLook w:val="0000"/>
      </w:tblPr>
      <w:tblGrid>
        <w:gridCol w:w="8460"/>
      </w:tblGrid>
      <w:tr w:rsidTr="00B81B7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rPr>
                <w:rStyle w:val="SpecialBold"/>
              </w:rPr>
              <w:t>EVIDENCE GUIDE</w:t>
            </w:r>
          </w:p>
        </w:tc>
      </w:tr>
      <w:tr w:rsidTr="00B81B7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rPr>
                <w:rStyle w:val="SpecialBold"/>
              </w:rPr>
              <w:t>9)</w:t>
            </w:r>
            <w:r w:rsidRPr="001459CF">
              <w:t xml:space="preserve"> The evidence guide provides advice on assessment and must be read in conjunction with the Performance Criteria, Required Skills and Knowledge, the Range Statement and the Assessment Guidelines for this Training Package. </w:t>
            </w:r>
          </w:p>
          <w:p w:rsidR="00000000" w:rsidRPr="001459CF" w:rsidP="001459CF">
            <w:pPr>
              <w:pStyle w:val="BodyText"/>
            </w:pPr>
            <w:r w:rsidRPr="001459CF">
              <w:t>The Evidence Guide forms an integral part of this unit. It must be used in conjunction with all parts of this unit and performed in accordance with the Assessment Guidelines of this Training Package.</w:t>
            </w:r>
          </w:p>
        </w:tc>
      </w:tr>
    </w:tbl>
    <w:p w:rsidR="00000000" w:rsidRPr="001459CF" w:rsidP="001459CF">
      <w:pPr>
        <w:pStyle w:val="BodyText"/>
      </w:pPr>
    </w:p>
    <w:tbl>
      <w:tblPr>
        <w:tblW w:w="0" w:type="auto"/>
        <w:tblLayout w:type="fixed"/>
        <w:tblCellMar>
          <w:left w:w="62" w:type="dxa"/>
          <w:right w:w="62" w:type="dxa"/>
        </w:tblCellMar>
        <w:tblLook w:val="0000"/>
      </w:tblPr>
      <w:tblGrid>
        <w:gridCol w:w="1890"/>
        <w:gridCol w:w="6570"/>
      </w:tblGrid>
      <w:tr w:rsidTr="00B81B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rPr>
                <w:rStyle w:val="SpecialBold"/>
              </w:rPr>
              <w:t>9.1)</w:t>
            </w:r>
          </w:p>
        </w:tc>
      </w:tr>
      <w:tr w:rsidTr="00B81B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t xml:space="preserve">Longitudinal competency </w:t>
            </w:r>
            <w:r w:rsidRPr="001459CF">
              <w:t>development approaches to assessment, such as Profiling, require data to be reliably gathered in a form that can be consistently interpreted over time. This approach is best utilised in Apprenticeship programs and reduces assessment intervention. It is the</w:t>
            </w:r>
            <w:r w:rsidRPr="001459CF">
              <w:t xml:space="preserve"> Industry’s preferred model for apprenticeships. However, where summative (or final) assessment is used it is to include the application of the competency in the normal work environment or, at a minimum, the application of the competency in a realistically</w:t>
            </w:r>
            <w:r w:rsidRPr="001459CF">
              <w:t xml:space="preserve"> simulated work environment. It is recognised that, in some circumstances, assessment in part or full can occur outside the workplace. However, it must be in accordance with industry and regulatory policy.</w:t>
            </w:r>
          </w:p>
          <w:p w:rsidR="00000000" w:rsidRPr="001459CF" w:rsidP="001459CF">
            <w:pPr>
              <w:pStyle w:val="BodyText"/>
            </w:pPr>
            <w:r w:rsidRPr="001459CF">
              <w:t>Methods chosen for a particular assessment will be</w:t>
            </w:r>
            <w:r w:rsidRPr="001459CF">
              <w:t xml:space="preserve"> influenced by various factors. These include the extent of the assessment, the most effective locations for the assessment activities to take place, access to physical resources, additional safety measures that may be required and the critical nature of t</w:t>
            </w:r>
            <w:r w:rsidRPr="001459CF">
              <w:t>he competencies being assessed.</w:t>
            </w:r>
          </w:p>
          <w:p w:rsidR="00000000" w:rsidRPr="001459CF" w:rsidP="001459CF">
            <w:pPr>
              <w:pStyle w:val="BodyText"/>
            </w:pPr>
            <w:r w:rsidRPr="001459CF">
              <w:t>The critical safety nature of working with electricity, electrical equipment, gas or any other hazardous substance/material carries risk in deeming a person competent. Sources of evidence need to be ‘rich’ in nature to minim</w:t>
            </w:r>
            <w:r w:rsidRPr="001459CF">
              <w:t>ise error in judgment.</w:t>
            </w:r>
          </w:p>
          <w:p w:rsidR="00000000" w:rsidRPr="001459CF" w:rsidP="001459CF">
            <w:pPr>
              <w:pStyle w:val="BodyText"/>
            </w:pPr>
            <w:r w:rsidRPr="001459CF">
              <w:t>Activities associated with normal every day work have a bearing on the decision as to how much and how detailed the data gathered will contribute to its ‘richness’</w:t>
            </w:r>
            <w:r w:rsidRPr="001459CF">
              <w:t>. Some skills are more critical to safety and operational requirements while the same skills may be more or less frequently practised. These points are raised for the assessors to consider when choosing an assessment method and developing assessment instru</w:t>
            </w:r>
            <w:r w:rsidRPr="001459CF">
              <w:t>ments. Sample assessment instruments are included for Assessors in the Assessment Guidelines of this Training Package.</w:t>
            </w:r>
          </w:p>
        </w:tc>
      </w:tr>
    </w:tbl>
    <w:p w:rsidR="00000000" w:rsidRPr="001459CF" w:rsidP="001459CF">
      <w:pPr>
        <w:pStyle w:val="BodyText"/>
      </w:pPr>
    </w:p>
    <w:tbl>
      <w:tblPr>
        <w:tblW w:w="0" w:type="auto"/>
        <w:tblLayout w:type="fixed"/>
        <w:tblCellMar>
          <w:left w:w="62" w:type="dxa"/>
          <w:right w:w="62" w:type="dxa"/>
        </w:tblCellMar>
        <w:tblLook w:val="0000"/>
      </w:tblPr>
      <w:tblGrid>
        <w:gridCol w:w="1890"/>
        <w:gridCol w:w="1620"/>
        <w:gridCol w:w="4950"/>
      </w:tblGrid>
      <w:tr w:rsidTr="00B81B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rPr>
                <w:rStyle w:val="SpecialBold"/>
              </w:rPr>
              <w:t>9.2)</w:t>
            </w:r>
          </w:p>
        </w:tc>
      </w:tr>
      <w:tr w:rsidTr="00B81B76">
        <w:tblPrEx>
          <w:tblW w:w="0" w:type="auto"/>
          <w:tblLayout w:type="fixed"/>
          <w:tblCellMar>
            <w:left w:w="62" w:type="dxa"/>
            <w:right w:w="62" w:type="dxa"/>
          </w:tblCellMar>
          <w:tblLook w:val="0000"/>
        </w:tblPrEx>
        <w:trPr>
          <w:trHeight w:val="722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t>Before the critical aspects of evidence are consid</w:t>
            </w:r>
            <w:r w:rsidRPr="001459CF">
              <w:t>ered all prerequisites shall be met.</w:t>
            </w:r>
          </w:p>
          <w:p w:rsidR="00000000" w:rsidRPr="001459CF" w:rsidP="001459CF">
            <w:pPr>
              <w:pStyle w:val="BodyText"/>
            </w:pPr>
            <w:r w:rsidRPr="001459CF">
              <w:t>Evidence for competence in this unit shall be considered holistically.  Each element and associated performance criteria shall be demonstrated on at least two occasions in accordance with the ‘Assessment Guidelines – UE</w:t>
            </w:r>
            <w:r w:rsidRPr="001459CF">
              <w:t>E11’.  Evidence shall also comprise:</w:t>
            </w:r>
          </w:p>
          <w:p w:rsidR="00000000" w:rsidRPr="001459CF" w:rsidP="001459CF">
            <w:pPr>
              <w:pStyle w:val="ListBullet"/>
            </w:pPr>
            <w:r w:rsidRPr="001459CF">
              <w:t>A representative body of work performance demonstrated within the timeframes typically expected of the discipline, work function and industrial environment. In particular this shall incorporate evidence that shows a ca</w:t>
            </w:r>
            <w:r w:rsidRPr="001459CF">
              <w:t>ndidate is able to:</w:t>
            </w:r>
          </w:p>
          <w:p w:rsidR="00000000" w:rsidRPr="001459CF" w:rsidP="001459CF">
            <w:pPr>
              <w:pStyle w:val="ListBullet2"/>
            </w:pPr>
            <w:r w:rsidRPr="001459CF">
              <w:t>Implement Occupational Health and Safety workplace procedures and practices including the use of risk control measures as specified in the performance criteria and range statement</w:t>
            </w:r>
          </w:p>
          <w:p w:rsidR="00000000" w:rsidRPr="001459CF" w:rsidP="001459CF">
            <w:pPr>
              <w:pStyle w:val="ListBullet2"/>
            </w:pPr>
            <w:r w:rsidRPr="001459CF">
              <w:t>Ap</w:t>
            </w:r>
            <w:r w:rsidRPr="001459CF">
              <w:t>ply sustainable energy principles and practices as specified in the performance criteria and range statement</w:t>
            </w:r>
          </w:p>
          <w:p w:rsidR="00000000" w:rsidRPr="001459CF" w:rsidP="001459CF">
            <w:pPr>
              <w:pStyle w:val="ListBullet2"/>
            </w:pPr>
            <w:r w:rsidRPr="001459CF">
              <w:t xml:space="preserve">Demonstrate an understanding of the essential knowledge and associated skills as described in this unit.  It may be required by some jurisdictions </w:t>
            </w:r>
            <w:r w:rsidRPr="001459CF">
              <w:t xml:space="preserve">that RTOs provide a percentile graded result for the purpose of regulatory or licensing requirements.   </w:t>
            </w:r>
          </w:p>
          <w:p w:rsidR="00000000" w:rsidRPr="001459CF" w:rsidP="001459CF">
            <w:pPr>
              <w:pStyle w:val="ListBullet2"/>
            </w:pPr>
            <w:r w:rsidRPr="001459CF">
              <w:t>Demonstrate an appropriate level of skills enabling employment</w:t>
            </w:r>
          </w:p>
          <w:p w:rsidR="00000000" w:rsidRPr="001459CF" w:rsidP="001459CF">
            <w:pPr>
              <w:pStyle w:val="ListBullet2"/>
            </w:pPr>
            <w:r w:rsidRPr="001459CF">
              <w:t>Conduct work observing the relevant Anti Discrimination legislation, regulations, police</w:t>
            </w:r>
            <w:r w:rsidRPr="001459CF">
              <w:t>s and workplace procedures</w:t>
            </w:r>
          </w:p>
          <w:p w:rsidR="00000000" w:rsidRPr="001459CF" w:rsidP="001459CF">
            <w:pPr>
              <w:pStyle w:val="ListBullet"/>
            </w:pPr>
            <w:r w:rsidRPr="001459CF">
              <w:t>Demonstrated consistent performance across a representative range of contexts from the prescribed items below:</w:t>
            </w:r>
          </w:p>
          <w:p w:rsidR="00000000" w:rsidP="001459CF">
            <w:pPr>
              <w:pStyle w:val="ListBullet2"/>
              <w:rPr>
                <w:lang w:val="en-NZ"/>
              </w:rPr>
            </w:pPr>
            <w:r w:rsidRPr="001459CF">
              <w:t>Place and connect coils as described as described in 8) and including:</w:t>
            </w:r>
          </w:p>
        </w:tc>
      </w:tr>
      <w:tr w:rsidTr="00B81B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A</w:t>
            </w:r>
          </w:p>
        </w:tc>
        <w:tc>
          <w:tcPr>
            <w:tcW w:w="495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Following winding specifications.</w:t>
            </w:r>
          </w:p>
        </w:tc>
      </w:tr>
      <w:tr w:rsidTr="00B81B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B</w:t>
            </w:r>
          </w:p>
        </w:tc>
        <w:tc>
          <w:tcPr>
            <w:tcW w:w="495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Selecting correct coils and insulation.</w:t>
            </w:r>
          </w:p>
        </w:tc>
      </w:tr>
      <w:tr w:rsidTr="00B81B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C</w:t>
            </w:r>
          </w:p>
        </w:tc>
        <w:tc>
          <w:tcPr>
            <w:tcW w:w="495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Cutting insulation and place insulation and coils without damage.</w:t>
            </w:r>
          </w:p>
        </w:tc>
      </w:tr>
      <w:tr w:rsidTr="00B81B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D</w:t>
            </w:r>
          </w:p>
        </w:tc>
        <w:tc>
          <w:tcPr>
            <w:tcW w:w="495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Connecting coils correctly.</w:t>
            </w:r>
          </w:p>
        </w:tc>
      </w:tr>
      <w:tr w:rsidTr="00B81B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E</w:t>
            </w:r>
          </w:p>
        </w:tc>
        <w:tc>
          <w:tcPr>
            <w:tcW w:w="495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Adhering to quality procedures.</w:t>
            </w:r>
          </w:p>
        </w:tc>
      </w:tr>
      <w:tr w:rsidTr="00B81B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F</w:t>
            </w:r>
          </w:p>
        </w:tc>
        <w:tc>
          <w:tcPr>
            <w:tcW w:w="495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Completing work report/forms accurately.</w:t>
            </w:r>
          </w:p>
        </w:tc>
      </w:tr>
      <w:tr w:rsidTr="00B81B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G</w:t>
            </w:r>
          </w:p>
        </w:tc>
        <w:tc>
          <w:tcPr>
            <w:tcW w:w="495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t xml:space="preserve">Dealing with unplanned events by drawing on essential knowledge and skills to provide appropriate solutions incorporated in the holistic assessment with </w:t>
            </w:r>
            <w:r w:rsidRPr="001459CF">
              <w:t>the above listed items.</w:t>
            </w:r>
          </w:p>
        </w:tc>
      </w:tr>
      <w:tr w:rsidTr="00B81B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t xml:space="preserve">Note: </w:t>
            </w:r>
          </w:p>
          <w:p w:rsidR="00000000" w:rsidRPr="001459CF" w:rsidP="001459CF">
            <w:pPr>
              <w:pStyle w:val="BodyText"/>
            </w:pPr>
            <w:r w:rsidRPr="001459CF">
              <w:t>Successful completion of relevant vendor training may be used to contr</w:t>
            </w:r>
            <w:r w:rsidRPr="001459CF">
              <w:t>ibute to evidence on which competency is deemed. In these cases the alignment of outcomes of vendor training with performance criteria and critical aspects of evidence shall be clearly identified.</w:t>
            </w:r>
          </w:p>
        </w:tc>
      </w:tr>
    </w:tbl>
    <w:p w:rsidR="00000000" w:rsidRPr="001459CF" w:rsidP="001459CF">
      <w:pPr>
        <w:pStyle w:val="BodyText"/>
      </w:pPr>
    </w:p>
    <w:tbl>
      <w:tblPr>
        <w:tblW w:w="0" w:type="auto"/>
        <w:tblLayout w:type="fixed"/>
        <w:tblCellMar>
          <w:left w:w="62" w:type="dxa"/>
          <w:right w:w="62" w:type="dxa"/>
        </w:tblCellMar>
        <w:tblLook w:val="0000"/>
      </w:tblPr>
      <w:tblGrid>
        <w:gridCol w:w="1890"/>
        <w:gridCol w:w="6570"/>
      </w:tblGrid>
      <w:tr w:rsidTr="00B81B7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rPr>
                <w:rStyle w:val="SpecialBold"/>
              </w:rPr>
              <w:t>9.3)</w:t>
            </w:r>
          </w:p>
        </w:tc>
      </w:tr>
      <w:tr w:rsidTr="00B81B7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t>This unit should be assessed as it relates to normal work practice using procedures, information and resources typical of a workplace. This should include:</w:t>
            </w:r>
          </w:p>
          <w:p w:rsidR="00000000" w:rsidRPr="001459CF" w:rsidP="001459CF">
            <w:pPr>
              <w:pStyle w:val="BodyText"/>
            </w:pPr>
            <w:r w:rsidRPr="001459CF">
              <w:t>OHS policy and work procedures and instructions.</w:t>
            </w:r>
          </w:p>
          <w:p w:rsidR="00000000" w:rsidRPr="001459CF" w:rsidP="001459CF">
            <w:pPr>
              <w:pStyle w:val="BodyText"/>
            </w:pPr>
            <w:r w:rsidRPr="001459CF">
              <w:t>Suitable work environment, facilities, equipment an</w:t>
            </w:r>
            <w:r w:rsidRPr="001459CF">
              <w:t>d materials to undertake actual work as prescribed by this unit.</w:t>
            </w:r>
          </w:p>
          <w:p w:rsidR="00000000" w:rsidRPr="001459CF" w:rsidP="001459CF">
            <w:pPr>
              <w:pStyle w:val="BodyText"/>
            </w:pPr>
            <w:r w:rsidRPr="001459CF">
              <w:t>These should be part of the formal learning/assessment environment.</w:t>
            </w:r>
          </w:p>
          <w:p w:rsidR="00000000" w:rsidRPr="001459CF" w:rsidP="001459CF">
            <w:pPr>
              <w:pStyle w:val="BodyText"/>
            </w:pPr>
            <w:r w:rsidRPr="001459CF">
              <w:t>Note:</w:t>
            </w:r>
          </w:p>
          <w:p w:rsidR="00000000" w:rsidRPr="001459CF" w:rsidP="001459CF">
            <w:pPr>
              <w:pStyle w:val="BodyText"/>
            </w:pPr>
            <w:r w:rsidRPr="001459CF">
              <w:t>Where simulation is considered a suitable strategy for assessment, conditions must be authentic and as far as possibl</w:t>
            </w:r>
            <w:r w:rsidRPr="001459CF">
              <w:t>e reproduce and replicate the workplace and be consistent with the approved industry simulation policy.</w:t>
            </w:r>
          </w:p>
          <w:p w:rsidR="00000000" w:rsidRPr="001459CF" w:rsidP="001459CF">
            <w:pPr>
              <w:pStyle w:val="BodyText"/>
            </w:pPr>
            <w:r w:rsidRPr="001459CF">
              <w:t>The resources used for assessment should reflect current industry practices in relation to placing and connecting coils.</w:t>
            </w:r>
          </w:p>
        </w:tc>
      </w:tr>
    </w:tbl>
    <w:p w:rsidR="00000000" w:rsidRPr="001459CF" w:rsidP="001459CF">
      <w:pPr>
        <w:pStyle w:val="BodyText"/>
      </w:pPr>
    </w:p>
    <w:tbl>
      <w:tblPr>
        <w:tblW w:w="0" w:type="auto"/>
        <w:tblLayout w:type="fixed"/>
        <w:tblCellMar>
          <w:left w:w="62" w:type="dxa"/>
          <w:right w:w="62" w:type="dxa"/>
        </w:tblCellMar>
        <w:tblLook w:val="0000"/>
      </w:tblPr>
      <w:tblGrid>
        <w:gridCol w:w="1890"/>
        <w:gridCol w:w="6570"/>
      </w:tblGrid>
      <w:tr w:rsidTr="00B81B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rPr>
                <w:rStyle w:val="SpecialBold"/>
              </w:rPr>
              <w:t>9.4)</w:t>
            </w:r>
          </w:p>
        </w:tc>
      </w:tr>
      <w:tr w:rsidTr="00B81B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t>This unit shall be assessed by methods given in Volume 1, Part 3 ‘Assessment Guidelines’.</w:t>
            </w:r>
          </w:p>
          <w:p w:rsidR="00000000" w:rsidRPr="001459CF" w:rsidP="001459CF">
            <w:pPr>
              <w:pStyle w:val="BodyText"/>
            </w:pPr>
            <w:r w:rsidRPr="001459CF">
              <w:t xml:space="preserve">Note: </w:t>
            </w:r>
          </w:p>
          <w:p w:rsidR="00000000" w:rsidRPr="001459CF" w:rsidP="001459CF">
            <w:pPr>
              <w:pStyle w:val="BodyText"/>
            </w:pPr>
            <w:r w:rsidRPr="001459CF">
              <w:t>Competent performance with inherent safe working practices is expected in the industry to which this unit applies. This requires assessment in a structured env</w:t>
            </w:r>
            <w:r w:rsidRPr="001459CF">
              <w:t>ironment which is primarily intended for learning/assessment and incorporates all necessary equipment and facilities for learners to develop and demonstrate the essential knowledge and skills described in this unit.</w:t>
            </w:r>
          </w:p>
        </w:tc>
      </w:tr>
    </w:tbl>
    <w:p w:rsidR="00000000" w:rsidRPr="001459CF" w:rsidP="001459CF">
      <w:pPr>
        <w:pStyle w:val="BodyText"/>
      </w:pPr>
    </w:p>
    <w:tbl>
      <w:tblPr>
        <w:tblW w:w="0" w:type="auto"/>
        <w:tblLayout w:type="fixed"/>
        <w:tblCellMar>
          <w:left w:w="62" w:type="dxa"/>
          <w:right w:w="62" w:type="dxa"/>
        </w:tblCellMar>
        <w:tblLook w:val="0000"/>
      </w:tblPr>
      <w:tblGrid>
        <w:gridCol w:w="1890"/>
        <w:gridCol w:w="6570"/>
      </w:tblGrid>
      <w:tr w:rsidTr="00B81B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rPr>
                <w:rStyle w:val="SpecialBold"/>
              </w:rPr>
              <w:t>Concurrent assessment and relationship</w:t>
            </w:r>
            <w:r w:rsidRPr="001459CF">
              <w:rPr>
                <w:rStyle w:val="SpecialBold"/>
              </w:rPr>
              <w:t xml:space="preserve"> with other units</w:t>
            </w:r>
          </w:p>
        </w:tc>
        <w:tc>
          <w:tcPr>
            <w:tcW w:w="657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rPr>
                <w:rStyle w:val="SpecialBold"/>
              </w:rPr>
              <w:t>9.5)</w:t>
            </w:r>
          </w:p>
        </w:tc>
      </w:tr>
      <w:tr w:rsidTr="00B81B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t>There are no concurrent assessment recommendations for this unit.</w:t>
            </w:r>
          </w:p>
          <w:p w:rsidR="00000000" w:rsidRPr="001459CF" w:rsidP="001459CF">
            <w:pPr>
              <w:pStyle w:val="BodyText"/>
            </w:pPr>
            <w:r w:rsidRPr="001459CF">
              <w:t>The critical aspects of occupational health and safety covered in unit UEENEEE101A and other discipline specific occupational health and safety units shall be incorp</w:t>
            </w:r>
            <w:r w:rsidRPr="001459CF">
              <w:t>orated in relation to this unit.</w:t>
            </w:r>
          </w:p>
        </w:tc>
      </w:tr>
    </w:tbl>
    <w:p w:rsidR="00000000" w:rsidRPr="001459CF" w:rsidP="001459CF">
      <w:pPr>
        <w:pStyle w:val="BodyText"/>
      </w:pPr>
    </w:p>
    <w:p w:rsidR="00000000" w:rsidRPr="001459CF" w:rsidP="001459CF">
      <w:pPr>
        <w:pStyle w:val="AllowPageBreak"/>
      </w:pPr>
    </w:p>
    <w:p w:rsidR="00000000" w:rsidRPr="001459CF" w:rsidP="001459CF">
      <w:pPr>
        <w:pStyle w:val="Heading1"/>
      </w:pPr>
      <w:bookmarkStart w:id="11" w:name="O_586051"/>
      <w:bookmarkEnd w:id="11"/>
      <w:r w:rsidRPr="001459CF">
        <w:t>Range Statement</w:t>
      </w:r>
    </w:p>
    <w:tbl>
      <w:tblPr>
        <w:tblW w:w="0" w:type="auto"/>
        <w:tblLayout w:type="fixed"/>
        <w:tblCellMar>
          <w:left w:w="62" w:type="dxa"/>
          <w:right w:w="62" w:type="dxa"/>
        </w:tblCellMar>
        <w:tblLook w:val="0000"/>
      </w:tblPr>
      <w:tblGrid>
        <w:gridCol w:w="8460"/>
      </w:tblGrid>
      <w:tr w:rsidTr="00B81B7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rPr>
                <w:rStyle w:val="SpecialBold"/>
              </w:rPr>
              <w:t>RANGE STATEMENT</w:t>
            </w:r>
          </w:p>
        </w:tc>
      </w:tr>
      <w:tr w:rsidTr="00B81B7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rPr>
                <w:rStyle w:val="SpecialBold"/>
              </w:rPr>
              <w:t>10)</w:t>
            </w:r>
            <w:r w:rsidRPr="001459CF">
              <w:t xml:space="preserve"> This relates to the unit as a whole providing the range of contexts and conditions to which the </w:t>
            </w:r>
            <w:r w:rsidRPr="001459CF">
              <w:t>performance criteria apply. It allows for different work environments and situations that will affect performance.</w:t>
            </w:r>
          </w:p>
          <w:p w:rsidR="00000000" w:rsidRPr="001459CF" w:rsidP="001459CF">
            <w:pPr>
              <w:pStyle w:val="BodyText"/>
            </w:pPr>
            <w:r w:rsidRPr="001459CF">
              <w:t>This unit shall be demonstrated in relation to placing and connecting electrical coils for a small armatures/stators and single phase transfo</w:t>
            </w:r>
            <w:r w:rsidRPr="001459CF">
              <w:t>rmers or solenoid equipped devices in an environment designed specifically for the purpose.</w:t>
            </w:r>
          </w:p>
          <w:p w:rsidR="00000000" w:rsidRPr="001459CF" w:rsidP="001459CF">
            <w:pPr>
              <w:pStyle w:val="BodyText"/>
            </w:pPr>
            <w:r w:rsidRPr="001459CF">
              <w:t>Generic terms used throughout this Vocational Standard shall be regarded as part of the Range Statement in which competency is demonstrated. The definition of these</w:t>
            </w:r>
            <w:r w:rsidRPr="001459CF">
              <w:t xml:space="preserve"> and other terms that apply are given in Volume 2, Part 2.1.</w:t>
            </w:r>
          </w:p>
        </w:tc>
      </w:tr>
    </w:tbl>
    <w:p w:rsidR="00000000" w:rsidRPr="001459CF" w:rsidP="001459CF">
      <w:pPr>
        <w:pStyle w:val="BodyText"/>
      </w:pPr>
    </w:p>
    <w:p w:rsidR="00000000" w:rsidRPr="001459CF" w:rsidP="001459CF">
      <w:pPr>
        <w:pStyle w:val="AllowPageBreak"/>
      </w:pPr>
    </w:p>
    <w:p w:rsidR="00000000" w:rsidRPr="001459CF" w:rsidP="001459CF">
      <w:pPr>
        <w:pStyle w:val="Heading1"/>
      </w:pPr>
      <w:bookmarkStart w:id="12" w:name="O_586050"/>
      <w:bookmarkEnd w:id="12"/>
      <w:r w:rsidRPr="001459CF">
        <w:t>Unit Sector(s)</w:t>
      </w:r>
    </w:p>
    <w:p w:rsidR="00000000" w:rsidRPr="001459CF" w:rsidP="001459CF">
      <w:pPr>
        <w:pStyle w:val="BodyText"/>
      </w:pPr>
      <w:r w:rsidRPr="001459CF">
        <w:t>Not applicable.</w:t>
      </w:r>
    </w:p>
    <w:p w:rsidR="00000000" w:rsidRPr="001459CF" w:rsidP="001459CF">
      <w:pPr>
        <w:pStyle w:val="AllowPageBreak"/>
      </w:pPr>
    </w:p>
    <w:p w:rsidR="00000000" w:rsidRPr="001459CF" w:rsidP="001459CF">
      <w:pPr>
        <w:pStyle w:val="Heading1"/>
      </w:pPr>
      <w:bookmarkStart w:id="13" w:name="O_586049"/>
      <w:bookmarkEnd w:id="13"/>
      <w:r w:rsidRPr="001459CF">
        <w:t>Competency Field</w:t>
      </w:r>
    </w:p>
    <w:tbl>
      <w:tblPr>
        <w:tblW w:w="0" w:type="auto"/>
        <w:tblLayout w:type="fixed"/>
        <w:tblCellMar>
          <w:left w:w="62" w:type="dxa"/>
          <w:right w:w="62" w:type="dxa"/>
        </w:tblCellMar>
        <w:tblLook w:val="0000"/>
      </w:tblPr>
      <w:tblGrid>
        <w:gridCol w:w="2700"/>
        <w:gridCol w:w="5760"/>
      </w:tblGrid>
      <w:tr w:rsidTr="00B81B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459CF">
            <w:pPr>
              <w:pStyle w:val="BodyText"/>
              <w:rPr>
                <w:lang w:val="en-NZ"/>
              </w:rPr>
            </w:pPr>
            <w:r w:rsidRPr="001459CF">
              <w:rPr>
                <w:rStyle w:val="SpecialBold"/>
              </w:rPr>
              <w:t xml:space="preserve">11) </w:t>
            </w:r>
          </w:p>
        </w:tc>
      </w:tr>
      <w:tr w:rsidTr="00B81B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59CF" w:rsidP="001459CF">
            <w:pPr>
              <w:pStyle w:val="BodyText"/>
            </w:pPr>
            <w:r w:rsidRPr="001459CF">
              <w:t>Electrical</w:t>
            </w:r>
          </w:p>
        </w:tc>
      </w:tr>
    </w:tbl>
    <w:p w:rsidR="00000000" w:rsidRPr="001459CF" w:rsidP="001459CF">
      <w:pPr>
        <w:pStyle w:val="BodyText"/>
      </w:pPr>
    </w:p>
    <w:p w:rsidR="00000000" w:rsidRPr="001459CF" w:rsidP="001459CF"/>
    <w:sectPr w:rsidSect="001459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CF" w:rsidRPr="00B81B76" w:rsidP="00B81B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B76" w:rsidP="001459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81B76" w:rsidP="001459C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81B76" w:rsidP="001459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CF" w:rsidRPr="00B81B76" w:rsidP="00B81B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B76" w:rsidRPr="002D2AF8" w:rsidP="001459CF">
    <w:pPr>
      <w:pStyle w:val="Header"/>
      <w:framePr w:wrap="around"/>
    </w:pPr>
    <w:r>
      <w:fldChar w:fldCharType="begin"/>
    </w:r>
    <w:r>
      <w:instrText xml:space="preserve"> TITLE   \* MERGEFORMAT </w:instrText>
    </w:r>
    <w:r>
      <w:fldChar w:fldCharType="separate"/>
    </w:r>
    <w:r>
      <w:t>UEENEEG151A Place and connect electrical coils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B81B76" w:rsidP="001459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7CA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F4BC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C486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9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9CF"/>
    <w:pPr>
      <w:spacing w:before="360" w:after="60"/>
      <w:outlineLvl w:val="0"/>
    </w:pPr>
    <w:rPr>
      <w:sz w:val="32"/>
    </w:rPr>
  </w:style>
  <w:style w:type="paragraph" w:styleId="Heading2">
    <w:name w:val="heading 2"/>
    <w:basedOn w:val="HeadingBase"/>
    <w:next w:val="BodyText"/>
    <w:link w:val="Heading2Char"/>
    <w:qFormat/>
    <w:rsid w:val="001459CF"/>
    <w:pPr>
      <w:keepLines/>
      <w:spacing w:before="240" w:after="120"/>
      <w:outlineLvl w:val="1"/>
    </w:pPr>
    <w:rPr>
      <w:sz w:val="28"/>
      <w:szCs w:val="40"/>
    </w:rPr>
  </w:style>
  <w:style w:type="paragraph" w:styleId="Heading3">
    <w:name w:val="heading 3"/>
    <w:basedOn w:val="HeadingBase"/>
    <w:next w:val="BodyText"/>
    <w:link w:val="Heading3Char"/>
    <w:qFormat/>
    <w:rsid w:val="001459CF"/>
    <w:pPr>
      <w:spacing w:before="180" w:after="120"/>
      <w:outlineLvl w:val="2"/>
    </w:pPr>
    <w:rPr>
      <w:spacing w:val="-10"/>
      <w:kern w:val="32"/>
    </w:rPr>
  </w:style>
  <w:style w:type="paragraph" w:styleId="Heading4">
    <w:name w:val="heading 4"/>
    <w:basedOn w:val="HeadingBase"/>
    <w:next w:val="BodyText"/>
    <w:link w:val="Heading4Char"/>
    <w:qFormat/>
    <w:rsid w:val="001459CF"/>
    <w:pPr>
      <w:spacing w:before="160" w:after="120"/>
      <w:outlineLvl w:val="3"/>
    </w:pPr>
    <w:rPr>
      <w:sz w:val="22"/>
    </w:rPr>
  </w:style>
  <w:style w:type="paragraph" w:styleId="Heading5">
    <w:name w:val="heading 5"/>
    <w:basedOn w:val="HeadingBase"/>
    <w:next w:val="Normal"/>
    <w:link w:val="Heading5Char"/>
    <w:qFormat/>
    <w:rsid w:val="001459CF"/>
    <w:pPr>
      <w:spacing w:before="80"/>
      <w:outlineLvl w:val="4"/>
    </w:pPr>
    <w:rPr>
      <w:color w:val="918585"/>
      <w:sz w:val="20"/>
    </w:rPr>
  </w:style>
  <w:style w:type="paragraph" w:styleId="Heading6">
    <w:name w:val="heading 6"/>
    <w:basedOn w:val="HeadingBase"/>
    <w:next w:val="Normal"/>
    <w:link w:val="Heading6Char"/>
    <w:qFormat/>
    <w:rsid w:val="001459CF"/>
    <w:pPr>
      <w:spacing w:before="60"/>
      <w:outlineLvl w:val="5"/>
    </w:pPr>
    <w:rPr>
      <w:color w:val="918585"/>
      <w:sz w:val="20"/>
    </w:rPr>
  </w:style>
  <w:style w:type="paragraph" w:styleId="Heading7">
    <w:name w:val="heading 7"/>
    <w:basedOn w:val="Normal"/>
    <w:next w:val="Normal"/>
    <w:link w:val="Heading7Char"/>
    <w:qFormat/>
    <w:rsid w:val="001459CF"/>
    <w:pPr>
      <w:ind w:left="720"/>
      <w:outlineLvl w:val="6"/>
    </w:pPr>
    <w:rPr>
      <w:i/>
    </w:rPr>
  </w:style>
  <w:style w:type="paragraph" w:styleId="Heading8">
    <w:name w:val="heading 8"/>
    <w:basedOn w:val="Normal"/>
    <w:next w:val="Normal"/>
    <w:link w:val="Heading8Char"/>
    <w:qFormat/>
    <w:rsid w:val="001459CF"/>
    <w:pPr>
      <w:ind w:left="720"/>
      <w:outlineLvl w:val="7"/>
    </w:pPr>
    <w:rPr>
      <w:i/>
    </w:rPr>
  </w:style>
  <w:style w:type="paragraph" w:styleId="Heading9">
    <w:name w:val="heading 9"/>
    <w:basedOn w:val="Normal"/>
    <w:next w:val="Normal"/>
    <w:link w:val="Heading9Char"/>
    <w:qFormat/>
    <w:rsid w:val="001459CF"/>
    <w:pPr>
      <w:ind w:left="720"/>
      <w:outlineLvl w:val="8"/>
    </w:pPr>
    <w:rPr>
      <w:i/>
    </w:rPr>
  </w:style>
  <w:style w:type="character" w:default="1" w:styleId="DefaultParagraphFont">
    <w:name w:val="Default Paragraph Font"/>
    <w:uiPriority w:val="1"/>
    <w:unhideWhenUsed/>
    <w:rsid w:val="001459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9CF"/>
  </w:style>
  <w:style w:type="character" w:customStyle="1" w:styleId="Heading1Char">
    <w:name w:val="Heading 1 Char"/>
    <w:basedOn w:val="DefaultParagraphFont"/>
    <w:link w:val="Heading1"/>
    <w:rsid w:val="001459CF"/>
    <w:rPr>
      <w:rFonts w:ascii="Times New Roman" w:eastAsia="Times New Roman" w:hAnsi="Times New Roman" w:cs="Times New Roman"/>
      <w:b/>
      <w:sz w:val="32"/>
      <w:szCs w:val="20"/>
      <w:lang w:eastAsia="en-US"/>
    </w:rPr>
  </w:style>
  <w:style w:type="paragraph" w:styleId="BodyText">
    <w:name w:val="Body Text"/>
    <w:basedOn w:val="Normal"/>
    <w:link w:val="BodyTextChar"/>
    <w:rsid w:val="001459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59CF"/>
    <w:rPr>
      <w:rFonts w:ascii="Times New Roman" w:eastAsia="Times New Roman" w:hAnsi="Times New Roman" w:cs="Times New Roman"/>
      <w:sz w:val="24"/>
      <w:lang w:eastAsia="en-US"/>
    </w:rPr>
  </w:style>
  <w:style w:type="paragraph" w:styleId="ListBullet">
    <w:name w:val="List Bullet"/>
    <w:basedOn w:val="List"/>
    <w:rsid w:val="001459CF"/>
    <w:pPr>
      <w:numPr>
        <w:numId w:val="13"/>
      </w:numPr>
      <w:tabs>
        <w:tab w:val="clear" w:pos="340"/>
      </w:tabs>
      <w:spacing w:before="40" w:after="40"/>
    </w:pPr>
  </w:style>
  <w:style w:type="character" w:customStyle="1" w:styleId="SpecialBold">
    <w:name w:val="Special Bold"/>
    <w:basedOn w:val="DefaultParagraphFont"/>
    <w:rsid w:val="001459CF"/>
    <w:rPr>
      <w:b/>
      <w:spacing w:val="0"/>
    </w:rPr>
  </w:style>
  <w:style w:type="paragraph" w:styleId="ListBullet2">
    <w:name w:val="List Bullet 2"/>
    <w:basedOn w:val="List2"/>
    <w:rsid w:val="001459CF"/>
    <w:pPr>
      <w:numPr>
        <w:numId w:val="14"/>
      </w:numPr>
      <w:tabs>
        <w:tab w:val="clear" w:pos="680"/>
      </w:tabs>
    </w:pPr>
  </w:style>
  <w:style w:type="paragraph" w:customStyle="1" w:styleId="SuperHeading">
    <w:name w:val="SuperHeading"/>
    <w:basedOn w:val="Normal"/>
    <w:rsid w:val="001459CF"/>
    <w:pPr>
      <w:spacing w:before="240" w:after="120"/>
      <w:outlineLvl w:val="0"/>
    </w:pPr>
    <w:rPr>
      <w:rFonts w:ascii="Times New Roman" w:hAnsi="Times New Roman"/>
      <w:b/>
      <w:sz w:val="32"/>
    </w:rPr>
  </w:style>
  <w:style w:type="paragraph" w:customStyle="1" w:styleId="AllowPageBreak">
    <w:name w:val="AllowPageBreak"/>
    <w:rsid w:val="001459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59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9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9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9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9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9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9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9CF"/>
    <w:rPr>
      <w:rFonts w:ascii="Courier New" w:eastAsia="Times New Roman" w:hAnsi="Courier New" w:cs="Times New Roman"/>
      <w:i/>
      <w:szCs w:val="20"/>
      <w:lang w:eastAsia="en-US"/>
    </w:rPr>
  </w:style>
  <w:style w:type="paragraph" w:customStyle="1" w:styleId="HeadingBase">
    <w:name w:val="Heading Base"/>
    <w:rsid w:val="001459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9CF"/>
    <w:pPr>
      <w:tabs>
        <w:tab w:val="right" w:leader="dot" w:pos="9072"/>
      </w:tabs>
      <w:ind w:left="567"/>
    </w:pPr>
    <w:rPr>
      <w:szCs w:val="22"/>
    </w:rPr>
  </w:style>
  <w:style w:type="paragraph" w:customStyle="1" w:styleId="TOCBase">
    <w:name w:val="TOC Base"/>
    <w:rsid w:val="001459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9CF"/>
    <w:pPr>
      <w:tabs>
        <w:tab w:val="right" w:leader="dot" w:pos="9072"/>
      </w:tabs>
      <w:spacing w:before="40" w:after="40"/>
      <w:ind w:left="284"/>
    </w:pPr>
    <w:rPr>
      <w:rFonts w:ascii="Times New Roman" w:hAnsi="Times New Roman"/>
    </w:rPr>
  </w:style>
  <w:style w:type="paragraph" w:styleId="TOC1">
    <w:name w:val="toc 1"/>
    <w:basedOn w:val="TOCBase"/>
    <w:next w:val="Normal"/>
    <w:rsid w:val="001459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9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9CF"/>
    <w:rPr>
      <w:rFonts w:ascii="Times New Roman" w:eastAsia="Times New Roman" w:hAnsi="Times New Roman" w:cs="Times New Roman"/>
      <w:sz w:val="16"/>
      <w:lang w:eastAsia="en-US"/>
    </w:rPr>
  </w:style>
  <w:style w:type="paragraph" w:styleId="Title">
    <w:name w:val="Title"/>
    <w:basedOn w:val="HeadingBase"/>
    <w:link w:val="TitleChar"/>
    <w:qFormat/>
    <w:rsid w:val="001459CF"/>
    <w:pPr>
      <w:spacing w:before="5040"/>
      <w:jc w:val="center"/>
    </w:pPr>
    <w:rPr>
      <w:sz w:val="48"/>
      <w:szCs w:val="72"/>
      <w:lang w:val="en-US"/>
    </w:rPr>
  </w:style>
  <w:style w:type="character" w:customStyle="1" w:styleId="TitleChar">
    <w:name w:val="Title Char"/>
    <w:basedOn w:val="DefaultParagraphFont"/>
    <w:link w:val="Title"/>
    <w:rsid w:val="001459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9CF"/>
    <w:pPr>
      <w:tabs>
        <w:tab w:val="left" w:pos="3600"/>
        <w:tab w:val="left" w:pos="3958"/>
      </w:tabs>
    </w:pPr>
  </w:style>
  <w:style w:type="paragraph" w:styleId="List">
    <w:name w:val="List"/>
    <w:basedOn w:val="BodyText"/>
    <w:next w:val="BodyText"/>
    <w:rsid w:val="001459CF"/>
    <w:pPr>
      <w:tabs>
        <w:tab w:val="left" w:pos="340"/>
      </w:tabs>
      <w:spacing w:before="60" w:after="60"/>
      <w:ind w:left="340" w:hanging="340"/>
    </w:pPr>
  </w:style>
  <w:style w:type="paragraph" w:customStyle="1" w:styleId="Note">
    <w:name w:val="Note"/>
    <w:basedOn w:val="BodyText"/>
    <w:rsid w:val="001459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9CF"/>
    <w:pPr>
      <w:framePr w:wrap="auto" w:hAnchor="text" w:y="6049"/>
    </w:pPr>
    <w:rPr>
      <w:color w:val="000000"/>
      <w:sz w:val="40"/>
    </w:rPr>
  </w:style>
  <w:style w:type="paragraph" w:customStyle="1" w:styleId="TOCTitle">
    <w:name w:val="TOCTitle"/>
    <w:basedOn w:val="Heading1"/>
    <w:rsid w:val="001459CF"/>
    <w:pPr>
      <w:spacing w:after="240"/>
      <w:jc w:val="center"/>
      <w:outlineLvl w:val="9"/>
    </w:pPr>
    <w:rPr>
      <w:caps/>
    </w:rPr>
  </w:style>
  <w:style w:type="paragraph" w:customStyle="1" w:styleId="Version">
    <w:name w:val="Version"/>
    <w:rsid w:val="001459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59CF"/>
    <w:pPr>
      <w:keepNext w:val="0"/>
      <w:tabs>
        <w:tab w:val="right" w:pos="4176"/>
      </w:tabs>
      <w:ind w:left="198" w:hanging="198"/>
    </w:pPr>
    <w:rPr>
      <w:rFonts w:ascii="Garamond" w:hAnsi="Garamond"/>
    </w:rPr>
  </w:style>
  <w:style w:type="paragraph" w:styleId="IndexHeading">
    <w:name w:val="index heading"/>
    <w:basedOn w:val="Normal"/>
    <w:next w:val="Index1"/>
    <w:semiHidden/>
    <w:rsid w:val="001459CF"/>
    <w:pPr>
      <w:spacing w:before="120" w:after="120"/>
    </w:pPr>
    <w:rPr>
      <w:rFonts w:ascii="Arial" w:hAnsi="Arial"/>
      <w:b/>
      <w:color w:val="918585"/>
      <w:sz w:val="24"/>
    </w:rPr>
  </w:style>
  <w:style w:type="paragraph" w:styleId="Header">
    <w:name w:val="header"/>
    <w:basedOn w:val="Normal"/>
    <w:link w:val="HeaderChar"/>
    <w:rsid w:val="001459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9CF"/>
    <w:rPr>
      <w:rFonts w:ascii="Times New Roman" w:eastAsia="Times New Roman" w:hAnsi="Times New Roman" w:cs="Times New Roman"/>
      <w:sz w:val="16"/>
      <w:szCs w:val="20"/>
      <w:lang w:val="en-GB" w:eastAsia="en-US"/>
    </w:rPr>
  </w:style>
  <w:style w:type="paragraph" w:customStyle="1" w:styleId="Chapter">
    <w:name w:val="Chapter"/>
    <w:basedOn w:val="Normal"/>
    <w:rsid w:val="001459CF"/>
    <w:pPr>
      <w:spacing w:before="240"/>
    </w:pPr>
    <w:rPr>
      <w:rFonts w:ascii="Times New Roman" w:hAnsi="Times New Roman"/>
      <w:smallCaps/>
      <w:spacing w:val="80"/>
      <w:sz w:val="28"/>
    </w:rPr>
  </w:style>
  <w:style w:type="paragraph" w:customStyle="1" w:styleId="InChapter">
    <w:name w:val="InChapter"/>
    <w:basedOn w:val="Heading3"/>
    <w:rsid w:val="001459CF"/>
    <w:pPr>
      <w:spacing w:after="240"/>
      <w:outlineLvl w:val="9"/>
    </w:pPr>
    <w:rPr>
      <w:noProof/>
    </w:rPr>
  </w:style>
  <w:style w:type="paragraph" w:styleId="Index2">
    <w:name w:val="index 2"/>
    <w:basedOn w:val="Normal"/>
    <w:next w:val="Normal"/>
    <w:semiHidden/>
    <w:rsid w:val="001459CF"/>
    <w:pPr>
      <w:tabs>
        <w:tab w:val="right" w:pos="4176"/>
      </w:tabs>
      <w:ind w:left="568" w:hanging="284"/>
    </w:pPr>
    <w:rPr>
      <w:rFonts w:ascii="Garamond" w:hAnsi="Garamond"/>
    </w:rPr>
  </w:style>
  <w:style w:type="paragraph" w:customStyle="1" w:styleId="Byline">
    <w:name w:val="Byline"/>
    <w:rsid w:val="001459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9CF"/>
    <w:pPr>
      <w:tabs>
        <w:tab w:val="clear" w:pos="3600"/>
        <w:tab w:val="clear" w:pos="3958"/>
      </w:tabs>
      <w:jc w:val="right"/>
    </w:pPr>
  </w:style>
  <w:style w:type="character" w:styleId="Emphasis">
    <w:name w:val="Emphasis"/>
    <w:basedOn w:val="DefaultParagraphFont"/>
    <w:qFormat/>
    <w:rsid w:val="001459CF"/>
    <w:rPr>
      <w:i/>
    </w:rPr>
  </w:style>
  <w:style w:type="paragraph" w:styleId="Caption">
    <w:name w:val="caption"/>
    <w:basedOn w:val="BodyText"/>
    <w:next w:val="Normal"/>
    <w:qFormat/>
    <w:rsid w:val="001459CF"/>
    <w:pPr>
      <w:framePr w:w="2268" w:hSpace="181" w:vSpace="181" w:wrap="around" w:vAnchor="text" w:hAnchor="page" w:x="1135" w:y="285" w:anchorLock="1"/>
    </w:pPr>
    <w:rPr>
      <w:i/>
    </w:rPr>
  </w:style>
  <w:style w:type="paragraph" w:customStyle="1" w:styleId="MiniTOCTitle">
    <w:name w:val="MiniTOCTitle"/>
    <w:basedOn w:val="Heading4"/>
    <w:rsid w:val="001459CF"/>
    <w:pPr>
      <w:spacing w:before="240"/>
      <w:outlineLvl w:val="9"/>
    </w:pPr>
    <w:rPr>
      <w:noProof/>
      <w:sz w:val="24"/>
    </w:rPr>
  </w:style>
  <w:style w:type="paragraph" w:customStyle="1" w:styleId="MiniTOCItem">
    <w:name w:val="MiniTOCItem"/>
    <w:basedOn w:val="ListBullet"/>
    <w:rsid w:val="001459CF"/>
    <w:pPr>
      <w:numPr>
        <w:numId w:val="0"/>
      </w:numPr>
      <w:tabs>
        <w:tab w:val="right" w:leader="dot" w:pos="6521"/>
      </w:tabs>
      <w:spacing w:before="0" w:after="0"/>
    </w:pPr>
  </w:style>
  <w:style w:type="paragraph" w:customStyle="1" w:styleId="TOFTitle">
    <w:name w:val="TOFTitle"/>
    <w:basedOn w:val="TOCTitle"/>
    <w:rsid w:val="001459CF"/>
  </w:style>
  <w:style w:type="paragraph" w:styleId="TableofFigures">
    <w:name w:val="table of figures"/>
    <w:basedOn w:val="Normal"/>
    <w:next w:val="Normal"/>
    <w:semiHidden/>
    <w:rsid w:val="001459CF"/>
    <w:pPr>
      <w:tabs>
        <w:tab w:val="right" w:leader="dot" w:pos="9072"/>
      </w:tabs>
      <w:ind w:left="970" w:hanging="403"/>
    </w:pPr>
    <w:rPr>
      <w:rFonts w:ascii="Times New Roman" w:hAnsi="Times New Roman"/>
      <w:b/>
    </w:rPr>
  </w:style>
  <w:style w:type="paragraph" w:styleId="ListNumber">
    <w:name w:val="List Number"/>
    <w:basedOn w:val="List"/>
    <w:rsid w:val="001459CF"/>
    <w:pPr>
      <w:numPr>
        <w:numId w:val="11"/>
      </w:numPr>
    </w:pPr>
  </w:style>
  <w:style w:type="character" w:customStyle="1" w:styleId="WingdingSymbols">
    <w:name w:val="Wingding Symbols"/>
    <w:rsid w:val="001459CF"/>
    <w:rPr>
      <w:rFonts w:ascii="Wingdings" w:hAnsi="Wingdings"/>
    </w:rPr>
  </w:style>
  <w:style w:type="paragraph" w:customStyle="1" w:styleId="TableHeading">
    <w:name w:val="Table Heading"/>
    <w:basedOn w:val="HeadingBase"/>
    <w:rsid w:val="001459CF"/>
    <w:pPr>
      <w:keepLines/>
      <w:pBdr>
        <w:bottom w:val="single" w:sz="6" w:space="1" w:color="918585"/>
      </w:pBdr>
      <w:spacing w:before="240"/>
    </w:pPr>
  </w:style>
  <w:style w:type="character" w:customStyle="1" w:styleId="HotSpot">
    <w:name w:val="HotSpot"/>
    <w:rsid w:val="001459CF"/>
    <w:rPr>
      <w:color w:val="0033CC"/>
      <w:u w:val="none"/>
    </w:rPr>
  </w:style>
  <w:style w:type="paragraph" w:customStyle="1" w:styleId="BodyTextRight">
    <w:name w:val="Body Text Right"/>
    <w:basedOn w:val="BodyText"/>
    <w:rsid w:val="001459CF"/>
    <w:pPr>
      <w:spacing w:before="0" w:after="0"/>
      <w:jc w:val="right"/>
    </w:pPr>
  </w:style>
  <w:style w:type="paragraph" w:styleId="Index3">
    <w:name w:val="index 3"/>
    <w:basedOn w:val="ListNumber2"/>
    <w:next w:val="Normal"/>
    <w:semiHidden/>
    <w:rsid w:val="001459CF"/>
    <w:pPr>
      <w:numPr>
        <w:numId w:val="0"/>
      </w:numPr>
      <w:tabs>
        <w:tab w:val="right" w:leader="dot" w:pos="4176"/>
      </w:tabs>
    </w:pPr>
  </w:style>
  <w:style w:type="paragraph" w:styleId="ListNumber2">
    <w:name w:val="List Number 2"/>
    <w:basedOn w:val="List2"/>
    <w:rsid w:val="001459CF"/>
    <w:pPr>
      <w:numPr>
        <w:numId w:val="10"/>
      </w:numPr>
      <w:tabs>
        <w:tab w:val="clear" w:pos="1060"/>
      </w:tabs>
    </w:pPr>
  </w:style>
  <w:style w:type="paragraph" w:customStyle="1" w:styleId="MarginNote">
    <w:name w:val="Margin Note"/>
    <w:basedOn w:val="BodyText"/>
    <w:rsid w:val="001459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9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9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9CF"/>
    <w:rPr>
      <w:sz w:val="32"/>
    </w:rPr>
  </w:style>
  <w:style w:type="paragraph" w:customStyle="1" w:styleId="HeadingProcedure">
    <w:name w:val="Heading Procedure"/>
    <w:basedOn w:val="HeadingBase"/>
    <w:next w:val="Normal"/>
    <w:rsid w:val="001459CF"/>
    <w:pPr>
      <w:tabs>
        <w:tab w:val="left" w:pos="0"/>
      </w:tabs>
      <w:spacing w:before="120" w:after="60"/>
    </w:pPr>
    <w:rPr>
      <w:i/>
      <w:color w:val="918585"/>
      <w:sz w:val="22"/>
    </w:rPr>
  </w:style>
  <w:style w:type="paragraph" w:customStyle="1" w:styleId="TableBodyText">
    <w:name w:val="Table Body Text"/>
    <w:basedOn w:val="BodyText"/>
    <w:rsid w:val="001459CF"/>
    <w:pPr>
      <w:spacing w:before="60" w:after="60"/>
    </w:pPr>
  </w:style>
  <w:style w:type="paragraph" w:styleId="ListContinue">
    <w:name w:val="List Continue"/>
    <w:basedOn w:val="List"/>
    <w:rsid w:val="001459CF"/>
    <w:pPr>
      <w:ind w:firstLine="0"/>
    </w:pPr>
  </w:style>
  <w:style w:type="paragraph" w:customStyle="1" w:styleId="ListNote">
    <w:name w:val="List Note"/>
    <w:basedOn w:val="List"/>
    <w:rsid w:val="001459CF"/>
    <w:pPr>
      <w:pBdr>
        <w:top w:val="single" w:sz="6" w:space="2" w:color="918585"/>
        <w:bottom w:val="single" w:sz="6" w:space="2" w:color="918585"/>
      </w:pBdr>
      <w:tabs>
        <w:tab w:val="left" w:pos="1021"/>
      </w:tabs>
      <w:ind w:firstLine="0"/>
    </w:pPr>
  </w:style>
  <w:style w:type="paragraph" w:customStyle="1" w:styleId="Warning">
    <w:name w:val="Warning"/>
    <w:basedOn w:val="BodyText"/>
    <w:rsid w:val="001459CF"/>
    <w:pPr>
      <w:shd w:val="clear" w:color="auto" w:fill="D9D9D9"/>
      <w:tabs>
        <w:tab w:val="left" w:pos="992"/>
      </w:tabs>
      <w:ind w:left="119" w:right="119"/>
    </w:pPr>
    <w:rPr>
      <w:sz w:val="20"/>
    </w:rPr>
  </w:style>
  <w:style w:type="paragraph" w:customStyle="1" w:styleId="MarginIcons">
    <w:name w:val="Margin Icons"/>
    <w:basedOn w:val="BodyText"/>
    <w:rsid w:val="001459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9CF"/>
    <w:rPr>
      <w:rFonts w:ascii="Courier New" w:hAnsi="Courier New"/>
    </w:rPr>
  </w:style>
  <w:style w:type="paragraph" w:customStyle="1" w:styleId="NoteBullet">
    <w:name w:val="Note Bullet"/>
    <w:basedOn w:val="Note"/>
    <w:rsid w:val="001459CF"/>
    <w:pPr>
      <w:tabs>
        <w:tab w:val="clear" w:pos="680"/>
      </w:tabs>
      <w:spacing w:before="60" w:after="60"/>
    </w:pPr>
  </w:style>
  <w:style w:type="paragraph" w:customStyle="1" w:styleId="SubHeading2">
    <w:name w:val="SubHeading2"/>
    <w:basedOn w:val="HeadingBase"/>
    <w:rsid w:val="001459CF"/>
    <w:pPr>
      <w:spacing w:before="240" w:after="60"/>
    </w:pPr>
    <w:rPr>
      <w:sz w:val="20"/>
    </w:rPr>
  </w:style>
  <w:style w:type="paragraph" w:customStyle="1" w:styleId="SubHeading1">
    <w:name w:val="SubHeading1"/>
    <w:basedOn w:val="HeadingBase"/>
    <w:rsid w:val="001459CF"/>
    <w:pPr>
      <w:spacing w:before="240" w:after="60"/>
    </w:pPr>
    <w:rPr>
      <w:color w:val="918585"/>
      <w:sz w:val="22"/>
    </w:rPr>
  </w:style>
  <w:style w:type="paragraph" w:customStyle="1" w:styleId="SideHeading">
    <w:name w:val="Side Heading"/>
    <w:basedOn w:val="HeadingBase"/>
    <w:rsid w:val="001459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9CF"/>
    <w:pPr>
      <w:numPr>
        <w:numId w:val="12"/>
      </w:numPr>
    </w:pPr>
  </w:style>
  <w:style w:type="paragraph" w:styleId="PlainText">
    <w:name w:val="Plain Text"/>
    <w:basedOn w:val="Normal"/>
    <w:link w:val="PlainTextChar"/>
    <w:rsid w:val="001459CF"/>
    <w:rPr>
      <w:sz w:val="20"/>
    </w:rPr>
  </w:style>
  <w:style w:type="character" w:customStyle="1" w:styleId="PlainTextChar">
    <w:name w:val="Plain Text Char"/>
    <w:basedOn w:val="DefaultParagraphFont"/>
    <w:link w:val="PlainText"/>
    <w:rsid w:val="001459CF"/>
    <w:rPr>
      <w:rFonts w:ascii="Courier New" w:eastAsia="Times New Roman" w:hAnsi="Courier New" w:cs="Times New Roman"/>
      <w:sz w:val="20"/>
      <w:szCs w:val="20"/>
      <w:lang w:eastAsia="en-US"/>
    </w:rPr>
  </w:style>
  <w:style w:type="character" w:customStyle="1" w:styleId="MenuOption">
    <w:name w:val="Menu Option"/>
    <w:basedOn w:val="DefaultParagraphFont"/>
    <w:rsid w:val="001459CF"/>
    <w:rPr>
      <w:b/>
      <w:smallCaps/>
    </w:rPr>
  </w:style>
  <w:style w:type="paragraph" w:customStyle="1" w:styleId="TableListNumber">
    <w:name w:val="Table List Number"/>
    <w:basedOn w:val="ListNumber"/>
    <w:rsid w:val="001459CF"/>
    <w:pPr>
      <w:numPr>
        <w:numId w:val="0"/>
      </w:numPr>
    </w:pPr>
  </w:style>
  <w:style w:type="paragraph" w:styleId="TOC4">
    <w:name w:val="toc 4"/>
    <w:basedOn w:val="TOCBase"/>
    <w:next w:val="Normal"/>
    <w:semiHidden/>
    <w:rsid w:val="001459CF"/>
    <w:pPr>
      <w:tabs>
        <w:tab w:val="right" w:leader="dot" w:pos="9071"/>
      </w:tabs>
      <w:ind w:left="1701"/>
    </w:pPr>
  </w:style>
  <w:style w:type="paragraph" w:customStyle="1" w:styleId="ListAlpha">
    <w:name w:val="List Alpha"/>
    <w:basedOn w:val="List"/>
    <w:rsid w:val="001459CF"/>
    <w:pPr>
      <w:numPr>
        <w:numId w:val="9"/>
      </w:numPr>
    </w:pPr>
  </w:style>
  <w:style w:type="paragraph" w:customStyle="1" w:styleId="ListAlpha2">
    <w:name w:val="List Alpha 2"/>
    <w:basedOn w:val="List2"/>
    <w:rsid w:val="001459CF"/>
    <w:pPr>
      <w:numPr>
        <w:numId w:val="8"/>
      </w:numPr>
    </w:pPr>
  </w:style>
  <w:style w:type="paragraph" w:styleId="List2">
    <w:name w:val="List 2"/>
    <w:basedOn w:val="BodyText"/>
    <w:rsid w:val="001459CF"/>
    <w:pPr>
      <w:tabs>
        <w:tab w:val="left" w:pos="680"/>
      </w:tabs>
      <w:spacing w:before="60" w:after="60"/>
      <w:ind w:left="680" w:hanging="340"/>
    </w:pPr>
  </w:style>
  <w:style w:type="paragraph" w:styleId="List3">
    <w:name w:val="List 3"/>
    <w:basedOn w:val="BodyText"/>
    <w:rsid w:val="001459CF"/>
    <w:pPr>
      <w:tabs>
        <w:tab w:val="left" w:pos="1021"/>
      </w:tabs>
      <w:spacing w:before="60" w:after="60"/>
      <w:ind w:left="1020" w:hanging="340"/>
    </w:pPr>
  </w:style>
  <w:style w:type="paragraph" w:styleId="List4">
    <w:name w:val="List 4"/>
    <w:basedOn w:val="BodyText"/>
    <w:rsid w:val="001459CF"/>
    <w:pPr>
      <w:tabs>
        <w:tab w:val="left" w:pos="1361"/>
      </w:tabs>
      <w:spacing w:before="60" w:after="60"/>
      <w:ind w:left="1361" w:hanging="340"/>
    </w:pPr>
  </w:style>
  <w:style w:type="paragraph" w:styleId="List5">
    <w:name w:val="List 5"/>
    <w:basedOn w:val="BodyText"/>
    <w:rsid w:val="001459CF"/>
    <w:pPr>
      <w:tabs>
        <w:tab w:val="left" w:pos="1701"/>
      </w:tabs>
      <w:spacing w:before="60" w:after="60"/>
      <w:ind w:left="1701" w:hanging="340"/>
    </w:pPr>
  </w:style>
  <w:style w:type="paragraph" w:styleId="ListBullet3">
    <w:name w:val="List Bullet 3"/>
    <w:basedOn w:val="List3"/>
    <w:rsid w:val="001459CF"/>
    <w:pPr>
      <w:numPr>
        <w:numId w:val="15"/>
      </w:numPr>
      <w:tabs>
        <w:tab w:val="clear" w:pos="1021"/>
      </w:tabs>
      <w:ind w:left="1037" w:hanging="357"/>
    </w:pPr>
  </w:style>
  <w:style w:type="paragraph" w:styleId="ListBullet4">
    <w:name w:val="List Bullet 4"/>
    <w:basedOn w:val="List4"/>
    <w:rsid w:val="001459CF"/>
    <w:pPr>
      <w:numPr>
        <w:numId w:val="3"/>
      </w:numPr>
    </w:pPr>
  </w:style>
  <w:style w:type="paragraph" w:styleId="ListBullet5">
    <w:name w:val="List Bullet 5"/>
    <w:basedOn w:val="List5"/>
    <w:rsid w:val="001459CF"/>
    <w:pPr>
      <w:numPr>
        <w:numId w:val="4"/>
      </w:numPr>
    </w:pPr>
  </w:style>
  <w:style w:type="paragraph" w:styleId="ListContinue2">
    <w:name w:val="List Continue 2"/>
    <w:basedOn w:val="List2"/>
    <w:rsid w:val="001459CF"/>
    <w:pPr>
      <w:ind w:firstLine="0"/>
    </w:pPr>
  </w:style>
  <w:style w:type="paragraph" w:styleId="ListContinue3">
    <w:name w:val="List Continue 3"/>
    <w:basedOn w:val="List3"/>
    <w:rsid w:val="001459CF"/>
    <w:pPr>
      <w:ind w:left="1021" w:firstLine="0"/>
    </w:pPr>
  </w:style>
  <w:style w:type="paragraph" w:styleId="ListContinue4">
    <w:name w:val="List Continue 4"/>
    <w:basedOn w:val="List4"/>
    <w:rsid w:val="001459CF"/>
    <w:pPr>
      <w:ind w:firstLine="0"/>
    </w:pPr>
  </w:style>
  <w:style w:type="paragraph" w:styleId="ListContinue5">
    <w:name w:val="List Continue 5"/>
    <w:basedOn w:val="List5"/>
    <w:rsid w:val="001459CF"/>
    <w:pPr>
      <w:ind w:firstLine="0"/>
    </w:pPr>
  </w:style>
  <w:style w:type="paragraph" w:styleId="ListNumber3">
    <w:name w:val="List Number 3"/>
    <w:basedOn w:val="List3"/>
    <w:rsid w:val="001459CF"/>
    <w:pPr>
      <w:numPr>
        <w:numId w:val="5"/>
      </w:numPr>
    </w:pPr>
  </w:style>
  <w:style w:type="paragraph" w:styleId="ListNumber4">
    <w:name w:val="List Number 4"/>
    <w:basedOn w:val="List4"/>
    <w:rsid w:val="001459CF"/>
    <w:pPr>
      <w:numPr>
        <w:numId w:val="6"/>
      </w:numPr>
    </w:pPr>
  </w:style>
  <w:style w:type="paragraph" w:styleId="ListNumber5">
    <w:name w:val="List Number 5"/>
    <w:basedOn w:val="List5"/>
    <w:rsid w:val="001459CF"/>
    <w:pPr>
      <w:numPr>
        <w:numId w:val="7"/>
      </w:numPr>
    </w:pPr>
  </w:style>
  <w:style w:type="paragraph" w:styleId="BlockText">
    <w:name w:val="Block Text"/>
    <w:basedOn w:val="Normal"/>
    <w:rsid w:val="001459CF"/>
    <w:pPr>
      <w:spacing w:after="120"/>
      <w:ind w:left="1440" w:right="1440"/>
    </w:pPr>
  </w:style>
  <w:style w:type="character" w:customStyle="1" w:styleId="Subscript">
    <w:name w:val="Subscript"/>
    <w:basedOn w:val="DefaultParagraphFont"/>
    <w:rsid w:val="001459CF"/>
    <w:rPr>
      <w:sz w:val="16"/>
      <w:vertAlign w:val="subscript"/>
    </w:rPr>
  </w:style>
  <w:style w:type="character" w:customStyle="1" w:styleId="Superscript">
    <w:name w:val="Superscript"/>
    <w:basedOn w:val="DefaultParagraphFont"/>
    <w:rsid w:val="001459CF"/>
    <w:rPr>
      <w:sz w:val="16"/>
      <w:vertAlign w:val="superscript"/>
    </w:rPr>
  </w:style>
  <w:style w:type="character" w:customStyle="1" w:styleId="Symbols">
    <w:name w:val="Symbols"/>
    <w:basedOn w:val="DefaultParagraphFont"/>
    <w:rsid w:val="001459CF"/>
    <w:rPr>
      <w:rFonts w:ascii="Symbol" w:hAnsi="Symbol"/>
    </w:rPr>
  </w:style>
  <w:style w:type="character" w:customStyle="1" w:styleId="MenuOptions">
    <w:name w:val="Menu Options"/>
    <w:basedOn w:val="DefaultParagraphFont"/>
    <w:rsid w:val="001459CF"/>
    <w:rPr>
      <w:rFonts w:ascii="Arial Narrow" w:hAnsi="Arial Narrow"/>
      <w:smallCaps/>
    </w:rPr>
  </w:style>
  <w:style w:type="character" w:customStyle="1" w:styleId="Buttons">
    <w:name w:val="Buttons"/>
    <w:basedOn w:val="DefaultParagraphFont"/>
    <w:rsid w:val="001459CF"/>
    <w:rPr>
      <w:b/>
    </w:rPr>
  </w:style>
  <w:style w:type="character" w:customStyle="1" w:styleId="Underlined">
    <w:name w:val="Underlined"/>
    <w:basedOn w:val="DefaultParagraphFont"/>
    <w:rsid w:val="001459CF"/>
    <w:rPr>
      <w:u w:val="single"/>
    </w:rPr>
  </w:style>
  <w:style w:type="paragraph" w:customStyle="1" w:styleId="TableBodyTextRight">
    <w:name w:val="Table Body Text Right"/>
    <w:basedOn w:val="TableBodyText"/>
    <w:rsid w:val="001459CF"/>
    <w:pPr>
      <w:widowControl w:val="0"/>
      <w:autoSpaceDE w:val="0"/>
      <w:autoSpaceDN w:val="0"/>
      <w:adjustRightInd w:val="0"/>
      <w:jc w:val="right"/>
    </w:pPr>
    <w:rPr>
      <w:rFonts w:cs="Arial"/>
      <w:szCs w:val="18"/>
    </w:rPr>
  </w:style>
  <w:style w:type="paragraph" w:customStyle="1" w:styleId="CopyrightText">
    <w:name w:val="Copyright Text"/>
    <w:basedOn w:val="BodyText"/>
    <w:rsid w:val="001459CF"/>
    <w:rPr>
      <w:sz w:val="18"/>
    </w:rPr>
  </w:style>
  <w:style w:type="paragraph" w:customStyle="1" w:styleId="BodySmallRight">
    <w:name w:val="Body Small Right"/>
    <w:basedOn w:val="BodyTextRight"/>
    <w:rsid w:val="001459CF"/>
    <w:rPr>
      <w:sz w:val="18"/>
      <w:szCs w:val="18"/>
    </w:rPr>
  </w:style>
  <w:style w:type="paragraph" w:customStyle="1" w:styleId="MarginEdition">
    <w:name w:val="Margin Edition"/>
    <w:basedOn w:val="MarginNote"/>
    <w:rsid w:val="001459CF"/>
    <w:pPr>
      <w:spacing w:before="0" w:after="0"/>
    </w:pPr>
    <w:rPr>
      <w:rFonts w:ascii="Times New Roman" w:hAnsi="Times New Roman"/>
      <w:color w:val="999999"/>
    </w:rPr>
  </w:style>
  <w:style w:type="paragraph" w:customStyle="1" w:styleId="Spacer">
    <w:name w:val="Spacer"/>
    <w:basedOn w:val="Normal"/>
    <w:rsid w:val="001459CF"/>
    <w:rPr>
      <w:sz w:val="2"/>
      <w:szCs w:val="2"/>
    </w:rPr>
  </w:style>
  <w:style w:type="character" w:customStyle="1" w:styleId="Small">
    <w:name w:val="Small"/>
    <w:basedOn w:val="DefaultParagraphFont"/>
    <w:rsid w:val="001459CF"/>
    <w:rPr>
      <w:sz w:val="16"/>
    </w:rPr>
  </w:style>
  <w:style w:type="paragraph" w:customStyle="1" w:styleId="WideTable">
    <w:name w:val="Wide Table"/>
    <w:basedOn w:val="Normal"/>
    <w:rsid w:val="001459CF"/>
    <w:pPr>
      <w:ind w:left="-1418"/>
    </w:pPr>
    <w:rPr>
      <w:sz w:val="2"/>
      <w:szCs w:val="2"/>
    </w:rPr>
  </w:style>
  <w:style w:type="character" w:styleId="PageNumber">
    <w:name w:val="page number"/>
    <w:basedOn w:val="DefaultParagraphFont"/>
    <w:rsid w:val="001459CF"/>
  </w:style>
  <w:style w:type="paragraph" w:styleId="Quote">
    <w:name w:val="Quote"/>
    <w:basedOn w:val="Heading1"/>
    <w:link w:val="QuoteChar"/>
    <w:qFormat/>
    <w:rsid w:val="001459CF"/>
    <w:rPr>
      <w:b w:val="0"/>
      <w:sz w:val="72"/>
      <w:szCs w:val="72"/>
      <w:lang w:val="en-NZ"/>
    </w:rPr>
  </w:style>
  <w:style w:type="character" w:customStyle="1" w:styleId="QuoteChar">
    <w:name w:val="Quote Char"/>
    <w:basedOn w:val="DefaultParagraphFont"/>
    <w:link w:val="Quote"/>
    <w:rsid w:val="001459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9CF"/>
    <w:pPr>
      <w:pageBreakBefore/>
    </w:pPr>
  </w:style>
  <w:style w:type="paragraph" w:customStyle="1" w:styleId="Border">
    <w:name w:val="Border"/>
    <w:basedOn w:val="Normal"/>
    <w:qFormat/>
    <w:rsid w:val="001459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9CF"/>
    <w:rPr>
      <w:b/>
      <w:bCs/>
      <w:i/>
      <w:iCs/>
      <w:color w:val="auto"/>
    </w:rPr>
  </w:style>
  <w:style w:type="paragraph" w:styleId="IntenseQuote">
    <w:name w:val="Intense Quote"/>
    <w:basedOn w:val="Normal"/>
    <w:next w:val="Normal"/>
    <w:link w:val="IntenseQuoteChar"/>
    <w:uiPriority w:val="30"/>
    <w:qFormat/>
    <w:rsid w:val="001459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9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9CF"/>
    <w:rPr>
      <w:smallCaps/>
      <w:color w:val="auto"/>
      <w:u w:val="single"/>
    </w:rPr>
  </w:style>
  <w:style w:type="character" w:styleId="IntenseReference">
    <w:name w:val="Intense Reference"/>
    <w:basedOn w:val="DefaultParagraphFont"/>
    <w:uiPriority w:val="32"/>
    <w:qFormat/>
    <w:rsid w:val="001459CF"/>
    <w:rPr>
      <w:b/>
      <w:bCs/>
      <w:smallCaps/>
      <w:color w:val="auto"/>
      <w:spacing w:val="5"/>
      <w:u w:val="single"/>
    </w:rPr>
  </w:style>
  <w:style w:type="paragraph" w:customStyle="1" w:styleId="2ColumnHeading">
    <w:name w:val="2Column Heading"/>
    <w:basedOn w:val="BodyText"/>
    <w:qFormat/>
    <w:rsid w:val="001459CF"/>
    <w:pPr>
      <w:spacing w:after="60"/>
      <w:ind w:left="-2268"/>
    </w:pPr>
    <w:rPr>
      <w:b/>
    </w:rPr>
  </w:style>
  <w:style w:type="paragraph" w:customStyle="1" w:styleId="Heading1TOC">
    <w:name w:val="Heading1 TOC"/>
    <w:basedOn w:val="Normal"/>
    <w:qFormat/>
    <w:rsid w:val="001459CF"/>
    <w:pPr>
      <w:spacing w:before="240" w:after="120"/>
    </w:pPr>
    <w:rPr>
      <w:rFonts w:ascii="Times New Roman" w:hAnsi="Times New Roman"/>
      <w:b/>
      <w:sz w:val="32"/>
    </w:rPr>
  </w:style>
  <w:style w:type="paragraph" w:customStyle="1" w:styleId="Heading2TOC">
    <w:name w:val="Heading2 TOC"/>
    <w:basedOn w:val="Normal"/>
    <w:qFormat/>
    <w:rsid w:val="001459CF"/>
    <w:pPr>
      <w:spacing w:before="240" w:after="60"/>
    </w:pPr>
    <w:rPr>
      <w:rFonts w:ascii="Times New Roman" w:hAnsi="Times New Roman"/>
      <w:b/>
      <w:sz w:val="28"/>
    </w:rPr>
  </w:style>
  <w:style w:type="character" w:customStyle="1" w:styleId="Underline">
    <w:name w:val="Underline"/>
    <w:basedOn w:val="DefaultParagraphFont"/>
    <w:qFormat/>
    <w:rsid w:val="001459CF"/>
    <w:rPr>
      <w:u w:val="single"/>
    </w:rPr>
  </w:style>
  <w:style w:type="character" w:customStyle="1" w:styleId="BoldandItalics">
    <w:name w:val="Bold and Italics"/>
    <w:qFormat/>
    <w:rsid w:val="001459CF"/>
    <w:rPr>
      <w:b/>
      <w:i/>
      <w:u w:val="none"/>
    </w:rPr>
  </w:style>
  <w:style w:type="paragraph" w:styleId="BalloonText">
    <w:name w:val="Balloon Text"/>
    <w:basedOn w:val="Normal"/>
    <w:link w:val="BalloonTextChar"/>
    <w:rsid w:val="001459CF"/>
    <w:rPr>
      <w:rFonts w:ascii="Tahoma" w:hAnsi="Tahoma" w:cs="Tahoma"/>
      <w:sz w:val="16"/>
      <w:szCs w:val="16"/>
    </w:rPr>
  </w:style>
  <w:style w:type="character" w:customStyle="1" w:styleId="BalloonTextChar">
    <w:name w:val="Balloon Text Char"/>
    <w:basedOn w:val="DefaultParagraphFont"/>
    <w:link w:val="BalloonText"/>
    <w:rsid w:val="001459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9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59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9CF"/>
    <w:rPr>
      <w:b/>
      <w:color w:val="660033"/>
      <w:spacing w:val="0"/>
    </w:rPr>
  </w:style>
  <w:style w:type="paragraph" w:customStyle="1" w:styleId="Nameditemlist">
    <w:name w:val="Named item list"/>
    <w:basedOn w:val="BodyText"/>
    <w:qFormat/>
    <w:rsid w:val="001459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1919</Words>
  <Characters>11585</Characters>
  <Application>Microsoft Office Word</Application>
  <DocSecurity>0</DocSecurity>
  <Lines>478</Lines>
  <Paragraphs>231</Paragraphs>
  <ScaleCrop>false</ScaleCrop>
  <Company>Author-it Software Corporation Ltd.</Company>
  <LinksUpToDate>false</LinksUpToDate>
  <CharactersWithSpaces>13387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UEENEEG151A Place and connect electrical coils</dc:title>
  <dc:subject>Approved</dc:subject>
  <dc:creator>E-OZ Training Standards</dc:creator>
  <cp:keywords>Release: 2</cp:keywords>
  <dc:description>Review Date: 12 April 2008</dc:description>
  <cp:lastModifiedBy>TPCMS</cp:lastModifiedBy>
  <cp:revision>3</cp:revision>
  <dcterms:created xsi:type="dcterms:W3CDTF">2013-08-14T08:09:00Z</dcterms:created>
  <dcterms:modified xsi:type="dcterms:W3CDTF">2013-08-14T08:09:00Z</dcterms:modified>
</cp:coreProperties>
</file>