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F57" w:rsidP="00745F57">
      <w:pPr>
        <w:pStyle w:val="Title"/>
      </w:pPr>
      <w:r>
        <w:fldChar w:fldCharType="begin"/>
      </w:r>
      <w:r>
        <w:instrText xml:space="preserve"> TITLE   \* MERGEFORMAT </w:instrText>
      </w:r>
      <w:r>
        <w:fldChar w:fldCharType="separate"/>
      </w:r>
      <w:r>
        <w:t>UEENEEG150A Wind electrical coils</w:t>
      </w:r>
      <w:r>
        <w:fldChar w:fldCharType="end"/>
      </w:r>
    </w:p>
    <w:p w:rsidR="00745F57" w:rsidP="00745F57">
      <w:pPr>
        <w:pStyle w:val="Version"/>
        <w:sectPr w:rsidSect="00925C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5C11" w:rsidP="00925C11">
      <w:pPr>
        <w:pStyle w:val="SuperHeading"/>
      </w:pPr>
      <w:r w:rsidRPr="00925C11">
        <w:t>UEENEEG150A Wind electrical coils</w:t>
      </w:r>
    </w:p>
    <w:p w:rsidR="00000000" w:rsidRPr="00925C11" w:rsidP="00925C11">
      <w:pPr>
        <w:pStyle w:val="Heading1"/>
      </w:pPr>
      <w:bookmarkStart w:id="1" w:name="O_586047"/>
      <w:bookmarkEnd w:id="1"/>
      <w:r w:rsidRPr="00925C11">
        <w:t>Modification History</w:t>
      </w:r>
    </w:p>
    <w:p w:rsidR="00000000" w:rsidRPr="00925C11" w:rsidP="00925C11">
      <w:pPr>
        <w:pStyle w:val="BodyText"/>
      </w:pPr>
      <w:r w:rsidRPr="00925C11">
        <w:t>Not applicable.</w:t>
      </w:r>
    </w:p>
    <w:p w:rsidR="00000000" w:rsidRPr="00925C11" w:rsidP="00925C11">
      <w:pPr>
        <w:pStyle w:val="AllowPageBreak"/>
      </w:pPr>
    </w:p>
    <w:p w:rsidR="00000000" w:rsidRPr="00925C11" w:rsidP="00925C11">
      <w:pPr>
        <w:pStyle w:val="Heading1"/>
      </w:pPr>
      <w:bookmarkStart w:id="2" w:name="O_586046"/>
      <w:bookmarkEnd w:id="2"/>
      <w:r w:rsidRPr="00925C11">
        <w:t>Unit Descriptor</w:t>
      </w:r>
    </w:p>
    <w:tbl>
      <w:tblPr>
        <w:tblW w:w="0" w:type="auto"/>
        <w:tblLayout w:type="fixed"/>
        <w:tblCellMar>
          <w:left w:w="62" w:type="dxa"/>
          <w:right w:w="62" w:type="dxa"/>
        </w:tblCellMar>
        <w:tblLook w:val="0000"/>
      </w:tblPr>
      <w:tblGrid>
        <w:gridCol w:w="2700"/>
        <w:gridCol w:w="5760"/>
      </w:tblGrid>
      <w:tr w:rsidTr="00745F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1)</w:t>
            </w:r>
            <w:r w:rsidRPr="00925C11">
              <w:t xml:space="preserve"> </w:t>
            </w:r>
            <w:r w:rsidRPr="00925C11">
              <w:rPr>
                <w:rStyle w:val="SpecialBold"/>
              </w:rPr>
              <w:t>Scope:</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5C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1.1) Descriptor</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This unit covers setting up coil former and winding machines and winding coils for static and rotating electrical machines. It encompasses w</w:t>
            </w:r>
            <w:r w:rsidRPr="00925C11">
              <w:t>orking safely, using hand and powered tools, measuring, applying basic knowledge of electrical circuits, following technical instructions and set procedures and recording work activities.</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3" w:name="O_586045"/>
      <w:bookmarkEnd w:id="3"/>
      <w:r w:rsidRPr="00925C11">
        <w:t>Application of the Unit</w:t>
      </w:r>
    </w:p>
    <w:tbl>
      <w:tblPr>
        <w:tblW w:w="0" w:type="auto"/>
        <w:tblLayout w:type="fixed"/>
        <w:tblCellMar>
          <w:left w:w="62" w:type="dxa"/>
          <w:right w:w="62" w:type="dxa"/>
        </w:tblCellMar>
        <w:tblLook w:val="0000"/>
      </w:tblPr>
      <w:tblGrid>
        <w:gridCol w:w="2672"/>
        <w:gridCol w:w="5699"/>
      </w:tblGrid>
      <w:tr w:rsidTr="00745F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2)</w:t>
            </w:r>
          </w:p>
        </w:tc>
      </w:tr>
      <w:tr w:rsidTr="00745F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This unit is intended for competency development entry-level employment based programs incorporated in approved contracts of training.</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4" w:name="O_586044"/>
      <w:bookmarkEnd w:id="4"/>
      <w:r w:rsidRPr="00925C11">
        <w:t>Licensing/Regulatory Information</w:t>
      </w:r>
    </w:p>
    <w:tbl>
      <w:tblPr>
        <w:tblW w:w="0" w:type="auto"/>
        <w:tblLayout w:type="fixed"/>
        <w:tblCellMar>
          <w:left w:w="62" w:type="dxa"/>
          <w:right w:w="62" w:type="dxa"/>
        </w:tblCellMar>
        <w:tblLook w:val="0000"/>
      </w:tblPr>
      <w:tblGrid>
        <w:gridCol w:w="2700"/>
        <w:gridCol w:w="5760"/>
      </w:tblGrid>
      <w:tr w:rsidTr="00745F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 xml:space="preserve">3) </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 xml:space="preserve">The skills and knowledge described in </w:t>
            </w:r>
            <w:r w:rsidRPr="00925C11">
              <w:t>this unit do not require a license to practice in the workplace. However, practice in this unit is subject to regulations directly related to occupational health and safety and where applicable contracts of training such as apprenticeships.</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5" w:name="O_586043"/>
      <w:bookmarkEnd w:id="5"/>
      <w:r w:rsidRPr="00925C11">
        <w:t>Pre-Requisites</w:t>
      </w:r>
    </w:p>
    <w:tbl>
      <w:tblPr>
        <w:tblW w:w="0" w:type="auto"/>
        <w:tblLayout w:type="fixed"/>
        <w:tblCellMar>
          <w:left w:w="62" w:type="dxa"/>
          <w:right w:w="62" w:type="dxa"/>
        </w:tblCellMar>
        <w:tblLook w:val="0000"/>
      </w:tblPr>
      <w:tblGrid>
        <w:gridCol w:w="2700"/>
        <w:gridCol w:w="1440"/>
        <w:gridCol w:w="4320"/>
      </w:tblGrid>
      <w:tr w:rsidTr="00745F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 xml:space="preserve">4) </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4.1)</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Granting competency in this unit shall be made only after competency in the following unit(s) has/have been confirmed.</w:t>
            </w:r>
          </w:p>
        </w:tc>
      </w:tr>
      <w:tr w:rsidTr="00745F5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UEENEEE101A</w:t>
            </w:r>
          </w:p>
        </w:tc>
        <w:tc>
          <w:tcPr>
            <w:tcW w:w="432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Apply Occupational Health and Safety regulations, codes and practices in the workplace</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UEENEEE102A</w:t>
            </w:r>
          </w:p>
        </w:tc>
        <w:tc>
          <w:tcPr>
            <w:tcW w:w="432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Fabricate, assemble and dismantle utilities industry components</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 xml:space="preserve">UEENEEE107A </w:t>
            </w:r>
          </w:p>
        </w:tc>
        <w:tc>
          <w:tcPr>
            <w:tcW w:w="432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Use drawings, diagrams, schedules, standards, codes and specifications</w:t>
            </w:r>
          </w:p>
        </w:tc>
      </w:tr>
    </w:tbl>
    <w:p w:rsidR="00000000" w:rsidRPr="00925C11" w:rsidP="00925C1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45F5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 xml:space="preserve">4.2) </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Participants are best equipped to achieve competency in this unit if they have reading, writing and numeracy skills indicated by the following scales. Description of each scale is given in Volume 2, Part 3 ‘Literac</w:t>
            </w:r>
            <w:r w:rsidRPr="00925C11">
              <w:t>y and Numeracy’</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Reading</w:t>
            </w:r>
          </w:p>
        </w:tc>
        <w:tc>
          <w:tcPr>
            <w:tcW w:w="81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3</w:t>
            </w:r>
          </w:p>
        </w:tc>
        <w:tc>
          <w:tcPr>
            <w:tcW w:w="99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Writing</w:t>
            </w: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3</w:t>
            </w:r>
          </w:p>
        </w:tc>
        <w:tc>
          <w:tcPr>
            <w:tcW w:w="12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Numeracy</w:t>
            </w:r>
          </w:p>
        </w:tc>
        <w:tc>
          <w:tcPr>
            <w:tcW w:w="72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3</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6" w:name="O_586042"/>
      <w:bookmarkEnd w:id="6"/>
      <w:r w:rsidRPr="00925C11">
        <w:t>Employability Skills Information</w:t>
      </w:r>
    </w:p>
    <w:tbl>
      <w:tblPr>
        <w:tblW w:w="0" w:type="auto"/>
        <w:tblLayout w:type="fixed"/>
        <w:tblCellMar>
          <w:left w:w="62" w:type="dxa"/>
          <w:right w:w="62" w:type="dxa"/>
        </w:tblCellMar>
        <w:tblLook w:val="0000"/>
      </w:tblPr>
      <w:tblGrid>
        <w:gridCol w:w="2700"/>
        <w:gridCol w:w="5760"/>
      </w:tblGrid>
      <w:tr w:rsidTr="00745F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 xml:space="preserve">5) </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This unit contains Employability Skills</w:t>
            </w:r>
          </w:p>
          <w:p w:rsidR="00000000" w:rsidRPr="00925C11" w:rsidP="00925C11">
            <w:pPr>
              <w:pStyle w:val="BodyText"/>
            </w:pPr>
            <w:r w:rsidRPr="00925C11">
              <w:t>The require</w:t>
            </w:r>
            <w:r w:rsidRPr="00925C11">
              <w:t>d outcomes described in this unit of competency contain applicable facets of Employability Skills. The Employability Skills Summary of the qualification in which this unit of competency is packaged will assist in identifying Employability Skill requirement</w:t>
            </w:r>
            <w:r w:rsidRPr="00925C11">
              <w:t>s.</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7" w:name="O_586041"/>
      <w:bookmarkEnd w:id="7"/>
      <w:r w:rsidRPr="00925C11">
        <w:t>Elements and Performance Criteria Pre-Content</w:t>
      </w:r>
    </w:p>
    <w:tbl>
      <w:tblPr>
        <w:tblW w:w="0" w:type="auto"/>
        <w:tblLayout w:type="fixed"/>
        <w:tblCellMar>
          <w:left w:w="62" w:type="dxa"/>
          <w:right w:w="62" w:type="dxa"/>
        </w:tblCellMar>
        <w:tblLook w:val="0000"/>
      </w:tblPr>
      <w:tblGrid>
        <w:gridCol w:w="2700"/>
        <w:gridCol w:w="5760"/>
      </w:tblGrid>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6)</w:t>
            </w:r>
            <w:r w:rsidRPr="00925C1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Performance Criteria describe the required performance needed to demonstrate achievement of the element. Assessmen</w:t>
            </w:r>
            <w:r w:rsidRPr="00925C11">
              <w:t>t of performance is to be consistent with the Evidence Guide.</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8" w:name="O_586040"/>
      <w:bookmarkEnd w:id="8"/>
      <w:r w:rsidRPr="00925C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45F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PERFORMANCE CRITERIA</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1</w:t>
            </w:r>
          </w:p>
        </w:tc>
        <w:tc>
          <w:tcPr>
            <w:tcW w:w="2296" w:type="dxa"/>
            <w:vMerge w:val="restart"/>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Prepare to wind coils.</w:t>
            </w: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1.1</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OHS procedures for a given work area are identified, obtained and understood.</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1.2</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Established OHS risk control measures for work preparation are followed.</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1.3</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Work instructions are identified, obtained and understood.</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1.4</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 xml:space="preserve">Advice is sought from the work supervisor to ensure the work is coordinated effectively with others. </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1.5</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Materials required for the work are obtained in accordance with established routines and procedures.</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1.6</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Tools, equipment and testing devices needed to carry out the work are obtained and checked for correct operation and safety.</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2</w:t>
            </w:r>
          </w:p>
        </w:tc>
        <w:tc>
          <w:tcPr>
            <w:tcW w:w="2296" w:type="dxa"/>
            <w:vMerge w:val="restart"/>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Wind coils.</w:t>
            </w: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2.1</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Established OHS risk control work measures are followed.</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2.2</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Winding machines are checked as being isolated where necessary in strict accordance OHS requirements and procedures.</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2.3</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Winding wire and insulation is selected in accordance with work instructions and established routines.</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2.4</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Winding formers and machine is set-up in accordance with routine instructions.</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2.5</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 xml:space="preserve">Prescribed solutions are used to resolve work </w:t>
            </w:r>
            <w:r w:rsidRPr="00925C11">
              <w:t>completion issues.</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2.6</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Routine quality checks are conducted to ensure coils are correctly wound with correct wire, number of turns and shape.</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2.7</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Work is completed in acceptable timeframe given environmen</w:t>
            </w:r>
            <w:r w:rsidRPr="00925C11">
              <w:t>t and workplace conditions.</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3</w:t>
            </w:r>
          </w:p>
        </w:tc>
        <w:tc>
          <w:tcPr>
            <w:tcW w:w="2296"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Complete work report.</w:t>
            </w: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3.1</w:t>
            </w:r>
          </w:p>
        </w:tc>
        <w:tc>
          <w:tcPr>
            <w:tcW w:w="48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OHS measures work completion risk control are followed.</w:t>
            </w:r>
          </w:p>
        </w:tc>
      </w:tr>
      <w:tr w:rsidTr="00745F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t>3.2</w:t>
            </w:r>
          </w:p>
        </w:tc>
        <w:tc>
          <w:tcPr>
            <w:tcW w:w="48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Work report forms/data sheets are completed accurately.</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9" w:name="O_586039"/>
      <w:bookmarkEnd w:id="9"/>
      <w:r w:rsidRPr="00925C11">
        <w:t>Required Skills and Knowledge</w:t>
      </w:r>
    </w:p>
    <w:tbl>
      <w:tblPr>
        <w:tblW w:w="0" w:type="auto"/>
        <w:tblLayout w:type="fixed"/>
        <w:tblCellMar>
          <w:left w:w="62" w:type="dxa"/>
          <w:right w:w="62" w:type="dxa"/>
        </w:tblCellMar>
        <w:tblLook w:val="0000"/>
      </w:tblPr>
      <w:tblGrid>
        <w:gridCol w:w="8460"/>
      </w:tblGrid>
      <w:tr w:rsidTr="00745F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REQUIRED SKILLS AND KNOWLEDGE</w:t>
            </w:r>
          </w:p>
        </w:tc>
      </w:tr>
      <w:tr w:rsidTr="00745F5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8)</w:t>
            </w:r>
            <w:r w:rsidRPr="00925C11">
              <w:t xml:space="preserve"> This describes the essential skills and knowledge and their level, required for this unit.</w:t>
            </w:r>
          </w:p>
          <w:p w:rsidR="00000000" w:rsidRPr="00925C11" w:rsidP="00925C11">
            <w:pPr>
              <w:pStyle w:val="BodyText"/>
            </w:pPr>
            <w:r w:rsidRPr="00925C11">
              <w:t>Evidence shall show that knowledge has been acquired of safe working practices and winding coils.</w:t>
            </w:r>
          </w:p>
          <w:p w:rsidR="00000000" w:rsidRPr="00925C11" w:rsidP="00925C11">
            <w:pPr>
              <w:pStyle w:val="BodyText"/>
            </w:pPr>
            <w:r w:rsidRPr="00925C11">
              <w:t>All knowledge and skills detailed in this unit should be contextualised to current industry practices and technologies</w:t>
            </w:r>
          </w:p>
          <w:p w:rsidR="00000000" w:rsidRPr="00925C11" w:rsidP="00925C11">
            <w:pPr>
              <w:pStyle w:val="BodyText"/>
            </w:pPr>
            <w:r w:rsidRPr="00925C11">
              <w:rPr>
                <w:rStyle w:val="SpecialBold"/>
              </w:rPr>
              <w:t>KS01-EG150A</w:t>
            </w:r>
            <w:r w:rsidRPr="00925C11">
              <w:rPr>
                <w:rStyle w:val="SpecialBold"/>
              </w:rPr>
              <w:tab/>
              <w:t xml:space="preserve">              Coil winding and coil testing</w:t>
            </w:r>
          </w:p>
          <w:p w:rsidR="00000000" w:rsidRPr="00925C11" w:rsidP="00925C11">
            <w:pPr>
              <w:pStyle w:val="BodyText"/>
            </w:pPr>
            <w:r w:rsidRPr="00925C11">
              <w:t>Evidence shall show an understanding of coil winding and coil testing to an exten</w:t>
            </w:r>
            <w:r w:rsidRPr="00925C11">
              <w:t>t indicated by the following aspects:</w:t>
            </w:r>
          </w:p>
          <w:p w:rsidR="00000000" w:rsidRPr="00925C11" w:rsidP="00925C11">
            <w:pPr>
              <w:pStyle w:val="BodyText"/>
            </w:pPr>
            <w:r w:rsidRPr="00925C11">
              <w:t>T1</w:t>
            </w:r>
            <w:r w:rsidRPr="00925C11">
              <w:tab/>
              <w:t>Coil data to be collected:</w:t>
            </w:r>
          </w:p>
          <w:p w:rsidR="00000000" w:rsidRPr="00925C11" w:rsidP="00925C11">
            <w:pPr>
              <w:pStyle w:val="ListBullet"/>
            </w:pPr>
            <w:r w:rsidRPr="00925C11">
              <w:t>Type of wire.</w:t>
            </w:r>
          </w:p>
          <w:p w:rsidR="00000000" w:rsidRPr="00925C11" w:rsidP="00925C11">
            <w:pPr>
              <w:pStyle w:val="ListBullet"/>
            </w:pPr>
            <w:r w:rsidRPr="00925C11">
              <w:t>Gauge.</w:t>
            </w:r>
          </w:p>
          <w:p w:rsidR="00000000" w:rsidRPr="00925C11" w:rsidP="00925C11">
            <w:pPr>
              <w:pStyle w:val="ListBullet"/>
            </w:pPr>
            <w:r w:rsidRPr="00925C11">
              <w:t>Number of turns.</w:t>
            </w:r>
          </w:p>
          <w:p w:rsidR="00000000" w:rsidRPr="00925C11" w:rsidP="00925C11">
            <w:pPr>
              <w:pStyle w:val="ListBullet"/>
            </w:pPr>
            <w:r w:rsidRPr="00925C11">
              <w:t>Type of coil.</w:t>
            </w:r>
          </w:p>
          <w:p w:rsidR="00000000" w:rsidRPr="00925C11" w:rsidP="00925C11">
            <w:pPr>
              <w:pStyle w:val="ListBullet"/>
            </w:pPr>
            <w:r w:rsidRPr="00925C11">
              <w:t>Type of insulation.</w:t>
            </w:r>
          </w:p>
          <w:p w:rsidR="00000000" w:rsidRPr="00925C11" w:rsidP="00925C11">
            <w:pPr>
              <w:pStyle w:val="ListBullet"/>
            </w:pPr>
            <w:r w:rsidRPr="00925C11">
              <w:t>Coil shape.</w:t>
            </w:r>
          </w:p>
          <w:p w:rsidR="00000000" w:rsidRPr="00925C11" w:rsidP="00925C11">
            <w:pPr>
              <w:pStyle w:val="BodyText"/>
            </w:pPr>
            <w:r w:rsidRPr="00925C11">
              <w:t>T2</w:t>
            </w:r>
            <w:r w:rsidRPr="00925C11">
              <w:tab/>
              <w:t>Coil former types and construction/set up</w:t>
            </w:r>
          </w:p>
          <w:p w:rsidR="00000000" w:rsidRPr="00925C11" w:rsidP="00925C11">
            <w:pPr>
              <w:pStyle w:val="ListBullet"/>
            </w:pPr>
            <w:r w:rsidRPr="00925C11">
              <w:t>Coil shapes</w:t>
            </w:r>
          </w:p>
          <w:p w:rsidR="00000000" w:rsidRPr="00925C11" w:rsidP="00925C11">
            <w:pPr>
              <w:pStyle w:val="ListBullet"/>
            </w:pPr>
            <w:r w:rsidRPr="00925C11">
              <w:t xml:space="preserve">Factors which govern coil shape: </w:t>
            </w:r>
          </w:p>
          <w:p w:rsidR="00000000" w:rsidRPr="00925C11" w:rsidP="00925C11">
            <w:pPr>
              <w:pStyle w:val="ListBullet"/>
            </w:pPr>
            <w:r w:rsidRPr="00925C11">
              <w:t xml:space="preserve">end room;  </w:t>
            </w:r>
          </w:p>
          <w:p w:rsidR="00000000" w:rsidRPr="00925C11" w:rsidP="00925C11">
            <w:pPr>
              <w:pStyle w:val="ListBullet"/>
            </w:pPr>
            <w:r w:rsidRPr="00925C11">
              <w:t xml:space="preserve">coil flexibility;  </w:t>
            </w:r>
          </w:p>
          <w:p w:rsidR="00000000" w:rsidRPr="00925C11" w:rsidP="00925C11">
            <w:pPr>
              <w:pStyle w:val="ListBullet"/>
            </w:pPr>
            <w:r w:rsidRPr="00925C11">
              <w:t xml:space="preserve">bore size of stator iron core;  </w:t>
            </w:r>
          </w:p>
          <w:p w:rsidR="00000000" w:rsidRPr="00925C11" w:rsidP="00925C11">
            <w:pPr>
              <w:pStyle w:val="ListBullet"/>
            </w:pPr>
            <w:r w:rsidRPr="00925C11">
              <w:t xml:space="preserve">depth of iron below the slots, in the iron core;  </w:t>
            </w:r>
          </w:p>
          <w:p w:rsidR="00000000" w:rsidRPr="00925C11" w:rsidP="00925C11">
            <w:pPr>
              <w:pStyle w:val="ListBullet"/>
            </w:pPr>
            <w:r w:rsidRPr="00925C11">
              <w:t>pressure points between the coils</w:t>
            </w:r>
          </w:p>
          <w:p w:rsidR="00000000" w:rsidRPr="00925C11" w:rsidP="00925C11">
            <w:pPr>
              <w:pStyle w:val="ListBullet"/>
            </w:pPr>
            <w:r w:rsidRPr="00925C11">
              <w:t>Types coil winding formers</w:t>
            </w:r>
          </w:p>
          <w:p w:rsidR="00000000" w:rsidRPr="00925C11" w:rsidP="00925C11">
            <w:pPr>
              <w:pStyle w:val="BodyText"/>
            </w:pPr>
            <w:r w:rsidRPr="00925C11">
              <w:t>T3</w:t>
            </w:r>
            <w:r w:rsidRPr="00925C11">
              <w:tab/>
              <w:t>Coil winding machines</w:t>
            </w:r>
          </w:p>
          <w:p w:rsidR="00000000" w:rsidRPr="00925C11" w:rsidP="00925C11">
            <w:pPr>
              <w:pStyle w:val="ListBullet"/>
            </w:pPr>
            <w:r w:rsidRPr="00925C11">
              <w:t xml:space="preserve">Identify machine types:   </w:t>
            </w:r>
          </w:p>
          <w:p w:rsidR="00000000" w:rsidRPr="00925C11" w:rsidP="00925C11">
            <w:pPr>
              <w:pStyle w:val="ListBullet"/>
            </w:pPr>
            <w:r w:rsidRPr="00925C11">
              <w:t xml:space="preserve">foot pedal, </w:t>
            </w:r>
          </w:p>
          <w:p w:rsidR="00000000" w:rsidRPr="00925C11" w:rsidP="00925C11">
            <w:pPr>
              <w:pStyle w:val="ListBullet"/>
            </w:pPr>
            <w:r w:rsidRPr="00925C11">
              <w:t xml:space="preserve">variable speed, </w:t>
            </w:r>
          </w:p>
          <w:p w:rsidR="00000000" w:rsidRPr="00925C11" w:rsidP="00925C11">
            <w:pPr>
              <w:pStyle w:val="ListBullet"/>
            </w:pPr>
            <w:r w:rsidRPr="00925C11">
              <w:t>win</w:t>
            </w:r>
            <w:r w:rsidRPr="00925C11">
              <w:t xml:space="preserve">ding head fitted with a chuck;  </w:t>
            </w:r>
          </w:p>
          <w:p w:rsidR="00000000" w:rsidRPr="00925C11" w:rsidP="00925C11">
            <w:pPr>
              <w:pStyle w:val="ListBullet"/>
            </w:pPr>
            <w:r w:rsidRPr="00925C11">
              <w:t xml:space="preserve">Remote foot switch on a flexible lead, variable speed  fitted with a face plate;  </w:t>
            </w:r>
          </w:p>
          <w:p w:rsidR="00000000" w:rsidRPr="00925C11" w:rsidP="00925C11">
            <w:pPr>
              <w:pStyle w:val="ListBullet"/>
            </w:pPr>
            <w:r w:rsidRPr="00925C11">
              <w:t xml:space="preserve">layer winding machine;  </w:t>
            </w:r>
          </w:p>
          <w:p w:rsidR="00000000" w:rsidRPr="00925C11" w:rsidP="00925C11">
            <w:pPr>
              <w:pStyle w:val="ListBullet"/>
            </w:pPr>
            <w:r w:rsidRPr="00925C11">
              <w:t>computer operated</w:t>
            </w:r>
          </w:p>
          <w:p w:rsidR="00000000" w:rsidRPr="00925C11" w:rsidP="00925C11">
            <w:pPr>
              <w:pStyle w:val="ListBullet"/>
            </w:pPr>
            <w:r w:rsidRPr="00925C11">
              <w:t>Operational safety precautions</w:t>
            </w:r>
          </w:p>
          <w:p w:rsidR="00000000" w:rsidRPr="00925C11" w:rsidP="00925C11">
            <w:pPr>
              <w:pStyle w:val="BodyText"/>
            </w:pPr>
            <w:r w:rsidRPr="00925C11">
              <w:t>T4</w:t>
            </w:r>
            <w:r w:rsidRPr="00925C11">
              <w:tab/>
              <w:t>Coil insulations.</w:t>
            </w:r>
          </w:p>
          <w:p w:rsidR="00000000" w:rsidRPr="00925C11" w:rsidP="00925C11">
            <w:pPr>
              <w:pStyle w:val="ListBullet"/>
            </w:pPr>
            <w:r w:rsidRPr="00925C11">
              <w:t>Purpose</w:t>
            </w:r>
          </w:p>
          <w:p w:rsidR="00000000" w:rsidRPr="00925C11" w:rsidP="00925C11">
            <w:pPr>
              <w:pStyle w:val="ListBullet"/>
            </w:pPr>
            <w:r w:rsidRPr="00925C11">
              <w:t>Temperature ratings</w:t>
            </w:r>
          </w:p>
          <w:p w:rsidR="00000000" w:rsidRPr="00925C11" w:rsidP="00925C11">
            <w:pPr>
              <w:pStyle w:val="ListBullet"/>
            </w:pPr>
            <w:r w:rsidRPr="00925C11">
              <w:t>Common insulatin</w:t>
            </w:r>
            <w:r w:rsidRPr="00925C11">
              <w:t>g materials</w:t>
            </w:r>
          </w:p>
          <w:p w:rsidR="00000000" w:rsidRPr="00925C11" w:rsidP="00925C11">
            <w:pPr>
              <w:pStyle w:val="ListBullet"/>
            </w:pPr>
            <w:r w:rsidRPr="00925C11">
              <w:t xml:space="preserve">Polyester film backed elephantide; Nomex;  </w:t>
            </w:r>
          </w:p>
          <w:p w:rsidR="00000000" w:rsidRPr="00925C11" w:rsidP="00925C11">
            <w:pPr>
              <w:pStyle w:val="ListBullet"/>
            </w:pPr>
            <w:r w:rsidRPr="00925C11">
              <w:t xml:space="preserve">Mylar;  </w:t>
            </w:r>
          </w:p>
          <w:p w:rsidR="00000000" w:rsidRPr="00925C11" w:rsidP="00925C11">
            <w:pPr>
              <w:pStyle w:val="ListBullet"/>
            </w:pPr>
            <w:r w:rsidRPr="00925C11">
              <w:t xml:space="preserve">Nomex/mylar/nomex; Dacron/mylar/dacron;  </w:t>
            </w:r>
          </w:p>
          <w:p w:rsidR="00000000" w:rsidRPr="00925C11" w:rsidP="00925C11">
            <w:pPr>
              <w:pStyle w:val="ListBullet"/>
            </w:pPr>
            <w:r w:rsidRPr="00925C11">
              <w:t xml:space="preserve">cloth, tape, and adhesive tape (glass);  polyester glass laminate;  </w:t>
            </w:r>
          </w:p>
          <w:p w:rsidR="00000000" w:rsidRPr="00925C11" w:rsidP="00925C11">
            <w:pPr>
              <w:pStyle w:val="ListBullet"/>
            </w:pPr>
            <w:r w:rsidRPr="00925C11">
              <w:t xml:space="preserve">sheet, tape, and adhesive tape (polyester film);  </w:t>
            </w:r>
          </w:p>
          <w:p w:rsidR="00000000" w:rsidRPr="00925C11" w:rsidP="00925C11">
            <w:pPr>
              <w:pStyle w:val="ListBullet"/>
            </w:pPr>
            <w:r w:rsidRPr="00925C11">
              <w:t>Bakelite paper laminates</w:t>
            </w:r>
          </w:p>
          <w:p w:rsidR="00000000" w:rsidRPr="00925C11" w:rsidP="00925C11">
            <w:pPr>
              <w:pStyle w:val="BodyText"/>
            </w:pPr>
            <w:r w:rsidRPr="00925C11">
              <w:t>T5</w:t>
            </w:r>
            <w:r w:rsidRPr="00925C11">
              <w:tab/>
              <w:t>R</w:t>
            </w:r>
            <w:r w:rsidRPr="00925C11">
              <w:t>ewind small and medium size solenoid coils</w:t>
            </w:r>
          </w:p>
          <w:p w:rsidR="00000000" w:rsidRPr="00925C11" w:rsidP="00925C11">
            <w:pPr>
              <w:pStyle w:val="ListBullet"/>
            </w:pPr>
            <w:r w:rsidRPr="00925C11">
              <w:t>Strip and record data</w:t>
            </w:r>
          </w:p>
          <w:p w:rsidR="00000000" w:rsidRPr="00925C11" w:rsidP="00925C11">
            <w:pPr>
              <w:pStyle w:val="ListBullet"/>
            </w:pPr>
            <w:r w:rsidRPr="00925C11">
              <w:t>Prepare/insulate coil formers</w:t>
            </w:r>
          </w:p>
          <w:p w:rsidR="00000000" w:rsidRPr="00925C11" w:rsidP="00925C11">
            <w:pPr>
              <w:pStyle w:val="ListBullet"/>
            </w:pPr>
            <w:r w:rsidRPr="00925C11">
              <w:t xml:space="preserve">Wind each type of coil </w:t>
            </w:r>
          </w:p>
          <w:p w:rsidR="00000000" w:rsidRPr="00925C11" w:rsidP="00925C11">
            <w:pPr>
              <w:pStyle w:val="ListBullet"/>
            </w:pPr>
            <w:r w:rsidRPr="00925C11">
              <w:t>Finishing off process</w:t>
            </w:r>
          </w:p>
          <w:p w:rsidR="00000000" w:rsidRPr="00925C11" w:rsidP="00925C11">
            <w:pPr>
              <w:pStyle w:val="ListBullet"/>
            </w:pPr>
            <w:r w:rsidRPr="00925C11">
              <w:t>Test procedures</w:t>
            </w:r>
          </w:p>
          <w:p w:rsidR="00000000" w:rsidRPr="00925C11" w:rsidP="00925C11">
            <w:pPr>
              <w:pStyle w:val="BodyText"/>
            </w:pPr>
            <w:r w:rsidRPr="00925C11">
              <w:t>T6</w:t>
            </w:r>
            <w:r w:rsidRPr="00925C11">
              <w:tab/>
              <w:t xml:space="preserve">Types of testing devices </w:t>
            </w:r>
          </w:p>
          <w:p w:rsidR="00000000" w:rsidRPr="00925C11" w:rsidP="00925C11">
            <w:pPr>
              <w:pStyle w:val="ListBullet"/>
            </w:pPr>
            <w:r w:rsidRPr="00925C11">
              <w:t xml:space="preserve">Multimeter;  </w:t>
            </w:r>
          </w:p>
          <w:p w:rsidR="00000000" w:rsidRPr="00925C11" w:rsidP="00925C11">
            <w:pPr>
              <w:pStyle w:val="ListBullet"/>
            </w:pPr>
            <w:r w:rsidRPr="00925C11">
              <w:t xml:space="preserve">Series light;  </w:t>
            </w:r>
          </w:p>
          <w:p w:rsidR="00000000" w:rsidRPr="00925C11" w:rsidP="00925C11">
            <w:pPr>
              <w:pStyle w:val="ListBullet"/>
            </w:pPr>
            <w:r w:rsidRPr="00925C11">
              <w:t>Insulation resistance tester;</w:t>
            </w:r>
          </w:p>
          <w:p w:rsidR="00000000" w:rsidRPr="00925C11" w:rsidP="00925C11">
            <w:pPr>
              <w:pStyle w:val="ListBullet"/>
            </w:pPr>
            <w:r w:rsidRPr="00925C11">
              <w:t>Wheatstone bridge</w:t>
            </w:r>
          </w:p>
          <w:p w:rsidR="00000000" w:rsidRPr="00925C11" w:rsidP="00925C11">
            <w:pPr>
              <w:pStyle w:val="BodyText"/>
            </w:pPr>
            <w:r w:rsidRPr="00925C11">
              <w:t>T7</w:t>
            </w:r>
            <w:r w:rsidRPr="00925C11">
              <w:tab/>
              <w:t>Purpose of testing devices</w:t>
            </w:r>
          </w:p>
          <w:p w:rsidR="00000000" w:rsidRPr="00925C11" w:rsidP="00925C11">
            <w:pPr>
              <w:pStyle w:val="ListBullet"/>
            </w:pPr>
            <w:r w:rsidRPr="00925C11">
              <w:t xml:space="preserve">Multimeter;  </w:t>
            </w:r>
          </w:p>
          <w:p w:rsidR="00000000" w:rsidRPr="00925C11" w:rsidP="00925C11">
            <w:pPr>
              <w:pStyle w:val="ListBullet"/>
            </w:pPr>
            <w:r w:rsidRPr="00925C11">
              <w:t xml:space="preserve">Series lamp;  </w:t>
            </w:r>
          </w:p>
          <w:p w:rsidR="00000000" w:rsidRPr="00925C11" w:rsidP="00925C11">
            <w:pPr>
              <w:pStyle w:val="ListBullet"/>
            </w:pPr>
            <w:r w:rsidRPr="00925C11">
              <w:t>Insulation resistance tester;</w:t>
            </w:r>
          </w:p>
          <w:p w:rsidR="00000000" w:rsidRPr="00925C11" w:rsidP="00925C11">
            <w:pPr>
              <w:pStyle w:val="ListBullet"/>
            </w:pPr>
            <w:r w:rsidRPr="00925C11">
              <w:t>Wheatstone bridge</w:t>
            </w:r>
          </w:p>
          <w:p w:rsidR="00000000" w:rsidRPr="00925C11" w:rsidP="00925C11">
            <w:pPr>
              <w:pStyle w:val="BodyText"/>
            </w:pPr>
            <w:r w:rsidRPr="00925C11">
              <w:t>T8</w:t>
            </w:r>
            <w:r w:rsidRPr="00925C11">
              <w:tab/>
              <w:t>Types of tests</w:t>
            </w:r>
          </w:p>
          <w:p w:rsidR="00000000" w:rsidRPr="00925C11" w:rsidP="00925C11">
            <w:pPr>
              <w:pStyle w:val="ListBullet"/>
            </w:pPr>
            <w:r w:rsidRPr="00925C11">
              <w:t>Continuity</w:t>
            </w:r>
          </w:p>
          <w:p w:rsidR="00000000" w:rsidRPr="00925C11" w:rsidP="00925C11">
            <w:pPr>
              <w:pStyle w:val="ListBullet"/>
            </w:pPr>
            <w:r w:rsidRPr="00925C11">
              <w:t>Short circuited turns</w:t>
            </w:r>
          </w:p>
          <w:p w:rsidR="00000000" w:rsidRPr="00925C11" w:rsidP="00925C11">
            <w:pPr>
              <w:pStyle w:val="ListBullet"/>
            </w:pPr>
            <w:r w:rsidRPr="00925C11">
              <w:t>Insulation resistance</w:t>
            </w:r>
          </w:p>
          <w:p w:rsidR="00000000" w:rsidRPr="00925C11" w:rsidP="00925C11">
            <w:pPr>
              <w:pStyle w:val="BodyText"/>
            </w:pPr>
            <w:r w:rsidRPr="00925C11">
              <w:t>T9</w:t>
            </w:r>
            <w:r w:rsidRPr="00925C11">
              <w:tab/>
              <w:t>Testing techniques to identify faulty coils</w:t>
            </w:r>
          </w:p>
          <w:p w:rsidR="00000000" w:rsidRPr="00925C11" w:rsidP="00925C11">
            <w:pPr>
              <w:pStyle w:val="ListBullet"/>
            </w:pPr>
            <w:r w:rsidRPr="00925C11">
              <w:t>Physical</w:t>
            </w:r>
            <w:r w:rsidRPr="00925C11">
              <w:t xml:space="preserve"> inspection.</w:t>
            </w:r>
          </w:p>
          <w:p w:rsidR="00000000" w:rsidRPr="00925C11" w:rsidP="00925C11">
            <w:pPr>
              <w:pStyle w:val="ListBullet"/>
            </w:pPr>
            <w:r w:rsidRPr="00925C11">
              <w:t>Using a testing device.</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10" w:name="O_586038"/>
      <w:bookmarkEnd w:id="10"/>
      <w:r w:rsidRPr="00925C11">
        <w:t>Evidence Guide</w:t>
      </w:r>
    </w:p>
    <w:tbl>
      <w:tblPr>
        <w:tblW w:w="0" w:type="auto"/>
        <w:tblLayout w:type="fixed"/>
        <w:tblCellMar>
          <w:left w:w="62" w:type="dxa"/>
          <w:right w:w="62" w:type="dxa"/>
        </w:tblCellMar>
        <w:tblLook w:val="0000"/>
      </w:tblPr>
      <w:tblGrid>
        <w:gridCol w:w="8460"/>
      </w:tblGrid>
      <w:tr w:rsidTr="00745F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EVIDENCE GUIDE</w:t>
            </w:r>
          </w:p>
        </w:tc>
      </w:tr>
      <w:tr w:rsidTr="00745F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9)</w:t>
            </w:r>
            <w:r w:rsidRPr="00925C11">
              <w:t xml:space="preserve"> The evidence guide provides advice on assessment and must be read in conjunction with the Performance </w:t>
            </w:r>
            <w:r w:rsidRPr="00925C11">
              <w:t xml:space="preserve">Criteria, Required Skills and Knowledge, the Range Statement and the Assessment Guidelines for this Training Package. </w:t>
            </w:r>
          </w:p>
          <w:p w:rsidR="00000000" w:rsidRPr="00925C11" w:rsidP="00925C11">
            <w:pPr>
              <w:pStyle w:val="BodyText"/>
            </w:pPr>
            <w:r w:rsidRPr="00925C11">
              <w:t>The Evidence Guide forms an integral part of this unit. It must be used in conjunction with all parts of this unit and performed in accordance with the Assessment Guidelines of this Training Package.</w:t>
            </w:r>
          </w:p>
        </w:tc>
      </w:tr>
    </w:tbl>
    <w:p w:rsidR="00000000" w:rsidRPr="00925C11" w:rsidP="00925C11">
      <w:pPr>
        <w:pStyle w:val="BodyText"/>
      </w:pPr>
    </w:p>
    <w:tbl>
      <w:tblPr>
        <w:tblW w:w="0" w:type="auto"/>
        <w:tblLayout w:type="fixed"/>
        <w:tblCellMar>
          <w:left w:w="62" w:type="dxa"/>
          <w:right w:w="62" w:type="dxa"/>
        </w:tblCellMar>
        <w:tblLook w:val="0000"/>
      </w:tblPr>
      <w:tblGrid>
        <w:gridCol w:w="1890"/>
        <w:gridCol w:w="6570"/>
      </w:tblGrid>
      <w:tr w:rsidTr="00745F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9.1)</w:t>
            </w:r>
          </w:p>
        </w:tc>
      </w:tr>
      <w:tr w:rsidTr="00745F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 xml:space="preserve">Longitudinal competency </w:t>
            </w:r>
            <w:r w:rsidRPr="00925C11">
              <w:t>development approaches to assessment, such as Profiling, require data to be reliably gathered in a form that can be consistently interpreted over time. This approach is best utilised in Apprenticeship programs and reduces assessment intervention. It is the</w:t>
            </w:r>
            <w:r w:rsidRPr="00925C11">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925C11">
              <w:t xml:space="preserve"> simulated work environment. It is recognised that, in some circumstances, assessment in part or full can occur outside the workplace. However, it must be in accordance with industry and regulatory policy.</w:t>
            </w:r>
          </w:p>
          <w:p w:rsidR="00000000" w:rsidRPr="00925C11" w:rsidP="00925C11">
            <w:pPr>
              <w:pStyle w:val="BodyText"/>
            </w:pPr>
            <w:r w:rsidRPr="00925C11">
              <w:t>Methods chosen for a particular assessment will be</w:t>
            </w:r>
            <w:r w:rsidRPr="00925C11">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925C11">
              <w:t>he competencies being assessed.</w:t>
            </w:r>
          </w:p>
          <w:p w:rsidR="00000000" w:rsidRPr="00925C11" w:rsidP="00925C11">
            <w:pPr>
              <w:pStyle w:val="BodyText"/>
            </w:pPr>
            <w:r w:rsidRPr="00925C11">
              <w:t>The critical safety nature of working with electricity, electrical equipment, gas or any other hazardous substance/material carries risk in deeming a person competent. Sources of evidence need to be ‘rich’ in nature to minim</w:t>
            </w:r>
            <w:r w:rsidRPr="00925C11">
              <w:t>ise error in judgment.</w:t>
            </w:r>
          </w:p>
          <w:p w:rsidR="00000000" w:rsidRPr="00925C11" w:rsidP="00925C11">
            <w:pPr>
              <w:pStyle w:val="BodyText"/>
            </w:pPr>
            <w:r w:rsidRPr="00925C11">
              <w:t>Activities associated with normal every day work have a bearing on the decision as to how much and how detailed the data gathered will contribute to its ‘richness’. Some skills are more critical to safety and operational requirements</w:t>
            </w:r>
            <w:r w:rsidRPr="00925C11">
              <w:t xml:space="preserve"> while the same skills may be more or less frequently practised. These points are raised for the assessors to consider when choosing an assessment method and developing assessment instruments. Sample assessment instruments are included for Assessors in the</w:t>
            </w:r>
            <w:r w:rsidRPr="00925C11">
              <w:t xml:space="preserve"> Assessment Guidelines of this Training Package.</w:t>
            </w:r>
          </w:p>
        </w:tc>
      </w:tr>
    </w:tbl>
    <w:p w:rsidR="00000000" w:rsidRPr="00925C11" w:rsidP="00925C11">
      <w:pPr>
        <w:pStyle w:val="BodyText"/>
      </w:pPr>
    </w:p>
    <w:tbl>
      <w:tblPr>
        <w:tblW w:w="0" w:type="auto"/>
        <w:tblLayout w:type="fixed"/>
        <w:tblCellMar>
          <w:left w:w="62" w:type="dxa"/>
          <w:right w:w="62" w:type="dxa"/>
        </w:tblCellMar>
        <w:tblLook w:val="0000"/>
      </w:tblPr>
      <w:tblGrid>
        <w:gridCol w:w="1890"/>
        <w:gridCol w:w="6570"/>
      </w:tblGrid>
      <w:tr w:rsidTr="00745F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9.2)</w:t>
            </w:r>
          </w:p>
        </w:tc>
      </w:tr>
      <w:tr w:rsidTr="00745F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Before the critical aspects of evidence are considered all prerequisites shall be met.</w:t>
            </w:r>
          </w:p>
          <w:p w:rsidR="00000000" w:rsidRPr="00925C11" w:rsidP="00925C11">
            <w:pPr>
              <w:pStyle w:val="BodyText"/>
            </w:pPr>
            <w:r w:rsidRPr="00925C11">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925C11" w:rsidP="00925C11">
            <w:pPr>
              <w:pStyle w:val="ListBullet"/>
            </w:pPr>
            <w:r w:rsidRPr="00925C11">
              <w:t>A representative body of work performance demonstrated within the timeframes typically expected of the discipline, work function and industrial environment. In particular this shall incorporate evidence that shows a candidate is able to:</w:t>
            </w:r>
          </w:p>
          <w:p w:rsidR="00000000" w:rsidRPr="00925C11" w:rsidP="00925C11">
            <w:pPr>
              <w:pStyle w:val="ListBullet2"/>
            </w:pPr>
            <w:r w:rsidRPr="00925C11">
              <w:t>Implement Occupa</w:t>
            </w:r>
            <w:r w:rsidRPr="00925C11">
              <w:t>tional Health and Safety workplace procedures and practices including the use of risk control measures as specified in the performance criteria and range statement</w:t>
            </w:r>
          </w:p>
          <w:p w:rsidR="00000000" w:rsidRPr="00925C11" w:rsidP="00925C11">
            <w:pPr>
              <w:pStyle w:val="ListBullet2"/>
            </w:pPr>
            <w:r w:rsidRPr="00925C11">
              <w:t>Apply sustainable energy principles and practices as specified in the performance criteria a</w:t>
            </w:r>
            <w:r w:rsidRPr="00925C11">
              <w:t>nd range statement</w:t>
            </w:r>
          </w:p>
          <w:p w:rsidR="00000000" w:rsidRPr="00925C11" w:rsidP="00925C11">
            <w:pPr>
              <w:pStyle w:val="ListBullet2"/>
            </w:pPr>
            <w:r w:rsidRPr="00925C11">
              <w:t>Demonstrate an understanding of the essential knowledge and associated skills as described in this unit.  It may be required by some jurisdictions that RTOs provide a percentile graded result for the purpose of regulatory or licensing re</w:t>
            </w:r>
            <w:r w:rsidRPr="00925C11">
              <w:t xml:space="preserve">quirements.   </w:t>
            </w:r>
          </w:p>
          <w:p w:rsidR="00000000" w:rsidRPr="00925C11" w:rsidP="00925C11">
            <w:pPr>
              <w:pStyle w:val="ListBullet2"/>
            </w:pPr>
            <w:r w:rsidRPr="00925C11">
              <w:t>Demonstrate an appropriate level of skills enabling employment</w:t>
            </w:r>
          </w:p>
          <w:p w:rsidR="00000000" w:rsidRPr="00925C11" w:rsidP="00925C11">
            <w:pPr>
              <w:pStyle w:val="ListBullet2"/>
            </w:pPr>
            <w:r w:rsidRPr="00925C11">
              <w:t>Conduct work observing the relevant Anti Discrimination legislation, regulations, polices and workplace procedures</w:t>
            </w:r>
          </w:p>
          <w:p w:rsidR="00000000" w:rsidRPr="00925C11" w:rsidP="00925C11">
            <w:pPr>
              <w:pStyle w:val="ListBullet"/>
            </w:pPr>
            <w:r w:rsidRPr="00925C11">
              <w:t>Demonstrated consistent performance across a representative ra</w:t>
            </w:r>
            <w:r w:rsidRPr="00925C11">
              <w:t>nge of contexts from the prescribed items below:</w:t>
            </w:r>
          </w:p>
          <w:p w:rsidR="00000000" w:rsidRPr="00925C11" w:rsidP="00925C11">
            <w:pPr>
              <w:pStyle w:val="ListBullet2"/>
            </w:pPr>
            <w:r w:rsidRPr="00925C11">
              <w:t>Winding coils as described as described in 8) and including:</w:t>
            </w:r>
          </w:p>
          <w:p w:rsidR="00000000" w:rsidRPr="00925C11" w:rsidP="00925C11">
            <w:pPr>
              <w:pStyle w:val="BodyText"/>
            </w:pPr>
            <w:r w:rsidRPr="00925C11">
              <w:t>A</w:t>
            </w:r>
            <w:r w:rsidRPr="00925C11">
              <w:tab/>
              <w:t>Following winding specifications.</w:t>
            </w:r>
          </w:p>
          <w:p w:rsidR="00000000" w:rsidRPr="00925C11" w:rsidP="00925C11">
            <w:pPr>
              <w:pStyle w:val="BodyText"/>
            </w:pPr>
            <w:r w:rsidRPr="00925C11">
              <w:t>B</w:t>
            </w:r>
            <w:r w:rsidRPr="00925C11">
              <w:tab/>
              <w:t>Selecting correct winding wire and insulation.</w:t>
            </w:r>
          </w:p>
          <w:p w:rsidR="00000000" w:rsidRPr="00925C11" w:rsidP="00925C11">
            <w:pPr>
              <w:pStyle w:val="BodyText"/>
            </w:pPr>
            <w:r w:rsidRPr="00925C11">
              <w:t>C</w:t>
            </w:r>
            <w:r w:rsidRPr="00925C11">
              <w:tab/>
              <w:t>Setting up and operating winding machine.</w:t>
            </w:r>
          </w:p>
          <w:p w:rsidR="00000000" w:rsidRPr="00925C11" w:rsidP="00925C11">
            <w:pPr>
              <w:pStyle w:val="BodyText"/>
            </w:pPr>
            <w:r w:rsidRPr="00925C11">
              <w:t>D</w:t>
            </w:r>
            <w:r w:rsidRPr="00925C11">
              <w:tab/>
            </w:r>
            <w:r w:rsidRPr="00925C11">
              <w:t>Adhering to quality procedures.</w:t>
            </w:r>
          </w:p>
          <w:p w:rsidR="00000000" w:rsidRPr="00925C11" w:rsidP="00925C11">
            <w:pPr>
              <w:pStyle w:val="BodyText"/>
            </w:pPr>
            <w:r w:rsidRPr="00925C11">
              <w:t>E</w:t>
            </w:r>
            <w:r w:rsidRPr="00925C11">
              <w:tab/>
              <w:t>Completing work report/forms accurately.</w:t>
            </w:r>
          </w:p>
          <w:p w:rsidR="00000000" w:rsidRPr="00925C11" w:rsidP="00925C11">
            <w:pPr>
              <w:pStyle w:val="BodyText"/>
            </w:pPr>
            <w:r w:rsidRPr="00925C11">
              <w:t>F</w:t>
            </w:r>
            <w:r w:rsidRPr="00925C11">
              <w:tab/>
              <w:t>Dealing with unplanned events by drawing on essential knowledge and skills to provide appropriate solutions incorporated in the holistic assessment with the above listed items.</w:t>
            </w:r>
          </w:p>
          <w:p w:rsidR="00000000" w:rsidRPr="00925C11" w:rsidP="00925C11">
            <w:pPr>
              <w:pStyle w:val="BodyText"/>
            </w:pPr>
            <w:r w:rsidRPr="00925C11">
              <w:t>No</w:t>
            </w:r>
            <w:r w:rsidRPr="00925C11">
              <w:t xml:space="preserve">te: </w:t>
            </w:r>
          </w:p>
          <w:p w:rsidR="00000000" w:rsidRPr="00925C11" w:rsidP="00925C11">
            <w:pPr>
              <w:pStyle w:val="BodyText"/>
            </w:pPr>
            <w:r w:rsidRPr="00925C11">
              <w:t>Successful completion of relevant vendor training may be used to contribute to evidence on which competency is deemed. In these cases the alignment of outcomes of vendor training with performance criteria and critical aspects of evidence shall be clea</w:t>
            </w:r>
            <w:r w:rsidRPr="00925C11">
              <w:t>rly identified.</w:t>
            </w:r>
          </w:p>
        </w:tc>
      </w:tr>
    </w:tbl>
    <w:p w:rsidR="00000000" w:rsidRPr="00925C11" w:rsidP="00925C11">
      <w:pPr>
        <w:pStyle w:val="BodyText"/>
      </w:pPr>
    </w:p>
    <w:tbl>
      <w:tblPr>
        <w:tblW w:w="0" w:type="auto"/>
        <w:tblLayout w:type="fixed"/>
        <w:tblCellMar>
          <w:left w:w="62" w:type="dxa"/>
          <w:right w:w="62" w:type="dxa"/>
        </w:tblCellMar>
        <w:tblLook w:val="0000"/>
      </w:tblPr>
      <w:tblGrid>
        <w:gridCol w:w="1890"/>
        <w:gridCol w:w="6570"/>
      </w:tblGrid>
      <w:tr w:rsidTr="00745F5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9.3)</w:t>
            </w:r>
          </w:p>
        </w:tc>
      </w:tr>
      <w:tr w:rsidTr="00745F5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This unit should be assessed as it relates to normal work practice using procedures, information and resources typical of a workplace. This should include:</w:t>
            </w:r>
          </w:p>
          <w:p w:rsidR="00000000" w:rsidRPr="00925C11" w:rsidP="00925C11">
            <w:pPr>
              <w:pStyle w:val="BodyText"/>
            </w:pPr>
            <w:r w:rsidRPr="00925C11">
              <w:t>OHS policy and work proced</w:t>
            </w:r>
            <w:r w:rsidRPr="00925C11">
              <w:t>ures and instructions.</w:t>
            </w:r>
          </w:p>
          <w:p w:rsidR="00000000" w:rsidRPr="00925C11" w:rsidP="00925C11">
            <w:pPr>
              <w:pStyle w:val="BodyText"/>
            </w:pPr>
            <w:r w:rsidRPr="00925C11">
              <w:t>Suitable work environment, facilities, equipment and materials to undertake actual work as prescribed by this unit.</w:t>
            </w:r>
          </w:p>
          <w:p w:rsidR="00000000" w:rsidRPr="00925C11" w:rsidP="00925C11">
            <w:pPr>
              <w:pStyle w:val="BodyText"/>
            </w:pPr>
            <w:r w:rsidRPr="00925C11">
              <w:t>These should be part of the formal learning/assessment environment.</w:t>
            </w:r>
          </w:p>
          <w:p w:rsidR="00000000" w:rsidRPr="00925C11" w:rsidP="00925C11">
            <w:pPr>
              <w:pStyle w:val="BodyText"/>
            </w:pPr>
            <w:r w:rsidRPr="00925C11">
              <w:t>Note:</w:t>
            </w:r>
          </w:p>
          <w:p w:rsidR="00000000" w:rsidRPr="00925C11" w:rsidP="00925C11">
            <w:pPr>
              <w:pStyle w:val="BodyText"/>
            </w:pPr>
            <w:r w:rsidRPr="00925C11">
              <w:t>Where simulation is considered a suitable strategy for assessment, conditions must be authentic and as far as possible reproduce and replicate the workplace and be consistent with the approved industry simulation policy.</w:t>
            </w:r>
          </w:p>
          <w:p w:rsidR="00000000" w:rsidRPr="00925C11" w:rsidP="00925C11">
            <w:pPr>
              <w:pStyle w:val="BodyText"/>
            </w:pPr>
            <w:r w:rsidRPr="00925C11">
              <w:t>The resources used for assessment s</w:t>
            </w:r>
            <w:r w:rsidRPr="00925C11">
              <w:t>hould reflect current industry practices in relation to winding coils.</w:t>
            </w:r>
          </w:p>
        </w:tc>
      </w:tr>
    </w:tbl>
    <w:p w:rsidR="00000000" w:rsidRPr="00925C11" w:rsidP="00925C11">
      <w:pPr>
        <w:pStyle w:val="BodyText"/>
      </w:pPr>
    </w:p>
    <w:tbl>
      <w:tblPr>
        <w:tblW w:w="0" w:type="auto"/>
        <w:tblLayout w:type="fixed"/>
        <w:tblCellMar>
          <w:left w:w="62" w:type="dxa"/>
          <w:right w:w="62" w:type="dxa"/>
        </w:tblCellMar>
        <w:tblLook w:val="0000"/>
      </w:tblPr>
      <w:tblGrid>
        <w:gridCol w:w="1890"/>
        <w:gridCol w:w="6570"/>
      </w:tblGrid>
      <w:tr w:rsidTr="00745F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9.4)</w:t>
            </w:r>
          </w:p>
        </w:tc>
      </w:tr>
      <w:tr w:rsidTr="00745F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This unit shall be assessed by methods given in Volume 1, Part 3 ‘Assessment Guidelines’.</w:t>
            </w:r>
          </w:p>
          <w:p w:rsidR="00000000" w:rsidRPr="00925C11" w:rsidP="00925C11">
            <w:pPr>
              <w:pStyle w:val="BodyText"/>
            </w:pPr>
            <w:r w:rsidRPr="00925C11">
              <w:t xml:space="preserve">Note: </w:t>
            </w:r>
          </w:p>
          <w:p w:rsidR="00000000" w:rsidRPr="00925C11" w:rsidP="00925C11">
            <w:pPr>
              <w:pStyle w:val="BodyText"/>
            </w:pPr>
            <w:r w:rsidRPr="00925C11">
              <w:t>Competent performance with inherent safe working practices</w:t>
            </w:r>
            <w:r w:rsidRPr="00925C11">
              <w:t xml:space="preserve"> is expected in the industry to which this unit applies. This requires assessment in a structured environment which is primarily intended for learning/assessment and incorporates all necessary </w:t>
            </w:r>
            <w:r w:rsidRPr="00925C11">
              <w:t>equipment and facilities for learners to develop and demonstrat</w:t>
            </w:r>
            <w:r w:rsidRPr="00925C11">
              <w:t>e the essential knowledge and skills described in this unit.</w:t>
            </w:r>
          </w:p>
        </w:tc>
      </w:tr>
    </w:tbl>
    <w:p w:rsidR="00000000" w:rsidRPr="00925C11" w:rsidP="00925C11">
      <w:pPr>
        <w:pStyle w:val="BodyText"/>
      </w:pPr>
    </w:p>
    <w:tbl>
      <w:tblPr>
        <w:tblW w:w="0" w:type="auto"/>
        <w:tblLayout w:type="fixed"/>
        <w:tblCellMar>
          <w:left w:w="62" w:type="dxa"/>
          <w:right w:w="62" w:type="dxa"/>
        </w:tblCellMar>
        <w:tblLook w:val="0000"/>
      </w:tblPr>
      <w:tblGrid>
        <w:gridCol w:w="1890"/>
        <w:gridCol w:w="6570"/>
      </w:tblGrid>
      <w:tr w:rsidTr="00745F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9.5)</w:t>
            </w:r>
          </w:p>
        </w:tc>
      </w:tr>
      <w:tr w:rsidTr="00745F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There are no concurrent assessment recommendations for this unit.</w:t>
            </w:r>
          </w:p>
          <w:p w:rsidR="00000000" w:rsidRPr="00925C11" w:rsidP="00925C11">
            <w:pPr>
              <w:pStyle w:val="BodyText"/>
            </w:pPr>
            <w:r w:rsidRPr="00925C11">
              <w:t>The critical aspects of occupational health and sa</w:t>
            </w:r>
            <w:r w:rsidRPr="00925C11">
              <w:t>fety covered in unit UEENEEE101A and other discipline specific occupational health and safety units shall be incorporated in relation to this unit.</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11" w:name="O_586037"/>
      <w:bookmarkEnd w:id="11"/>
      <w:r w:rsidRPr="00925C11">
        <w:t>Range Statement</w:t>
      </w:r>
    </w:p>
    <w:tbl>
      <w:tblPr>
        <w:tblW w:w="0" w:type="auto"/>
        <w:tblLayout w:type="fixed"/>
        <w:tblCellMar>
          <w:left w:w="62" w:type="dxa"/>
          <w:right w:w="62" w:type="dxa"/>
        </w:tblCellMar>
        <w:tblLook w:val="0000"/>
      </w:tblPr>
      <w:tblGrid>
        <w:gridCol w:w="8460"/>
      </w:tblGrid>
      <w:tr w:rsidTr="00745F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RANGE STATEMENT</w:t>
            </w:r>
          </w:p>
        </w:tc>
      </w:tr>
      <w:tr w:rsidTr="00745F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10)</w:t>
            </w:r>
            <w:r w:rsidRPr="00925C11">
              <w:t xml:space="preserve"> This relates to the unit as a whole providing the ra</w:t>
            </w:r>
            <w:r w:rsidRPr="00925C11">
              <w:t>nge of contexts and conditions to which the performance criteria apply. It allows for different work environments and situations that will affect performance.</w:t>
            </w:r>
          </w:p>
          <w:p w:rsidR="00000000" w:rsidRPr="00925C11" w:rsidP="00925C11">
            <w:pPr>
              <w:pStyle w:val="BodyText"/>
            </w:pPr>
            <w:r w:rsidRPr="00925C11">
              <w:t xml:space="preserve">This unit shall be demonstrated in relation to winding at least four different types of coils in </w:t>
            </w:r>
            <w:r w:rsidRPr="00925C11">
              <w:t>an environment designed specifically for the purpose.</w:t>
            </w:r>
          </w:p>
          <w:p w:rsidR="00000000" w:rsidRPr="00925C11" w:rsidP="00925C11">
            <w:pPr>
              <w:pStyle w:val="BodyText"/>
            </w:pPr>
            <w:r w:rsidRPr="00925C11">
              <w:t xml:space="preserve">Generic terms used throughout this Vocational Standard shall be regarded as part of the Range Statement in which competency is demonstrated. The definition of these and other terms that apply are given </w:t>
            </w:r>
            <w:r w:rsidRPr="00925C11">
              <w:t>in Volume 2, Part 2.1.</w:t>
            </w:r>
          </w:p>
        </w:tc>
      </w:tr>
    </w:tbl>
    <w:p w:rsidR="00000000" w:rsidRPr="00925C11" w:rsidP="00925C11">
      <w:pPr>
        <w:pStyle w:val="BodyText"/>
      </w:pPr>
    </w:p>
    <w:p w:rsidR="00000000" w:rsidRPr="00925C11" w:rsidP="00925C11">
      <w:pPr>
        <w:pStyle w:val="AllowPageBreak"/>
      </w:pPr>
    </w:p>
    <w:p w:rsidR="00000000" w:rsidRPr="00925C11" w:rsidP="00925C11">
      <w:pPr>
        <w:pStyle w:val="Heading1"/>
      </w:pPr>
      <w:bookmarkStart w:id="12" w:name="O_586036"/>
      <w:bookmarkEnd w:id="12"/>
      <w:r w:rsidRPr="00925C11">
        <w:t>Unit Sector(s)</w:t>
      </w:r>
    </w:p>
    <w:p w:rsidR="00000000" w:rsidRPr="00925C11" w:rsidP="00925C11">
      <w:pPr>
        <w:pStyle w:val="BodyText"/>
      </w:pPr>
      <w:r w:rsidRPr="00925C11">
        <w:t>Not applicable.</w:t>
      </w:r>
    </w:p>
    <w:p w:rsidR="00000000" w:rsidRPr="00925C11" w:rsidP="00925C11">
      <w:pPr>
        <w:pStyle w:val="AllowPageBreak"/>
      </w:pPr>
    </w:p>
    <w:p w:rsidR="00000000" w:rsidRPr="00925C11" w:rsidP="00925C11">
      <w:pPr>
        <w:pStyle w:val="Heading1"/>
      </w:pPr>
      <w:bookmarkStart w:id="13" w:name="O_586035"/>
      <w:bookmarkEnd w:id="13"/>
      <w:r w:rsidRPr="00925C11">
        <w:t>Competency Field</w:t>
      </w:r>
    </w:p>
    <w:tbl>
      <w:tblPr>
        <w:tblW w:w="0" w:type="auto"/>
        <w:tblLayout w:type="fixed"/>
        <w:tblCellMar>
          <w:left w:w="62" w:type="dxa"/>
          <w:right w:w="62" w:type="dxa"/>
        </w:tblCellMar>
        <w:tblLook w:val="0000"/>
      </w:tblPr>
      <w:tblGrid>
        <w:gridCol w:w="2700"/>
        <w:gridCol w:w="5760"/>
      </w:tblGrid>
      <w:tr w:rsidTr="00745F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5C11">
            <w:pPr>
              <w:pStyle w:val="BodyText"/>
              <w:rPr>
                <w:lang w:val="en-NZ"/>
              </w:rPr>
            </w:pPr>
            <w:r w:rsidRPr="00925C11">
              <w:rPr>
                <w:rStyle w:val="SpecialBold"/>
              </w:rPr>
              <w:t xml:space="preserve">11) </w:t>
            </w:r>
          </w:p>
        </w:tc>
      </w:tr>
      <w:tr w:rsidTr="00745F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5C11" w:rsidP="00925C11">
            <w:pPr>
              <w:pStyle w:val="BodyText"/>
            </w:pPr>
            <w:r w:rsidRPr="00925C11">
              <w:t>Electrical</w:t>
            </w:r>
          </w:p>
        </w:tc>
      </w:tr>
    </w:tbl>
    <w:p w:rsidR="00000000" w:rsidRPr="00925C11" w:rsidP="00925C11">
      <w:pPr>
        <w:pStyle w:val="BodyText"/>
      </w:pPr>
    </w:p>
    <w:p w:rsidR="00000000" w:rsidRPr="00925C11" w:rsidP="00925C11"/>
    <w:sectPr w:rsidSect="00925C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1" w:rsidRPr="00745F57" w:rsidP="00745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57" w:rsidP="00925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45F57" w:rsidP="00925C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45F57" w:rsidP="00925C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1" w:rsidRPr="00745F57" w:rsidP="00745F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57" w:rsidRPr="002D2AF8" w:rsidP="00925C11">
    <w:pPr>
      <w:pStyle w:val="Header"/>
      <w:framePr w:wrap="around"/>
    </w:pPr>
    <w:r>
      <w:fldChar w:fldCharType="begin"/>
    </w:r>
    <w:r>
      <w:instrText xml:space="preserve"> TITLE   \* MERGEFORMAT </w:instrText>
    </w:r>
    <w:r>
      <w:fldChar w:fldCharType="separate"/>
    </w:r>
    <w:r>
      <w:t>UEENEEG150A Wind electrical coils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45F57" w:rsidP="00925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D08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85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2C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C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C11"/>
    <w:pPr>
      <w:spacing w:before="360" w:after="60"/>
      <w:outlineLvl w:val="0"/>
    </w:pPr>
    <w:rPr>
      <w:sz w:val="32"/>
    </w:rPr>
  </w:style>
  <w:style w:type="paragraph" w:styleId="Heading2">
    <w:name w:val="heading 2"/>
    <w:basedOn w:val="HeadingBase"/>
    <w:next w:val="BodyText"/>
    <w:link w:val="Heading2Char"/>
    <w:qFormat/>
    <w:rsid w:val="00925C11"/>
    <w:pPr>
      <w:keepLines/>
      <w:spacing w:before="240" w:after="120"/>
      <w:outlineLvl w:val="1"/>
    </w:pPr>
    <w:rPr>
      <w:sz w:val="28"/>
      <w:szCs w:val="40"/>
    </w:rPr>
  </w:style>
  <w:style w:type="paragraph" w:styleId="Heading3">
    <w:name w:val="heading 3"/>
    <w:basedOn w:val="HeadingBase"/>
    <w:next w:val="BodyText"/>
    <w:link w:val="Heading3Char"/>
    <w:qFormat/>
    <w:rsid w:val="00925C11"/>
    <w:pPr>
      <w:spacing w:before="180" w:after="120"/>
      <w:outlineLvl w:val="2"/>
    </w:pPr>
    <w:rPr>
      <w:spacing w:val="-10"/>
      <w:kern w:val="32"/>
    </w:rPr>
  </w:style>
  <w:style w:type="paragraph" w:styleId="Heading4">
    <w:name w:val="heading 4"/>
    <w:basedOn w:val="HeadingBase"/>
    <w:next w:val="BodyText"/>
    <w:link w:val="Heading4Char"/>
    <w:qFormat/>
    <w:rsid w:val="00925C11"/>
    <w:pPr>
      <w:spacing w:before="160" w:after="120"/>
      <w:outlineLvl w:val="3"/>
    </w:pPr>
    <w:rPr>
      <w:sz w:val="22"/>
    </w:rPr>
  </w:style>
  <w:style w:type="paragraph" w:styleId="Heading5">
    <w:name w:val="heading 5"/>
    <w:basedOn w:val="HeadingBase"/>
    <w:next w:val="Normal"/>
    <w:link w:val="Heading5Char"/>
    <w:qFormat/>
    <w:rsid w:val="00925C11"/>
    <w:pPr>
      <w:spacing w:before="80"/>
      <w:outlineLvl w:val="4"/>
    </w:pPr>
    <w:rPr>
      <w:color w:val="918585"/>
      <w:sz w:val="20"/>
    </w:rPr>
  </w:style>
  <w:style w:type="paragraph" w:styleId="Heading6">
    <w:name w:val="heading 6"/>
    <w:basedOn w:val="HeadingBase"/>
    <w:next w:val="Normal"/>
    <w:link w:val="Heading6Char"/>
    <w:qFormat/>
    <w:rsid w:val="00925C11"/>
    <w:pPr>
      <w:spacing w:before="60"/>
      <w:outlineLvl w:val="5"/>
    </w:pPr>
    <w:rPr>
      <w:color w:val="918585"/>
      <w:sz w:val="20"/>
    </w:rPr>
  </w:style>
  <w:style w:type="paragraph" w:styleId="Heading7">
    <w:name w:val="heading 7"/>
    <w:basedOn w:val="Normal"/>
    <w:next w:val="Normal"/>
    <w:link w:val="Heading7Char"/>
    <w:qFormat/>
    <w:rsid w:val="00925C11"/>
    <w:pPr>
      <w:ind w:left="720"/>
      <w:outlineLvl w:val="6"/>
    </w:pPr>
    <w:rPr>
      <w:i/>
    </w:rPr>
  </w:style>
  <w:style w:type="paragraph" w:styleId="Heading8">
    <w:name w:val="heading 8"/>
    <w:basedOn w:val="Normal"/>
    <w:next w:val="Normal"/>
    <w:link w:val="Heading8Char"/>
    <w:qFormat/>
    <w:rsid w:val="00925C11"/>
    <w:pPr>
      <w:ind w:left="720"/>
      <w:outlineLvl w:val="7"/>
    </w:pPr>
    <w:rPr>
      <w:i/>
    </w:rPr>
  </w:style>
  <w:style w:type="paragraph" w:styleId="Heading9">
    <w:name w:val="heading 9"/>
    <w:basedOn w:val="Normal"/>
    <w:next w:val="Normal"/>
    <w:link w:val="Heading9Char"/>
    <w:qFormat/>
    <w:rsid w:val="00925C11"/>
    <w:pPr>
      <w:ind w:left="720"/>
      <w:outlineLvl w:val="8"/>
    </w:pPr>
    <w:rPr>
      <w:i/>
    </w:rPr>
  </w:style>
  <w:style w:type="character" w:default="1" w:styleId="DefaultParagraphFont">
    <w:name w:val="Default Paragraph Font"/>
    <w:uiPriority w:val="1"/>
    <w:unhideWhenUsed/>
    <w:rsid w:val="00925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C11"/>
  </w:style>
  <w:style w:type="character" w:customStyle="1" w:styleId="Heading1Char">
    <w:name w:val="Heading 1 Char"/>
    <w:basedOn w:val="DefaultParagraphFont"/>
    <w:link w:val="Heading1"/>
    <w:rsid w:val="00925C11"/>
    <w:rPr>
      <w:rFonts w:ascii="Times New Roman" w:eastAsia="Times New Roman" w:hAnsi="Times New Roman" w:cs="Times New Roman"/>
      <w:b/>
      <w:sz w:val="32"/>
      <w:szCs w:val="20"/>
      <w:lang w:eastAsia="en-US"/>
    </w:rPr>
  </w:style>
  <w:style w:type="paragraph" w:styleId="BodyText">
    <w:name w:val="Body Text"/>
    <w:basedOn w:val="Normal"/>
    <w:link w:val="BodyTextChar"/>
    <w:rsid w:val="00925C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5C11"/>
    <w:rPr>
      <w:rFonts w:ascii="Times New Roman" w:eastAsia="Times New Roman" w:hAnsi="Times New Roman" w:cs="Times New Roman"/>
      <w:sz w:val="24"/>
      <w:lang w:eastAsia="en-US"/>
    </w:rPr>
  </w:style>
  <w:style w:type="paragraph" w:styleId="ListBullet">
    <w:name w:val="List Bullet"/>
    <w:basedOn w:val="List"/>
    <w:rsid w:val="00925C11"/>
    <w:pPr>
      <w:numPr>
        <w:numId w:val="13"/>
      </w:numPr>
      <w:tabs>
        <w:tab w:val="clear" w:pos="340"/>
      </w:tabs>
      <w:spacing w:before="40" w:after="40"/>
    </w:pPr>
  </w:style>
  <w:style w:type="character" w:customStyle="1" w:styleId="SpecialBold">
    <w:name w:val="Special Bold"/>
    <w:basedOn w:val="DefaultParagraphFont"/>
    <w:rsid w:val="00925C11"/>
    <w:rPr>
      <w:b/>
      <w:spacing w:val="0"/>
    </w:rPr>
  </w:style>
  <w:style w:type="paragraph" w:styleId="ListBullet2">
    <w:name w:val="List Bullet 2"/>
    <w:basedOn w:val="List2"/>
    <w:rsid w:val="00925C11"/>
    <w:pPr>
      <w:numPr>
        <w:numId w:val="14"/>
      </w:numPr>
      <w:tabs>
        <w:tab w:val="clear" w:pos="680"/>
      </w:tabs>
    </w:pPr>
  </w:style>
  <w:style w:type="paragraph" w:customStyle="1" w:styleId="SuperHeading">
    <w:name w:val="SuperHeading"/>
    <w:basedOn w:val="Normal"/>
    <w:rsid w:val="00925C11"/>
    <w:pPr>
      <w:spacing w:before="240" w:after="120"/>
      <w:outlineLvl w:val="0"/>
    </w:pPr>
    <w:rPr>
      <w:rFonts w:ascii="Times New Roman" w:hAnsi="Times New Roman"/>
      <w:b/>
      <w:sz w:val="32"/>
    </w:rPr>
  </w:style>
  <w:style w:type="paragraph" w:customStyle="1" w:styleId="AllowPageBreak">
    <w:name w:val="AllowPageBreak"/>
    <w:rsid w:val="00925C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5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C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C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C11"/>
    <w:rPr>
      <w:rFonts w:ascii="Courier New" w:eastAsia="Times New Roman" w:hAnsi="Courier New" w:cs="Times New Roman"/>
      <w:i/>
      <w:szCs w:val="20"/>
      <w:lang w:eastAsia="en-US"/>
    </w:rPr>
  </w:style>
  <w:style w:type="paragraph" w:customStyle="1" w:styleId="HeadingBase">
    <w:name w:val="Heading Base"/>
    <w:rsid w:val="00925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C11"/>
    <w:pPr>
      <w:tabs>
        <w:tab w:val="right" w:leader="dot" w:pos="9072"/>
      </w:tabs>
      <w:ind w:left="567"/>
    </w:pPr>
    <w:rPr>
      <w:szCs w:val="22"/>
    </w:rPr>
  </w:style>
  <w:style w:type="paragraph" w:customStyle="1" w:styleId="TOCBase">
    <w:name w:val="TOC Base"/>
    <w:rsid w:val="00925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C11"/>
    <w:pPr>
      <w:tabs>
        <w:tab w:val="right" w:leader="dot" w:pos="9072"/>
      </w:tabs>
      <w:spacing w:before="40" w:after="40"/>
      <w:ind w:left="284"/>
    </w:pPr>
    <w:rPr>
      <w:rFonts w:ascii="Times New Roman" w:hAnsi="Times New Roman"/>
    </w:rPr>
  </w:style>
  <w:style w:type="paragraph" w:styleId="TOC1">
    <w:name w:val="toc 1"/>
    <w:basedOn w:val="TOCBase"/>
    <w:next w:val="Normal"/>
    <w:rsid w:val="00925C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C11"/>
    <w:rPr>
      <w:rFonts w:ascii="Times New Roman" w:eastAsia="Times New Roman" w:hAnsi="Times New Roman" w:cs="Times New Roman"/>
      <w:sz w:val="16"/>
      <w:lang w:eastAsia="en-US"/>
    </w:rPr>
  </w:style>
  <w:style w:type="paragraph" w:styleId="Title">
    <w:name w:val="Title"/>
    <w:basedOn w:val="HeadingBase"/>
    <w:link w:val="TitleChar"/>
    <w:qFormat/>
    <w:rsid w:val="00925C11"/>
    <w:pPr>
      <w:spacing w:before="5040"/>
      <w:jc w:val="center"/>
    </w:pPr>
    <w:rPr>
      <w:sz w:val="48"/>
      <w:szCs w:val="72"/>
      <w:lang w:val="en-US"/>
    </w:rPr>
  </w:style>
  <w:style w:type="character" w:customStyle="1" w:styleId="TitleChar">
    <w:name w:val="Title Char"/>
    <w:basedOn w:val="DefaultParagraphFont"/>
    <w:link w:val="Title"/>
    <w:rsid w:val="00925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C11"/>
    <w:pPr>
      <w:tabs>
        <w:tab w:val="left" w:pos="3600"/>
        <w:tab w:val="left" w:pos="3958"/>
      </w:tabs>
    </w:pPr>
  </w:style>
  <w:style w:type="paragraph" w:styleId="List">
    <w:name w:val="List"/>
    <w:basedOn w:val="BodyText"/>
    <w:next w:val="BodyText"/>
    <w:rsid w:val="00925C11"/>
    <w:pPr>
      <w:tabs>
        <w:tab w:val="left" w:pos="340"/>
      </w:tabs>
      <w:spacing w:before="60" w:after="60"/>
      <w:ind w:left="340" w:hanging="340"/>
    </w:pPr>
  </w:style>
  <w:style w:type="paragraph" w:customStyle="1" w:styleId="Note">
    <w:name w:val="Note"/>
    <w:basedOn w:val="BodyText"/>
    <w:rsid w:val="00925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C11"/>
    <w:pPr>
      <w:framePr w:wrap="auto" w:hAnchor="text" w:y="6049"/>
    </w:pPr>
    <w:rPr>
      <w:color w:val="000000"/>
      <w:sz w:val="40"/>
    </w:rPr>
  </w:style>
  <w:style w:type="paragraph" w:customStyle="1" w:styleId="TOCTitle">
    <w:name w:val="TOCTitle"/>
    <w:basedOn w:val="Heading1"/>
    <w:rsid w:val="00925C11"/>
    <w:pPr>
      <w:spacing w:after="240"/>
      <w:jc w:val="center"/>
      <w:outlineLvl w:val="9"/>
    </w:pPr>
    <w:rPr>
      <w:caps/>
    </w:rPr>
  </w:style>
  <w:style w:type="paragraph" w:customStyle="1" w:styleId="Version">
    <w:name w:val="Version"/>
    <w:rsid w:val="00925C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C11"/>
    <w:pPr>
      <w:keepNext w:val="0"/>
      <w:tabs>
        <w:tab w:val="right" w:pos="4176"/>
      </w:tabs>
      <w:ind w:left="198" w:hanging="198"/>
    </w:pPr>
    <w:rPr>
      <w:rFonts w:ascii="Garamond" w:hAnsi="Garamond"/>
    </w:rPr>
  </w:style>
  <w:style w:type="paragraph" w:styleId="IndexHeading">
    <w:name w:val="index heading"/>
    <w:basedOn w:val="Normal"/>
    <w:next w:val="Index1"/>
    <w:semiHidden/>
    <w:rsid w:val="00925C11"/>
    <w:pPr>
      <w:spacing w:before="120" w:after="120"/>
    </w:pPr>
    <w:rPr>
      <w:rFonts w:ascii="Arial" w:hAnsi="Arial"/>
      <w:b/>
      <w:color w:val="918585"/>
      <w:sz w:val="24"/>
    </w:rPr>
  </w:style>
  <w:style w:type="paragraph" w:styleId="Header">
    <w:name w:val="header"/>
    <w:basedOn w:val="Normal"/>
    <w:link w:val="HeaderChar"/>
    <w:rsid w:val="00925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C11"/>
    <w:rPr>
      <w:rFonts w:ascii="Times New Roman" w:eastAsia="Times New Roman" w:hAnsi="Times New Roman" w:cs="Times New Roman"/>
      <w:sz w:val="16"/>
      <w:szCs w:val="20"/>
      <w:lang w:val="en-GB" w:eastAsia="en-US"/>
    </w:rPr>
  </w:style>
  <w:style w:type="paragraph" w:customStyle="1" w:styleId="Chapter">
    <w:name w:val="Chapter"/>
    <w:basedOn w:val="Normal"/>
    <w:rsid w:val="00925C11"/>
    <w:pPr>
      <w:spacing w:before="240"/>
    </w:pPr>
    <w:rPr>
      <w:rFonts w:ascii="Times New Roman" w:hAnsi="Times New Roman"/>
      <w:smallCaps/>
      <w:spacing w:val="80"/>
      <w:sz w:val="28"/>
    </w:rPr>
  </w:style>
  <w:style w:type="paragraph" w:customStyle="1" w:styleId="InChapter">
    <w:name w:val="InChapter"/>
    <w:basedOn w:val="Heading3"/>
    <w:rsid w:val="00925C11"/>
    <w:pPr>
      <w:spacing w:after="240"/>
      <w:outlineLvl w:val="9"/>
    </w:pPr>
    <w:rPr>
      <w:noProof/>
    </w:rPr>
  </w:style>
  <w:style w:type="paragraph" w:styleId="Index2">
    <w:name w:val="index 2"/>
    <w:basedOn w:val="Normal"/>
    <w:next w:val="Normal"/>
    <w:semiHidden/>
    <w:rsid w:val="00925C11"/>
    <w:pPr>
      <w:tabs>
        <w:tab w:val="right" w:pos="4176"/>
      </w:tabs>
      <w:ind w:left="568" w:hanging="284"/>
    </w:pPr>
    <w:rPr>
      <w:rFonts w:ascii="Garamond" w:hAnsi="Garamond"/>
    </w:rPr>
  </w:style>
  <w:style w:type="paragraph" w:customStyle="1" w:styleId="Byline">
    <w:name w:val="Byline"/>
    <w:rsid w:val="00925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C11"/>
    <w:pPr>
      <w:tabs>
        <w:tab w:val="clear" w:pos="3600"/>
        <w:tab w:val="clear" w:pos="3958"/>
      </w:tabs>
      <w:jc w:val="right"/>
    </w:pPr>
  </w:style>
  <w:style w:type="character" w:styleId="Emphasis">
    <w:name w:val="Emphasis"/>
    <w:basedOn w:val="DefaultParagraphFont"/>
    <w:qFormat/>
    <w:rsid w:val="00925C11"/>
    <w:rPr>
      <w:i/>
    </w:rPr>
  </w:style>
  <w:style w:type="paragraph" w:styleId="Caption">
    <w:name w:val="caption"/>
    <w:basedOn w:val="BodyText"/>
    <w:next w:val="Normal"/>
    <w:qFormat/>
    <w:rsid w:val="00925C11"/>
    <w:pPr>
      <w:framePr w:w="2268" w:hSpace="181" w:vSpace="181" w:wrap="around" w:vAnchor="text" w:hAnchor="page" w:x="1135" w:y="285" w:anchorLock="1"/>
    </w:pPr>
    <w:rPr>
      <w:i/>
    </w:rPr>
  </w:style>
  <w:style w:type="paragraph" w:customStyle="1" w:styleId="MiniTOCTitle">
    <w:name w:val="MiniTOCTitle"/>
    <w:basedOn w:val="Heading4"/>
    <w:rsid w:val="00925C11"/>
    <w:pPr>
      <w:spacing w:before="240"/>
      <w:outlineLvl w:val="9"/>
    </w:pPr>
    <w:rPr>
      <w:noProof/>
      <w:sz w:val="24"/>
    </w:rPr>
  </w:style>
  <w:style w:type="paragraph" w:customStyle="1" w:styleId="MiniTOCItem">
    <w:name w:val="MiniTOCItem"/>
    <w:basedOn w:val="ListBullet"/>
    <w:rsid w:val="00925C11"/>
    <w:pPr>
      <w:numPr>
        <w:numId w:val="0"/>
      </w:numPr>
      <w:tabs>
        <w:tab w:val="right" w:leader="dot" w:pos="6521"/>
      </w:tabs>
      <w:spacing w:before="0" w:after="0"/>
    </w:pPr>
  </w:style>
  <w:style w:type="paragraph" w:customStyle="1" w:styleId="TOFTitle">
    <w:name w:val="TOFTitle"/>
    <w:basedOn w:val="TOCTitle"/>
    <w:rsid w:val="00925C11"/>
  </w:style>
  <w:style w:type="paragraph" w:styleId="TableofFigures">
    <w:name w:val="table of figures"/>
    <w:basedOn w:val="Normal"/>
    <w:next w:val="Normal"/>
    <w:semiHidden/>
    <w:rsid w:val="00925C11"/>
    <w:pPr>
      <w:tabs>
        <w:tab w:val="right" w:leader="dot" w:pos="9072"/>
      </w:tabs>
      <w:ind w:left="970" w:hanging="403"/>
    </w:pPr>
    <w:rPr>
      <w:rFonts w:ascii="Times New Roman" w:hAnsi="Times New Roman"/>
      <w:b/>
    </w:rPr>
  </w:style>
  <w:style w:type="paragraph" w:styleId="ListNumber">
    <w:name w:val="List Number"/>
    <w:basedOn w:val="List"/>
    <w:rsid w:val="00925C11"/>
    <w:pPr>
      <w:numPr>
        <w:numId w:val="11"/>
      </w:numPr>
    </w:pPr>
  </w:style>
  <w:style w:type="character" w:customStyle="1" w:styleId="WingdingSymbols">
    <w:name w:val="Wingding Symbols"/>
    <w:rsid w:val="00925C11"/>
    <w:rPr>
      <w:rFonts w:ascii="Wingdings" w:hAnsi="Wingdings"/>
    </w:rPr>
  </w:style>
  <w:style w:type="paragraph" w:customStyle="1" w:styleId="TableHeading">
    <w:name w:val="Table Heading"/>
    <w:basedOn w:val="HeadingBase"/>
    <w:rsid w:val="00925C11"/>
    <w:pPr>
      <w:keepLines/>
      <w:pBdr>
        <w:bottom w:val="single" w:sz="6" w:space="1" w:color="918585"/>
      </w:pBdr>
      <w:spacing w:before="240"/>
    </w:pPr>
  </w:style>
  <w:style w:type="character" w:customStyle="1" w:styleId="HotSpot">
    <w:name w:val="HotSpot"/>
    <w:rsid w:val="00925C11"/>
    <w:rPr>
      <w:color w:val="0033CC"/>
      <w:u w:val="none"/>
    </w:rPr>
  </w:style>
  <w:style w:type="paragraph" w:customStyle="1" w:styleId="BodyTextRight">
    <w:name w:val="Body Text Right"/>
    <w:basedOn w:val="BodyText"/>
    <w:rsid w:val="00925C11"/>
    <w:pPr>
      <w:spacing w:before="0" w:after="0"/>
      <w:jc w:val="right"/>
    </w:pPr>
  </w:style>
  <w:style w:type="paragraph" w:styleId="Index3">
    <w:name w:val="index 3"/>
    <w:basedOn w:val="ListNumber2"/>
    <w:next w:val="Normal"/>
    <w:semiHidden/>
    <w:rsid w:val="00925C11"/>
    <w:pPr>
      <w:numPr>
        <w:numId w:val="0"/>
      </w:numPr>
      <w:tabs>
        <w:tab w:val="right" w:leader="dot" w:pos="4176"/>
      </w:tabs>
    </w:pPr>
  </w:style>
  <w:style w:type="paragraph" w:styleId="ListNumber2">
    <w:name w:val="List Number 2"/>
    <w:basedOn w:val="List2"/>
    <w:rsid w:val="00925C11"/>
    <w:pPr>
      <w:numPr>
        <w:numId w:val="10"/>
      </w:numPr>
      <w:tabs>
        <w:tab w:val="clear" w:pos="1060"/>
      </w:tabs>
    </w:pPr>
  </w:style>
  <w:style w:type="paragraph" w:customStyle="1" w:styleId="MarginNote">
    <w:name w:val="Margin Note"/>
    <w:basedOn w:val="BodyText"/>
    <w:rsid w:val="00925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C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C11"/>
    <w:rPr>
      <w:sz w:val="32"/>
    </w:rPr>
  </w:style>
  <w:style w:type="paragraph" w:customStyle="1" w:styleId="HeadingProcedure">
    <w:name w:val="Heading Procedure"/>
    <w:basedOn w:val="HeadingBase"/>
    <w:next w:val="Normal"/>
    <w:rsid w:val="00925C11"/>
    <w:pPr>
      <w:tabs>
        <w:tab w:val="left" w:pos="0"/>
      </w:tabs>
      <w:spacing w:before="120" w:after="60"/>
    </w:pPr>
    <w:rPr>
      <w:i/>
      <w:color w:val="918585"/>
      <w:sz w:val="22"/>
    </w:rPr>
  </w:style>
  <w:style w:type="paragraph" w:customStyle="1" w:styleId="TableBodyText">
    <w:name w:val="Table Body Text"/>
    <w:basedOn w:val="BodyText"/>
    <w:rsid w:val="00925C11"/>
    <w:pPr>
      <w:spacing w:before="60" w:after="60"/>
    </w:pPr>
  </w:style>
  <w:style w:type="paragraph" w:styleId="ListContinue">
    <w:name w:val="List Continue"/>
    <w:basedOn w:val="List"/>
    <w:rsid w:val="00925C11"/>
    <w:pPr>
      <w:ind w:firstLine="0"/>
    </w:pPr>
  </w:style>
  <w:style w:type="paragraph" w:customStyle="1" w:styleId="ListNote">
    <w:name w:val="List Note"/>
    <w:basedOn w:val="List"/>
    <w:rsid w:val="00925C11"/>
    <w:pPr>
      <w:pBdr>
        <w:top w:val="single" w:sz="6" w:space="2" w:color="918585"/>
        <w:bottom w:val="single" w:sz="6" w:space="2" w:color="918585"/>
      </w:pBdr>
      <w:tabs>
        <w:tab w:val="left" w:pos="1021"/>
      </w:tabs>
      <w:ind w:firstLine="0"/>
    </w:pPr>
  </w:style>
  <w:style w:type="paragraph" w:customStyle="1" w:styleId="Warning">
    <w:name w:val="Warning"/>
    <w:basedOn w:val="BodyText"/>
    <w:rsid w:val="00925C11"/>
    <w:pPr>
      <w:shd w:val="clear" w:color="auto" w:fill="D9D9D9"/>
      <w:tabs>
        <w:tab w:val="left" w:pos="992"/>
      </w:tabs>
      <w:ind w:left="119" w:right="119"/>
    </w:pPr>
    <w:rPr>
      <w:sz w:val="20"/>
    </w:rPr>
  </w:style>
  <w:style w:type="paragraph" w:customStyle="1" w:styleId="MarginIcons">
    <w:name w:val="Margin Icons"/>
    <w:basedOn w:val="BodyText"/>
    <w:rsid w:val="00925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C11"/>
    <w:rPr>
      <w:rFonts w:ascii="Courier New" w:hAnsi="Courier New"/>
    </w:rPr>
  </w:style>
  <w:style w:type="paragraph" w:customStyle="1" w:styleId="NoteBullet">
    <w:name w:val="Note Bullet"/>
    <w:basedOn w:val="Note"/>
    <w:rsid w:val="00925C11"/>
    <w:pPr>
      <w:tabs>
        <w:tab w:val="clear" w:pos="680"/>
      </w:tabs>
      <w:spacing w:before="60" w:after="60"/>
    </w:pPr>
  </w:style>
  <w:style w:type="paragraph" w:customStyle="1" w:styleId="SubHeading2">
    <w:name w:val="SubHeading2"/>
    <w:basedOn w:val="HeadingBase"/>
    <w:rsid w:val="00925C11"/>
    <w:pPr>
      <w:spacing w:before="240" w:after="60"/>
    </w:pPr>
    <w:rPr>
      <w:sz w:val="20"/>
    </w:rPr>
  </w:style>
  <w:style w:type="paragraph" w:customStyle="1" w:styleId="SubHeading1">
    <w:name w:val="SubHeading1"/>
    <w:basedOn w:val="HeadingBase"/>
    <w:rsid w:val="00925C11"/>
    <w:pPr>
      <w:spacing w:before="240" w:after="60"/>
    </w:pPr>
    <w:rPr>
      <w:color w:val="918585"/>
      <w:sz w:val="22"/>
    </w:rPr>
  </w:style>
  <w:style w:type="paragraph" w:customStyle="1" w:styleId="SideHeading">
    <w:name w:val="Side Heading"/>
    <w:basedOn w:val="HeadingBase"/>
    <w:rsid w:val="00925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C11"/>
    <w:pPr>
      <w:numPr>
        <w:numId w:val="12"/>
      </w:numPr>
    </w:pPr>
  </w:style>
  <w:style w:type="paragraph" w:styleId="PlainText">
    <w:name w:val="Plain Text"/>
    <w:basedOn w:val="Normal"/>
    <w:link w:val="PlainTextChar"/>
    <w:rsid w:val="00925C11"/>
    <w:rPr>
      <w:sz w:val="20"/>
    </w:rPr>
  </w:style>
  <w:style w:type="character" w:customStyle="1" w:styleId="PlainTextChar">
    <w:name w:val="Plain Text Char"/>
    <w:basedOn w:val="DefaultParagraphFont"/>
    <w:link w:val="PlainText"/>
    <w:rsid w:val="00925C11"/>
    <w:rPr>
      <w:rFonts w:ascii="Courier New" w:eastAsia="Times New Roman" w:hAnsi="Courier New" w:cs="Times New Roman"/>
      <w:sz w:val="20"/>
      <w:szCs w:val="20"/>
      <w:lang w:eastAsia="en-US"/>
    </w:rPr>
  </w:style>
  <w:style w:type="character" w:customStyle="1" w:styleId="MenuOption">
    <w:name w:val="Menu Option"/>
    <w:basedOn w:val="DefaultParagraphFont"/>
    <w:rsid w:val="00925C11"/>
    <w:rPr>
      <w:b/>
      <w:smallCaps/>
    </w:rPr>
  </w:style>
  <w:style w:type="paragraph" w:customStyle="1" w:styleId="TableListNumber">
    <w:name w:val="Table List Number"/>
    <w:basedOn w:val="ListNumber"/>
    <w:rsid w:val="00925C11"/>
    <w:pPr>
      <w:numPr>
        <w:numId w:val="0"/>
      </w:numPr>
    </w:pPr>
  </w:style>
  <w:style w:type="paragraph" w:styleId="TOC4">
    <w:name w:val="toc 4"/>
    <w:basedOn w:val="TOCBase"/>
    <w:next w:val="Normal"/>
    <w:semiHidden/>
    <w:rsid w:val="00925C11"/>
    <w:pPr>
      <w:tabs>
        <w:tab w:val="right" w:leader="dot" w:pos="9071"/>
      </w:tabs>
      <w:ind w:left="1701"/>
    </w:pPr>
  </w:style>
  <w:style w:type="paragraph" w:customStyle="1" w:styleId="ListAlpha">
    <w:name w:val="List Alpha"/>
    <w:basedOn w:val="List"/>
    <w:rsid w:val="00925C11"/>
    <w:pPr>
      <w:numPr>
        <w:numId w:val="9"/>
      </w:numPr>
    </w:pPr>
  </w:style>
  <w:style w:type="paragraph" w:customStyle="1" w:styleId="ListAlpha2">
    <w:name w:val="List Alpha 2"/>
    <w:basedOn w:val="List2"/>
    <w:rsid w:val="00925C11"/>
    <w:pPr>
      <w:numPr>
        <w:numId w:val="8"/>
      </w:numPr>
    </w:pPr>
  </w:style>
  <w:style w:type="paragraph" w:styleId="List2">
    <w:name w:val="List 2"/>
    <w:basedOn w:val="BodyText"/>
    <w:rsid w:val="00925C11"/>
    <w:pPr>
      <w:tabs>
        <w:tab w:val="left" w:pos="680"/>
      </w:tabs>
      <w:spacing w:before="60" w:after="60"/>
      <w:ind w:left="680" w:hanging="340"/>
    </w:pPr>
  </w:style>
  <w:style w:type="paragraph" w:styleId="List3">
    <w:name w:val="List 3"/>
    <w:basedOn w:val="BodyText"/>
    <w:rsid w:val="00925C11"/>
    <w:pPr>
      <w:tabs>
        <w:tab w:val="left" w:pos="1021"/>
      </w:tabs>
      <w:spacing w:before="60" w:after="60"/>
      <w:ind w:left="1020" w:hanging="340"/>
    </w:pPr>
  </w:style>
  <w:style w:type="paragraph" w:styleId="List4">
    <w:name w:val="List 4"/>
    <w:basedOn w:val="BodyText"/>
    <w:rsid w:val="00925C11"/>
    <w:pPr>
      <w:tabs>
        <w:tab w:val="left" w:pos="1361"/>
      </w:tabs>
      <w:spacing w:before="60" w:after="60"/>
      <w:ind w:left="1361" w:hanging="340"/>
    </w:pPr>
  </w:style>
  <w:style w:type="paragraph" w:styleId="List5">
    <w:name w:val="List 5"/>
    <w:basedOn w:val="BodyText"/>
    <w:rsid w:val="00925C11"/>
    <w:pPr>
      <w:tabs>
        <w:tab w:val="left" w:pos="1701"/>
      </w:tabs>
      <w:spacing w:before="60" w:after="60"/>
      <w:ind w:left="1701" w:hanging="340"/>
    </w:pPr>
  </w:style>
  <w:style w:type="paragraph" w:styleId="ListBullet3">
    <w:name w:val="List Bullet 3"/>
    <w:basedOn w:val="List3"/>
    <w:rsid w:val="00925C11"/>
    <w:pPr>
      <w:numPr>
        <w:numId w:val="15"/>
      </w:numPr>
      <w:tabs>
        <w:tab w:val="clear" w:pos="1021"/>
      </w:tabs>
      <w:ind w:left="1037" w:hanging="357"/>
    </w:pPr>
  </w:style>
  <w:style w:type="paragraph" w:styleId="ListBullet4">
    <w:name w:val="List Bullet 4"/>
    <w:basedOn w:val="List4"/>
    <w:rsid w:val="00925C11"/>
    <w:pPr>
      <w:numPr>
        <w:numId w:val="3"/>
      </w:numPr>
    </w:pPr>
  </w:style>
  <w:style w:type="paragraph" w:styleId="ListBullet5">
    <w:name w:val="List Bullet 5"/>
    <w:basedOn w:val="List5"/>
    <w:rsid w:val="00925C11"/>
    <w:pPr>
      <w:numPr>
        <w:numId w:val="4"/>
      </w:numPr>
    </w:pPr>
  </w:style>
  <w:style w:type="paragraph" w:styleId="ListContinue2">
    <w:name w:val="List Continue 2"/>
    <w:basedOn w:val="List2"/>
    <w:rsid w:val="00925C11"/>
    <w:pPr>
      <w:ind w:firstLine="0"/>
    </w:pPr>
  </w:style>
  <w:style w:type="paragraph" w:styleId="ListContinue3">
    <w:name w:val="List Continue 3"/>
    <w:basedOn w:val="List3"/>
    <w:rsid w:val="00925C11"/>
    <w:pPr>
      <w:ind w:left="1021" w:firstLine="0"/>
    </w:pPr>
  </w:style>
  <w:style w:type="paragraph" w:styleId="ListContinue4">
    <w:name w:val="List Continue 4"/>
    <w:basedOn w:val="List4"/>
    <w:rsid w:val="00925C11"/>
    <w:pPr>
      <w:ind w:firstLine="0"/>
    </w:pPr>
  </w:style>
  <w:style w:type="paragraph" w:styleId="ListContinue5">
    <w:name w:val="List Continue 5"/>
    <w:basedOn w:val="List5"/>
    <w:rsid w:val="00925C11"/>
    <w:pPr>
      <w:ind w:firstLine="0"/>
    </w:pPr>
  </w:style>
  <w:style w:type="paragraph" w:styleId="ListNumber3">
    <w:name w:val="List Number 3"/>
    <w:basedOn w:val="List3"/>
    <w:rsid w:val="00925C11"/>
    <w:pPr>
      <w:numPr>
        <w:numId w:val="5"/>
      </w:numPr>
    </w:pPr>
  </w:style>
  <w:style w:type="paragraph" w:styleId="ListNumber4">
    <w:name w:val="List Number 4"/>
    <w:basedOn w:val="List4"/>
    <w:rsid w:val="00925C11"/>
    <w:pPr>
      <w:numPr>
        <w:numId w:val="6"/>
      </w:numPr>
    </w:pPr>
  </w:style>
  <w:style w:type="paragraph" w:styleId="ListNumber5">
    <w:name w:val="List Number 5"/>
    <w:basedOn w:val="List5"/>
    <w:rsid w:val="00925C11"/>
    <w:pPr>
      <w:numPr>
        <w:numId w:val="7"/>
      </w:numPr>
    </w:pPr>
  </w:style>
  <w:style w:type="paragraph" w:styleId="BlockText">
    <w:name w:val="Block Text"/>
    <w:basedOn w:val="Normal"/>
    <w:rsid w:val="00925C11"/>
    <w:pPr>
      <w:spacing w:after="120"/>
      <w:ind w:left="1440" w:right="1440"/>
    </w:pPr>
  </w:style>
  <w:style w:type="character" w:customStyle="1" w:styleId="Subscript">
    <w:name w:val="Subscript"/>
    <w:basedOn w:val="DefaultParagraphFont"/>
    <w:rsid w:val="00925C11"/>
    <w:rPr>
      <w:sz w:val="16"/>
      <w:vertAlign w:val="subscript"/>
    </w:rPr>
  </w:style>
  <w:style w:type="character" w:customStyle="1" w:styleId="Superscript">
    <w:name w:val="Superscript"/>
    <w:basedOn w:val="DefaultParagraphFont"/>
    <w:rsid w:val="00925C11"/>
    <w:rPr>
      <w:sz w:val="16"/>
      <w:vertAlign w:val="superscript"/>
    </w:rPr>
  </w:style>
  <w:style w:type="character" w:customStyle="1" w:styleId="Symbols">
    <w:name w:val="Symbols"/>
    <w:basedOn w:val="DefaultParagraphFont"/>
    <w:rsid w:val="00925C11"/>
    <w:rPr>
      <w:rFonts w:ascii="Symbol" w:hAnsi="Symbol"/>
    </w:rPr>
  </w:style>
  <w:style w:type="character" w:customStyle="1" w:styleId="MenuOptions">
    <w:name w:val="Menu Options"/>
    <w:basedOn w:val="DefaultParagraphFont"/>
    <w:rsid w:val="00925C11"/>
    <w:rPr>
      <w:rFonts w:ascii="Arial Narrow" w:hAnsi="Arial Narrow"/>
      <w:smallCaps/>
    </w:rPr>
  </w:style>
  <w:style w:type="character" w:customStyle="1" w:styleId="Buttons">
    <w:name w:val="Buttons"/>
    <w:basedOn w:val="DefaultParagraphFont"/>
    <w:rsid w:val="00925C11"/>
    <w:rPr>
      <w:b/>
    </w:rPr>
  </w:style>
  <w:style w:type="character" w:customStyle="1" w:styleId="Underlined">
    <w:name w:val="Underlined"/>
    <w:basedOn w:val="DefaultParagraphFont"/>
    <w:rsid w:val="00925C11"/>
    <w:rPr>
      <w:u w:val="single"/>
    </w:rPr>
  </w:style>
  <w:style w:type="paragraph" w:customStyle="1" w:styleId="TableBodyTextRight">
    <w:name w:val="Table Body Text Right"/>
    <w:basedOn w:val="TableBodyText"/>
    <w:rsid w:val="00925C11"/>
    <w:pPr>
      <w:widowControl w:val="0"/>
      <w:autoSpaceDE w:val="0"/>
      <w:autoSpaceDN w:val="0"/>
      <w:adjustRightInd w:val="0"/>
      <w:jc w:val="right"/>
    </w:pPr>
    <w:rPr>
      <w:rFonts w:cs="Arial"/>
      <w:szCs w:val="18"/>
    </w:rPr>
  </w:style>
  <w:style w:type="paragraph" w:customStyle="1" w:styleId="CopyrightText">
    <w:name w:val="Copyright Text"/>
    <w:basedOn w:val="BodyText"/>
    <w:rsid w:val="00925C11"/>
    <w:rPr>
      <w:sz w:val="18"/>
    </w:rPr>
  </w:style>
  <w:style w:type="paragraph" w:customStyle="1" w:styleId="BodySmallRight">
    <w:name w:val="Body Small Right"/>
    <w:basedOn w:val="BodyTextRight"/>
    <w:rsid w:val="00925C11"/>
    <w:rPr>
      <w:sz w:val="18"/>
      <w:szCs w:val="18"/>
    </w:rPr>
  </w:style>
  <w:style w:type="paragraph" w:customStyle="1" w:styleId="MarginEdition">
    <w:name w:val="Margin Edition"/>
    <w:basedOn w:val="MarginNote"/>
    <w:rsid w:val="00925C11"/>
    <w:pPr>
      <w:spacing w:before="0" w:after="0"/>
    </w:pPr>
    <w:rPr>
      <w:rFonts w:ascii="Times New Roman" w:hAnsi="Times New Roman"/>
      <w:color w:val="999999"/>
    </w:rPr>
  </w:style>
  <w:style w:type="paragraph" w:customStyle="1" w:styleId="Spacer">
    <w:name w:val="Spacer"/>
    <w:basedOn w:val="Normal"/>
    <w:rsid w:val="00925C11"/>
    <w:rPr>
      <w:sz w:val="2"/>
      <w:szCs w:val="2"/>
    </w:rPr>
  </w:style>
  <w:style w:type="character" w:customStyle="1" w:styleId="Small">
    <w:name w:val="Small"/>
    <w:basedOn w:val="DefaultParagraphFont"/>
    <w:rsid w:val="00925C11"/>
    <w:rPr>
      <w:sz w:val="16"/>
    </w:rPr>
  </w:style>
  <w:style w:type="paragraph" w:customStyle="1" w:styleId="WideTable">
    <w:name w:val="Wide Table"/>
    <w:basedOn w:val="Normal"/>
    <w:rsid w:val="00925C11"/>
    <w:pPr>
      <w:ind w:left="-1418"/>
    </w:pPr>
    <w:rPr>
      <w:sz w:val="2"/>
      <w:szCs w:val="2"/>
    </w:rPr>
  </w:style>
  <w:style w:type="character" w:styleId="PageNumber">
    <w:name w:val="page number"/>
    <w:basedOn w:val="DefaultParagraphFont"/>
    <w:rsid w:val="00925C11"/>
  </w:style>
  <w:style w:type="paragraph" w:styleId="Quote">
    <w:name w:val="Quote"/>
    <w:basedOn w:val="Heading1"/>
    <w:link w:val="QuoteChar"/>
    <w:qFormat/>
    <w:rsid w:val="00925C11"/>
    <w:rPr>
      <w:b w:val="0"/>
      <w:sz w:val="72"/>
      <w:szCs w:val="72"/>
      <w:lang w:val="en-NZ"/>
    </w:rPr>
  </w:style>
  <w:style w:type="character" w:customStyle="1" w:styleId="QuoteChar">
    <w:name w:val="Quote Char"/>
    <w:basedOn w:val="DefaultParagraphFont"/>
    <w:link w:val="Quote"/>
    <w:rsid w:val="00925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C11"/>
    <w:pPr>
      <w:pageBreakBefore/>
    </w:pPr>
  </w:style>
  <w:style w:type="paragraph" w:customStyle="1" w:styleId="Border">
    <w:name w:val="Border"/>
    <w:basedOn w:val="Normal"/>
    <w:qFormat/>
    <w:rsid w:val="00925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C11"/>
    <w:rPr>
      <w:b/>
      <w:bCs/>
      <w:i/>
      <w:iCs/>
      <w:color w:val="auto"/>
    </w:rPr>
  </w:style>
  <w:style w:type="paragraph" w:styleId="IntenseQuote">
    <w:name w:val="Intense Quote"/>
    <w:basedOn w:val="Normal"/>
    <w:next w:val="Normal"/>
    <w:link w:val="IntenseQuoteChar"/>
    <w:uiPriority w:val="30"/>
    <w:qFormat/>
    <w:rsid w:val="00925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C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C11"/>
    <w:rPr>
      <w:smallCaps/>
      <w:color w:val="auto"/>
      <w:u w:val="single"/>
    </w:rPr>
  </w:style>
  <w:style w:type="character" w:styleId="IntenseReference">
    <w:name w:val="Intense Reference"/>
    <w:basedOn w:val="DefaultParagraphFont"/>
    <w:uiPriority w:val="32"/>
    <w:qFormat/>
    <w:rsid w:val="00925C11"/>
    <w:rPr>
      <w:b/>
      <w:bCs/>
      <w:smallCaps/>
      <w:color w:val="auto"/>
      <w:spacing w:val="5"/>
      <w:u w:val="single"/>
    </w:rPr>
  </w:style>
  <w:style w:type="paragraph" w:customStyle="1" w:styleId="2ColumnHeading">
    <w:name w:val="2Column Heading"/>
    <w:basedOn w:val="BodyText"/>
    <w:qFormat/>
    <w:rsid w:val="00925C11"/>
    <w:pPr>
      <w:spacing w:after="60"/>
      <w:ind w:left="-2268"/>
    </w:pPr>
    <w:rPr>
      <w:b/>
    </w:rPr>
  </w:style>
  <w:style w:type="paragraph" w:customStyle="1" w:styleId="Heading1TOC">
    <w:name w:val="Heading1 TOC"/>
    <w:basedOn w:val="Normal"/>
    <w:qFormat/>
    <w:rsid w:val="00925C11"/>
    <w:pPr>
      <w:spacing w:before="240" w:after="120"/>
    </w:pPr>
    <w:rPr>
      <w:rFonts w:ascii="Times New Roman" w:hAnsi="Times New Roman"/>
      <w:b/>
      <w:sz w:val="32"/>
    </w:rPr>
  </w:style>
  <w:style w:type="paragraph" w:customStyle="1" w:styleId="Heading2TOC">
    <w:name w:val="Heading2 TOC"/>
    <w:basedOn w:val="Normal"/>
    <w:qFormat/>
    <w:rsid w:val="00925C11"/>
    <w:pPr>
      <w:spacing w:before="240" w:after="60"/>
    </w:pPr>
    <w:rPr>
      <w:rFonts w:ascii="Times New Roman" w:hAnsi="Times New Roman"/>
      <w:b/>
      <w:sz w:val="28"/>
    </w:rPr>
  </w:style>
  <w:style w:type="character" w:customStyle="1" w:styleId="Underline">
    <w:name w:val="Underline"/>
    <w:basedOn w:val="DefaultParagraphFont"/>
    <w:qFormat/>
    <w:rsid w:val="00925C11"/>
    <w:rPr>
      <w:u w:val="single"/>
    </w:rPr>
  </w:style>
  <w:style w:type="character" w:customStyle="1" w:styleId="BoldandItalics">
    <w:name w:val="Bold and Italics"/>
    <w:qFormat/>
    <w:rsid w:val="00925C11"/>
    <w:rPr>
      <w:b/>
      <w:i/>
      <w:u w:val="none"/>
    </w:rPr>
  </w:style>
  <w:style w:type="paragraph" w:styleId="BalloonText">
    <w:name w:val="Balloon Text"/>
    <w:basedOn w:val="Normal"/>
    <w:link w:val="BalloonTextChar"/>
    <w:rsid w:val="00925C11"/>
    <w:rPr>
      <w:rFonts w:ascii="Tahoma" w:hAnsi="Tahoma" w:cs="Tahoma"/>
      <w:sz w:val="16"/>
      <w:szCs w:val="16"/>
    </w:rPr>
  </w:style>
  <w:style w:type="character" w:customStyle="1" w:styleId="BalloonTextChar">
    <w:name w:val="Balloon Text Char"/>
    <w:basedOn w:val="DefaultParagraphFont"/>
    <w:link w:val="BalloonText"/>
    <w:rsid w:val="00925C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C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5C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C11"/>
    <w:rPr>
      <w:b/>
      <w:color w:val="660033"/>
      <w:spacing w:val="0"/>
    </w:rPr>
  </w:style>
  <w:style w:type="paragraph" w:customStyle="1" w:styleId="Nameditemlist">
    <w:name w:val="Named item list"/>
    <w:basedOn w:val="BodyText"/>
    <w:qFormat/>
    <w:rsid w:val="00925C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1844</Words>
  <Characters>11156</Characters>
  <Application>Microsoft Office Word</Application>
  <DocSecurity>0</DocSecurity>
  <Lines>446</Lines>
  <Paragraphs>245</Paragraphs>
  <ScaleCrop>false</ScaleCrop>
  <Company>Author-it Software Corporation Ltd.</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UEENEEG150A Wind electrical coils</dc:title>
  <dc:subject>Approved</dc:subject>
  <dc:creator>E-OZ Training Standards</dc:creator>
  <cp:keywords>Release: 2</cp:keywords>
  <dc:description>Review Date: 12 April 2008</dc:description>
  <cp:lastModifiedBy>TPCMS</cp:lastModifiedBy>
  <cp:revision>3</cp:revision>
  <dcterms:created xsi:type="dcterms:W3CDTF">2013-08-14T07:55:00Z</dcterms:created>
  <dcterms:modified xsi:type="dcterms:W3CDTF">2013-08-14T07:55:00Z</dcterms:modified>
</cp:coreProperties>
</file>