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41A" w:rsidP="00B4441A">
      <w:pPr>
        <w:pStyle w:val="Title"/>
      </w:pPr>
      <w:r>
        <w:fldChar w:fldCharType="begin"/>
      </w:r>
      <w:r>
        <w:instrText xml:space="preserve"> TITLE   \* MERGEFORMAT </w:instrText>
      </w:r>
      <w:r>
        <w:fldChar w:fldCharType="separate"/>
      </w:r>
      <w:r>
        <w:t>UEENEEG145A Develop engineering solutions for induction machine and control problems</w:t>
      </w:r>
      <w:r>
        <w:fldChar w:fldCharType="end"/>
      </w:r>
    </w:p>
    <w:p w:rsidR="00B4441A" w:rsidP="00B4441A">
      <w:pPr>
        <w:pStyle w:val="Version"/>
        <w:sectPr w:rsidSect="00467A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7AA5" w:rsidP="00467AA5">
      <w:pPr>
        <w:pStyle w:val="SuperHeading"/>
      </w:pPr>
      <w:r w:rsidRPr="00467AA5">
        <w:t>UEENEEG145A Develop engineering solutions for induction machine and control problems</w:t>
      </w:r>
    </w:p>
    <w:p w:rsidR="00000000" w:rsidRPr="00467AA5" w:rsidP="00467AA5">
      <w:pPr>
        <w:pStyle w:val="Heading1"/>
      </w:pPr>
      <w:bookmarkStart w:id="1" w:name="O_591092"/>
      <w:bookmarkEnd w:id="1"/>
      <w:r w:rsidRPr="00467AA5">
        <w:t>Modification History</w:t>
      </w:r>
    </w:p>
    <w:p w:rsidR="00000000" w:rsidRPr="00467AA5" w:rsidP="00467AA5">
      <w:pPr>
        <w:pStyle w:val="BodyText"/>
      </w:pPr>
      <w:r w:rsidRPr="00467AA5">
        <w:t>Not applicable.</w:t>
      </w:r>
    </w:p>
    <w:p w:rsidR="00000000" w:rsidRPr="00467AA5" w:rsidP="00467AA5">
      <w:pPr>
        <w:pStyle w:val="AllowPageBreak"/>
      </w:pPr>
    </w:p>
    <w:p w:rsidR="00000000" w:rsidRPr="00467AA5" w:rsidP="00467AA5">
      <w:pPr>
        <w:pStyle w:val="Heading1"/>
      </w:pPr>
      <w:bookmarkStart w:id="2" w:name="O_591091"/>
      <w:bookmarkEnd w:id="2"/>
      <w:r w:rsidRPr="00467AA5">
        <w:t>Unit Descriptor</w:t>
      </w:r>
    </w:p>
    <w:tbl>
      <w:tblPr>
        <w:tblW w:w="0" w:type="auto"/>
        <w:tblLayout w:type="fixed"/>
        <w:tblCellMar>
          <w:left w:w="62" w:type="dxa"/>
          <w:right w:w="62" w:type="dxa"/>
        </w:tblCellMar>
        <w:tblLook w:val="0000"/>
      </w:tblPr>
      <w:tblGrid>
        <w:gridCol w:w="2700"/>
        <w:gridCol w:w="5760"/>
      </w:tblGrid>
      <w:tr w:rsidTr="00B444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1)</w:t>
            </w:r>
            <w:r w:rsidRPr="00467AA5">
              <w:t xml:space="preserve"> </w:t>
            </w:r>
            <w:r w:rsidRPr="00467AA5">
              <w:rPr>
                <w:rStyle w:val="SpecialBold"/>
              </w:rPr>
              <w:t>Scope:</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7AA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1.1) Descriptor</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t xml:space="preserve">This unit covers developing engineering solutions to resolve problems with induction machines and their controls. It encompasses working safely; apply extensive knowledge of induction machine operation and construction and their application, gathering and </w:t>
            </w:r>
            <w:r w:rsidRPr="00467AA5">
              <w:t>analysing data, applying problem solving techniques, developing and documenting solutions and alternatives.</w:t>
            </w:r>
          </w:p>
          <w:p w:rsidR="00000000" w:rsidRPr="00467AA5" w:rsidP="00467AA5">
            <w:pPr>
              <w:pStyle w:val="BodyText"/>
            </w:pPr>
            <w:r w:rsidRPr="00467AA5">
              <w:t>Note.</w:t>
            </w:r>
          </w:p>
          <w:p w:rsidR="00000000" w:rsidRPr="00467AA5" w:rsidP="00467AA5">
            <w:pPr>
              <w:pStyle w:val="BodyText"/>
            </w:pPr>
            <w:r w:rsidRPr="00467AA5">
              <w:t>Typical motor problems are those encountered in meeting performance requirements and compliance standards, revising a machine operating parame</w:t>
            </w:r>
            <w:r w:rsidRPr="00467AA5">
              <w:t>ters and dealing with machine malfunctions.</w:t>
            </w:r>
          </w:p>
        </w:tc>
      </w:tr>
    </w:tbl>
    <w:p w:rsidR="00000000" w:rsidRPr="00467AA5" w:rsidP="00467AA5">
      <w:pPr>
        <w:pStyle w:val="BodyText"/>
      </w:pPr>
    </w:p>
    <w:p w:rsidR="00000000" w:rsidRPr="00467AA5" w:rsidP="00467AA5">
      <w:pPr>
        <w:pStyle w:val="AllowPageBreak"/>
      </w:pPr>
    </w:p>
    <w:p w:rsidR="00000000" w:rsidRPr="00467AA5" w:rsidP="00467AA5">
      <w:pPr>
        <w:pStyle w:val="Heading1"/>
      </w:pPr>
      <w:bookmarkStart w:id="3" w:name="O_591090"/>
      <w:bookmarkEnd w:id="3"/>
      <w:r w:rsidRPr="00467AA5">
        <w:t>Application of the Unit</w:t>
      </w:r>
    </w:p>
    <w:tbl>
      <w:tblPr>
        <w:tblW w:w="0" w:type="auto"/>
        <w:tblLayout w:type="fixed"/>
        <w:tblCellMar>
          <w:left w:w="62" w:type="dxa"/>
          <w:right w:w="62" w:type="dxa"/>
        </w:tblCellMar>
        <w:tblLook w:val="0000"/>
      </w:tblPr>
      <w:tblGrid>
        <w:gridCol w:w="2672"/>
        <w:gridCol w:w="5699"/>
      </w:tblGrid>
      <w:tr w:rsidTr="00B4441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2)</w:t>
            </w:r>
          </w:p>
        </w:tc>
      </w:tr>
      <w:tr w:rsidTr="00B4441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t xml:space="preserve">This unit applies to any recognised development program that leads to the acquisition of a formal award at AQF level 6 </w:t>
            </w:r>
          </w:p>
        </w:tc>
      </w:tr>
    </w:tbl>
    <w:p w:rsidR="00000000" w:rsidRPr="00467AA5" w:rsidP="00467AA5">
      <w:pPr>
        <w:pStyle w:val="BodyText"/>
      </w:pPr>
    </w:p>
    <w:p w:rsidR="00000000" w:rsidRPr="00467AA5" w:rsidP="00467AA5">
      <w:pPr>
        <w:pStyle w:val="AllowPageBreak"/>
      </w:pPr>
    </w:p>
    <w:p w:rsidR="00000000" w:rsidRPr="00467AA5" w:rsidP="00467AA5">
      <w:pPr>
        <w:pStyle w:val="Heading1"/>
      </w:pPr>
      <w:bookmarkStart w:id="4" w:name="O_591089"/>
      <w:bookmarkEnd w:id="4"/>
      <w:r w:rsidRPr="00467AA5">
        <w:t>Licensing/Regulatory Information</w:t>
      </w:r>
    </w:p>
    <w:tbl>
      <w:tblPr>
        <w:tblW w:w="0" w:type="auto"/>
        <w:tblLayout w:type="fixed"/>
        <w:tblCellMar>
          <w:left w:w="62" w:type="dxa"/>
          <w:right w:w="62" w:type="dxa"/>
        </w:tblCellMar>
        <w:tblLook w:val="0000"/>
      </w:tblPr>
      <w:tblGrid>
        <w:gridCol w:w="2700"/>
        <w:gridCol w:w="5760"/>
      </w:tblGrid>
      <w:tr w:rsidTr="00B444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 xml:space="preserve">3) </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t xml:space="preserve">The skills and knowledge described in this unit require a license to practice in the workplace for work involving </w:t>
            </w:r>
            <w:r w:rsidRPr="00467AA5">
              <w:t>direct access to plant and equipment connected to installation wiring at</w:t>
            </w:r>
            <w:r w:rsidRPr="00467AA5">
              <w:t xml:space="preserve"> voltage above 50 V a.c. or 120 V d.c. However other conditions may apply in some jurisdictions subject to regulations related to electrical work. Practice in the workplace and during training is also subject to regulations directly related to occupational</w:t>
            </w:r>
            <w:r w:rsidRPr="00467AA5">
              <w:t xml:space="preserve"> health and safety and where applicable contracts of training such as apprenticeships.</w:t>
            </w:r>
          </w:p>
          <w:p w:rsidR="00000000" w:rsidRPr="00467AA5" w:rsidP="00467AA5">
            <w:pPr>
              <w:pStyle w:val="BodyText"/>
            </w:pPr>
            <w:r w:rsidRPr="00467AA5">
              <w:t xml:space="preserve">Note: </w:t>
            </w:r>
          </w:p>
          <w:p w:rsidR="00000000" w:rsidRPr="00467AA5" w:rsidP="00467AA5">
            <w:pPr>
              <w:pStyle w:val="BodyText"/>
            </w:pPr>
            <w:r w:rsidRPr="00467AA5">
              <w:t>1. Compliance with permits may be required in various jurisdictions and typically relates to the operation of plant, machinery and equipment such as elevating wor</w:t>
            </w:r>
            <w:r w:rsidRPr="00467AA5">
              <w:t>k platforms, powder operated fixing tools, power operated tools, vehicles, road signage and traffic control and lifting equipment. Permits may also be required for some work environments such as confined spaces, working aloft, near live electrical apparatu</w:t>
            </w:r>
            <w:r w:rsidRPr="00467AA5">
              <w:t>s and site rehabilitation.</w:t>
            </w:r>
          </w:p>
          <w:p w:rsidR="00000000" w:rsidRPr="00467AA5" w:rsidP="00467AA5">
            <w:pPr>
              <w:pStyle w:val="BodyText"/>
            </w:pPr>
            <w:r w:rsidRPr="00467AA5">
              <w:t>2. Compliance may be required in various jurisdictions relating to currency in First Aid, confined space, lifting and risk safety measures.</w:t>
            </w:r>
          </w:p>
        </w:tc>
      </w:tr>
    </w:tbl>
    <w:p w:rsidR="00000000" w:rsidRPr="00467AA5" w:rsidP="00467AA5">
      <w:pPr>
        <w:pStyle w:val="BodyText"/>
      </w:pPr>
    </w:p>
    <w:p w:rsidR="00000000" w:rsidRPr="00467AA5" w:rsidP="00467AA5">
      <w:pPr>
        <w:pStyle w:val="AllowPageBreak"/>
      </w:pPr>
    </w:p>
    <w:p w:rsidR="00000000" w:rsidRPr="00467AA5" w:rsidP="00467AA5">
      <w:pPr>
        <w:pStyle w:val="Heading1"/>
      </w:pPr>
      <w:bookmarkStart w:id="5" w:name="O_591088"/>
      <w:bookmarkEnd w:id="5"/>
      <w:r w:rsidRPr="00467AA5">
        <w:t>Pre-Requisites</w:t>
      </w:r>
    </w:p>
    <w:tbl>
      <w:tblPr>
        <w:tblW w:w="0" w:type="auto"/>
        <w:tblLayout w:type="fixed"/>
        <w:tblCellMar>
          <w:left w:w="62" w:type="dxa"/>
          <w:right w:w="62" w:type="dxa"/>
        </w:tblCellMar>
        <w:tblLook w:val="0000"/>
      </w:tblPr>
      <w:tblGrid>
        <w:gridCol w:w="2700"/>
        <w:gridCol w:w="1440"/>
        <w:gridCol w:w="4320"/>
      </w:tblGrid>
      <w:tr w:rsidTr="00B444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 xml:space="preserve">4) </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4.1)</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Granting competency in this unit shall be made only after competency in the following unit(s) has/have been confirmed.</w:t>
            </w:r>
          </w:p>
        </w:tc>
      </w:tr>
      <w:tr w:rsidTr="00B4441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UEENEEG149A</w:t>
            </w:r>
          </w:p>
        </w:tc>
        <w:tc>
          <w:tcPr>
            <w:tcW w:w="432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 xml:space="preserve">Provide engineering solutions to problems in complex polyphase power circuits </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UEENEEE125A</w:t>
            </w:r>
          </w:p>
        </w:tc>
        <w:tc>
          <w:tcPr>
            <w:tcW w:w="432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 xml:space="preserve">Provide engineering solutions for problems in complex multiple path circuit </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UEENEEE126A</w:t>
            </w:r>
          </w:p>
        </w:tc>
        <w:tc>
          <w:tcPr>
            <w:tcW w:w="432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Provide solutions to basic engineering computational problems</w:t>
            </w:r>
          </w:p>
        </w:tc>
      </w:tr>
      <w:tr w:rsidTr="00B4441A">
        <w:tblPrEx>
          <w:tblW w:w="0" w:type="auto"/>
          <w:tblLayout w:type="fixed"/>
          <w:tblCellMar>
            <w:left w:w="62" w:type="dxa"/>
            <w:right w:w="62" w:type="dxa"/>
          </w:tblCellMar>
          <w:tblLook w:val="0000"/>
        </w:tblPrEx>
        <w:trPr>
          <w:trHeight w:val="16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AND</w:t>
            </w:r>
          </w:p>
        </w:tc>
        <w:tc>
          <w:tcPr>
            <w:tcW w:w="432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p>
        </w:tc>
      </w:tr>
      <w:tr w:rsidTr="00B4441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UEENEEE1</w:t>
            </w:r>
            <w:r w:rsidRPr="00467AA5">
              <w:t>29A</w:t>
            </w:r>
          </w:p>
        </w:tc>
        <w:tc>
          <w:tcPr>
            <w:tcW w:w="432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 xml:space="preserve">Solve electrotechnical engineering </w:t>
            </w:r>
            <w:r w:rsidRPr="00467AA5">
              <w:t>problems</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OR</w:t>
            </w:r>
          </w:p>
        </w:tc>
        <w:tc>
          <w:tcPr>
            <w:tcW w:w="432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p>
        </w:tc>
      </w:tr>
      <w:tr w:rsidTr="00B4441A">
        <w:tblPrEx>
          <w:tblW w:w="0" w:type="auto"/>
          <w:tblLayout w:type="fixed"/>
          <w:tblCellMar>
            <w:left w:w="62" w:type="dxa"/>
            <w:right w:w="62" w:type="dxa"/>
          </w:tblCellMar>
          <w:tblLook w:val="0000"/>
        </w:tblPrEx>
        <w:trPr>
          <w:trHeight w:val="70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UEENEEE101A</w:t>
            </w:r>
          </w:p>
        </w:tc>
        <w:tc>
          <w:tcPr>
            <w:tcW w:w="432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Apply Occupational Health and Safety regulations, codes and practices in the workplace</w:t>
            </w:r>
          </w:p>
        </w:tc>
      </w:tr>
      <w:tr w:rsidTr="00B4441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 xml:space="preserve">UEENEEE104A </w:t>
            </w:r>
          </w:p>
        </w:tc>
        <w:tc>
          <w:tcPr>
            <w:tcW w:w="432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Solve problems in d.c. circuits</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UEENEEG101A</w:t>
            </w:r>
          </w:p>
        </w:tc>
        <w:tc>
          <w:tcPr>
            <w:tcW w:w="432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Solve problems in electromagnetic devices and related circuits</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OR</w:t>
            </w:r>
          </w:p>
        </w:tc>
        <w:tc>
          <w:tcPr>
            <w:tcW w:w="432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UEENEEH114A</w:t>
            </w:r>
          </w:p>
        </w:tc>
        <w:tc>
          <w:tcPr>
            <w:tcW w:w="432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Troubleshoot resonance circuits in an electronic apparatus</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UEENEEE101A</w:t>
            </w:r>
          </w:p>
        </w:tc>
        <w:tc>
          <w:tcPr>
            <w:tcW w:w="432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Apply Occupational Health and Safety regulations, codes and practices in the workplace</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AND</w:t>
            </w:r>
          </w:p>
        </w:tc>
        <w:tc>
          <w:tcPr>
            <w:tcW w:w="432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UEENEEE104A</w:t>
            </w:r>
          </w:p>
        </w:tc>
        <w:tc>
          <w:tcPr>
            <w:tcW w:w="432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Solve problems in d.c. circuits</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OR</w:t>
            </w:r>
          </w:p>
        </w:tc>
        <w:tc>
          <w:tcPr>
            <w:tcW w:w="432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 xml:space="preserve">UEENEEH169A </w:t>
            </w:r>
          </w:p>
        </w:tc>
        <w:tc>
          <w:tcPr>
            <w:tcW w:w="432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t>Solve problems in basic electronic circuits</w:t>
            </w:r>
          </w:p>
        </w:tc>
      </w:tr>
    </w:tbl>
    <w:p w:rsidR="00000000" w:rsidRPr="00467AA5" w:rsidP="00467AA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4441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 xml:space="preserve">4.2) </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 xml:space="preserve">Participants are best equipped to achieve competency in this unit if they have reading, writing and numeracy skills indicated by the following </w:t>
            </w:r>
            <w:r w:rsidRPr="00467AA5">
              <w:t>scales. Description of each scale is given in Volume 2, Part 3 ‘Literacy and Numeracy’</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Reading</w:t>
            </w:r>
          </w:p>
        </w:tc>
        <w:tc>
          <w:tcPr>
            <w:tcW w:w="81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5</w:t>
            </w:r>
          </w:p>
        </w:tc>
        <w:tc>
          <w:tcPr>
            <w:tcW w:w="99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Writing</w:t>
            </w:r>
          </w:p>
        </w:tc>
        <w:tc>
          <w:tcPr>
            <w:tcW w:w="90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5</w:t>
            </w:r>
          </w:p>
        </w:tc>
        <w:tc>
          <w:tcPr>
            <w:tcW w:w="12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Numeracy</w:t>
            </w:r>
          </w:p>
        </w:tc>
        <w:tc>
          <w:tcPr>
            <w:tcW w:w="72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t>5</w:t>
            </w:r>
          </w:p>
        </w:tc>
      </w:tr>
    </w:tbl>
    <w:p w:rsidR="00000000" w:rsidRPr="00467AA5" w:rsidP="00467AA5">
      <w:pPr>
        <w:pStyle w:val="BodyText"/>
      </w:pPr>
    </w:p>
    <w:p w:rsidR="00000000" w:rsidRPr="00467AA5" w:rsidP="00467AA5">
      <w:pPr>
        <w:pStyle w:val="AllowPageBreak"/>
      </w:pPr>
    </w:p>
    <w:p w:rsidR="00000000" w:rsidRPr="00467AA5" w:rsidP="00467AA5">
      <w:pPr>
        <w:pStyle w:val="Heading1"/>
      </w:pPr>
      <w:bookmarkStart w:id="6" w:name="O_591087"/>
      <w:bookmarkEnd w:id="6"/>
      <w:r w:rsidRPr="00467AA5">
        <w:t>Employability Skills Information</w:t>
      </w:r>
    </w:p>
    <w:tbl>
      <w:tblPr>
        <w:tblW w:w="0" w:type="auto"/>
        <w:tblLayout w:type="fixed"/>
        <w:tblCellMar>
          <w:left w:w="62" w:type="dxa"/>
          <w:right w:w="62" w:type="dxa"/>
        </w:tblCellMar>
        <w:tblLook w:val="0000"/>
      </w:tblPr>
      <w:tblGrid>
        <w:gridCol w:w="2700"/>
        <w:gridCol w:w="5760"/>
      </w:tblGrid>
      <w:tr w:rsidTr="00B444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 xml:space="preserve">5) </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t>This unit contains Employability Skills</w:t>
            </w:r>
          </w:p>
          <w:p w:rsidR="00000000" w:rsidRPr="00467AA5" w:rsidP="00467AA5">
            <w:pPr>
              <w:pStyle w:val="BodyText"/>
            </w:pPr>
            <w:r w:rsidRPr="00467AA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67AA5">
              <w:t>requirements.</w:t>
            </w:r>
          </w:p>
        </w:tc>
      </w:tr>
    </w:tbl>
    <w:p w:rsidR="00000000" w:rsidRPr="00467AA5" w:rsidP="00467AA5">
      <w:pPr>
        <w:pStyle w:val="BodyText"/>
      </w:pPr>
    </w:p>
    <w:p w:rsidR="00000000" w:rsidRPr="00467AA5" w:rsidP="00467AA5">
      <w:pPr>
        <w:pStyle w:val="AllowPageBreak"/>
      </w:pPr>
    </w:p>
    <w:p w:rsidR="00000000" w:rsidRPr="00467AA5" w:rsidP="00467AA5">
      <w:pPr>
        <w:pStyle w:val="Heading1"/>
      </w:pPr>
      <w:bookmarkStart w:id="7" w:name="O_591086"/>
      <w:bookmarkEnd w:id="7"/>
      <w:r w:rsidRPr="00467AA5">
        <w:t>Elements and Performance Criteria Pre-Content</w:t>
      </w:r>
    </w:p>
    <w:tbl>
      <w:tblPr>
        <w:tblW w:w="0" w:type="auto"/>
        <w:tblLayout w:type="fixed"/>
        <w:tblCellMar>
          <w:left w:w="62" w:type="dxa"/>
          <w:right w:w="62" w:type="dxa"/>
        </w:tblCellMar>
        <w:tblLook w:val="0000"/>
      </w:tblPr>
      <w:tblGrid>
        <w:gridCol w:w="2700"/>
        <w:gridCol w:w="5760"/>
      </w:tblGrid>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6)</w:t>
            </w:r>
            <w:r w:rsidRPr="00467AA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t>Performance Criteria describe the required performance needed</w:t>
            </w:r>
            <w:r w:rsidRPr="00467AA5">
              <w:t xml:space="preserve"> to demonstrate achievement of the element. Assessment of performance is to be consistent with the Evidence Guide.</w:t>
            </w:r>
          </w:p>
        </w:tc>
      </w:tr>
    </w:tbl>
    <w:p w:rsidR="00000000" w:rsidRPr="00467AA5" w:rsidP="00467AA5">
      <w:pPr>
        <w:pStyle w:val="BodyText"/>
      </w:pPr>
    </w:p>
    <w:p w:rsidR="00000000" w:rsidRPr="00467AA5" w:rsidP="00467AA5">
      <w:pPr>
        <w:pStyle w:val="AllowPageBreak"/>
      </w:pPr>
    </w:p>
    <w:p w:rsidR="00000000" w:rsidRPr="00467AA5" w:rsidP="00467AA5">
      <w:pPr>
        <w:pStyle w:val="Heading1"/>
      </w:pPr>
      <w:bookmarkStart w:id="8" w:name="O_591085"/>
      <w:bookmarkEnd w:id="8"/>
      <w:r w:rsidRPr="00467AA5">
        <w:t>Elements and Performance Criteria</w:t>
      </w:r>
    </w:p>
    <w:tbl>
      <w:tblPr>
        <w:tblW w:w="10470" w:type="dxa"/>
        <w:tblLayout w:type="fixed"/>
        <w:tblCellMar>
          <w:left w:w="62" w:type="dxa"/>
          <w:right w:w="62" w:type="dxa"/>
        </w:tblCellMar>
        <w:tblLook w:val="0000"/>
      </w:tblPr>
      <w:tblGrid>
        <w:gridCol w:w="404"/>
        <w:gridCol w:w="2296"/>
        <w:gridCol w:w="641"/>
        <w:gridCol w:w="259"/>
        <w:gridCol w:w="4860"/>
        <w:gridCol w:w="2010"/>
      </w:tblGrid>
      <w:tr w:rsidTr="00B4441A">
        <w:tblPrEx>
          <w:tblW w:w="10470" w:type="dxa"/>
          <w:tblLayout w:type="fixed"/>
          <w:tblCellMar>
            <w:left w:w="62" w:type="dxa"/>
            <w:right w:w="62" w:type="dxa"/>
          </w:tblCellMar>
          <w:tblLook w:val="0000"/>
        </w:tblPrEx>
        <w:trPr>
          <w:gridAfter w:val="1"/>
          <w:wAfter w:w="2010"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PERFORMANCE CRITERIA</w:t>
            </w:r>
          </w:p>
        </w:tc>
      </w:tr>
      <w:tr w:rsidTr="00B4441A">
        <w:tblPrEx>
          <w:tblW w:w="10470" w:type="dxa"/>
          <w:tblLayout w:type="fixed"/>
          <w:tblCellMar>
            <w:left w:w="62" w:type="dxa"/>
            <w:right w:w="62" w:type="dxa"/>
          </w:tblCellMar>
          <w:tblLook w:val="0000"/>
        </w:tblPrEx>
        <w:trPr>
          <w:gridAfter w:val="1"/>
          <w:wAfter w:w="2010" w:type="dxa"/>
        </w:trPr>
        <w:tc>
          <w:tcPr>
            <w:tcW w:w="404"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1</w:t>
            </w:r>
          </w:p>
        </w:tc>
        <w:tc>
          <w:tcPr>
            <w:tcW w:w="2296" w:type="dxa"/>
            <w:vMerge w:val="restart"/>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t>Prepare to develop engineering solution for induction machine problems.</w:t>
            </w:r>
          </w:p>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1.1</w:t>
            </w:r>
          </w:p>
        </w:tc>
        <w:tc>
          <w:tcPr>
            <w:tcW w:w="48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 xml:space="preserve">OHS processes and procedures for a given work area are identified, obtained and understood. </w:t>
            </w:r>
          </w:p>
        </w:tc>
      </w:tr>
      <w:tr w:rsidTr="00B4441A">
        <w:tblPrEx>
          <w:tblW w:w="10470" w:type="dxa"/>
          <w:tblLayout w:type="fixed"/>
          <w:tblCellMar>
            <w:left w:w="62" w:type="dxa"/>
            <w:right w:w="62" w:type="dxa"/>
          </w:tblCellMar>
          <w:tblLook w:val="0000"/>
        </w:tblPrEx>
        <w:trPr>
          <w:gridAfter w:val="1"/>
          <w:wAfter w:w="201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1.2</w:t>
            </w:r>
          </w:p>
        </w:tc>
        <w:tc>
          <w:tcPr>
            <w:tcW w:w="48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Established OHS risk control measures and procedures in preparation for the w</w:t>
            </w:r>
            <w:r w:rsidRPr="00467AA5">
              <w:t>ork are followed.</w:t>
            </w:r>
          </w:p>
        </w:tc>
      </w:tr>
      <w:tr w:rsidTr="00B4441A">
        <w:tblPrEx>
          <w:tblW w:w="10470" w:type="dxa"/>
          <w:tblLayout w:type="fixed"/>
          <w:tblCellMar>
            <w:left w:w="62" w:type="dxa"/>
            <w:right w:w="62" w:type="dxa"/>
          </w:tblCellMar>
          <w:tblLook w:val="0000"/>
        </w:tblPrEx>
        <w:trPr>
          <w:gridAfter w:val="1"/>
          <w:wAfter w:w="201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1.3</w:t>
            </w:r>
          </w:p>
        </w:tc>
        <w:tc>
          <w:tcPr>
            <w:tcW w:w="48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The extent of the machine problem is determined from performance specifications and situation reports and in consultations with relevant persons.</w:t>
            </w:r>
          </w:p>
        </w:tc>
      </w:tr>
      <w:tr w:rsidTr="00B4441A">
        <w:tblPrEx>
          <w:tblW w:w="10470" w:type="dxa"/>
          <w:tblLayout w:type="fixed"/>
          <w:tblCellMar>
            <w:left w:w="62" w:type="dxa"/>
            <w:right w:w="62" w:type="dxa"/>
          </w:tblCellMar>
          <w:tblLook w:val="0000"/>
        </w:tblPrEx>
        <w:trPr>
          <w:gridAfter w:val="1"/>
          <w:wAfter w:w="201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1.4</w:t>
            </w:r>
          </w:p>
        </w:tc>
        <w:tc>
          <w:tcPr>
            <w:tcW w:w="48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Activities are planned to meet scheduled timelines in consultation with others involved in the work.</w:t>
            </w:r>
          </w:p>
        </w:tc>
      </w:tr>
      <w:tr w:rsidTr="00B4441A">
        <w:tblPrEx>
          <w:tblW w:w="10470" w:type="dxa"/>
          <w:tblLayout w:type="fixed"/>
          <w:tblCellMar>
            <w:left w:w="62" w:type="dxa"/>
            <w:right w:w="62" w:type="dxa"/>
          </w:tblCellMar>
          <w:tblLook w:val="0000"/>
        </w:tblPrEx>
        <w:trPr>
          <w:gridAfter w:val="1"/>
          <w:wAfter w:w="201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1.5</w:t>
            </w:r>
          </w:p>
        </w:tc>
        <w:tc>
          <w:tcPr>
            <w:tcW w:w="48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Effective strategies are formed to ensure solution development and implementation is carried out efficiently.</w:t>
            </w:r>
          </w:p>
        </w:tc>
      </w:tr>
      <w:tr w:rsidTr="00B4441A">
        <w:tblPrEx>
          <w:tblW w:w="10470" w:type="dxa"/>
          <w:tblLayout w:type="fixed"/>
          <w:tblCellMar>
            <w:left w:w="62" w:type="dxa"/>
            <w:right w:w="62" w:type="dxa"/>
          </w:tblCellMar>
          <w:tblLook w:val="0000"/>
        </w:tblPrEx>
        <w:trPr>
          <w:gridAfter w:val="1"/>
          <w:wAfter w:w="2010" w:type="dxa"/>
        </w:trPr>
        <w:tc>
          <w:tcPr>
            <w:tcW w:w="404"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2</w:t>
            </w:r>
          </w:p>
        </w:tc>
        <w:tc>
          <w:tcPr>
            <w:tcW w:w="2296" w:type="dxa"/>
            <w:vMerge w:val="restart"/>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Develop engineering solution for induction machine problems.</w:t>
            </w:r>
          </w:p>
        </w:tc>
        <w:tc>
          <w:tcPr>
            <w:tcW w:w="90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2.1</w:t>
            </w:r>
          </w:p>
        </w:tc>
        <w:tc>
          <w:tcPr>
            <w:tcW w:w="48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OHS risk control measures and procedures for carrying out the work are followed.</w:t>
            </w:r>
          </w:p>
        </w:tc>
      </w:tr>
      <w:tr w:rsidTr="00B4441A">
        <w:tblPrEx>
          <w:tblW w:w="10470" w:type="dxa"/>
          <w:tblLayout w:type="fixed"/>
          <w:tblCellMar>
            <w:left w:w="62" w:type="dxa"/>
            <w:right w:w="62" w:type="dxa"/>
          </w:tblCellMar>
          <w:tblLook w:val="0000"/>
        </w:tblPrEx>
        <w:trPr>
          <w:gridAfter w:val="1"/>
          <w:wAfter w:w="201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2.2</w:t>
            </w:r>
          </w:p>
        </w:tc>
        <w:tc>
          <w:tcPr>
            <w:tcW w:w="48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Knowledge of induction machine construction, operation, characteristics and applications are applied to developing solutions to induction machine problems.</w:t>
            </w:r>
          </w:p>
        </w:tc>
      </w:tr>
      <w:tr w:rsidTr="00B4441A">
        <w:tblPrEx>
          <w:tblW w:w="10470" w:type="dxa"/>
          <w:tblLayout w:type="fixed"/>
          <w:tblCellMar>
            <w:left w:w="62" w:type="dxa"/>
            <w:right w:w="62" w:type="dxa"/>
          </w:tblCellMar>
          <w:tblLook w:val="0000"/>
        </w:tblPrEx>
        <w:trPr>
          <w:gridAfter w:val="1"/>
          <w:wAfter w:w="201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2.3</w:t>
            </w:r>
          </w:p>
        </w:tc>
        <w:tc>
          <w:tcPr>
            <w:tcW w:w="48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 xml:space="preserve">Parameters, specifications and performance requirements in relation to each machine problem </w:t>
            </w:r>
            <w:r w:rsidRPr="00467AA5">
              <w:t xml:space="preserve">are obtained in accordance with established procedures. </w:t>
            </w:r>
          </w:p>
        </w:tc>
      </w:tr>
      <w:tr w:rsidTr="00B4441A">
        <w:tblPrEx>
          <w:tblW w:w="10470" w:type="dxa"/>
          <w:tblLayout w:type="fixed"/>
          <w:tblCellMar>
            <w:left w:w="62" w:type="dxa"/>
            <w:right w:w="62" w:type="dxa"/>
          </w:tblCellMar>
          <w:tblLook w:val="0000"/>
        </w:tblPrEx>
        <w:trPr>
          <w:gridAfter w:val="1"/>
          <w:wAfter w:w="201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2.4</w:t>
            </w:r>
          </w:p>
        </w:tc>
        <w:tc>
          <w:tcPr>
            <w:tcW w:w="48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Approaches to resolving induction machine problems are analysed to provide most effective solutions.</w:t>
            </w:r>
          </w:p>
        </w:tc>
      </w:tr>
      <w:tr w:rsidTr="00B4441A">
        <w:tblPrEx>
          <w:tblW w:w="10470" w:type="dxa"/>
          <w:tblLayout w:type="fixed"/>
          <w:tblCellMar>
            <w:left w:w="62" w:type="dxa"/>
            <w:right w:w="62" w:type="dxa"/>
          </w:tblCellMar>
          <w:tblLook w:val="0000"/>
        </w:tblPrEx>
        <w:trPr>
          <w:gridAfter w:val="1"/>
          <w:wAfter w:w="201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2.5</w:t>
            </w:r>
          </w:p>
        </w:tc>
        <w:tc>
          <w:tcPr>
            <w:tcW w:w="48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Unplanned events are dealt with safely and effectively consistent with regulatory requirements and enterprise policy.</w:t>
            </w:r>
          </w:p>
        </w:tc>
      </w:tr>
      <w:tr w:rsidTr="00B4441A">
        <w:tblPrEx>
          <w:tblW w:w="10470" w:type="dxa"/>
          <w:tblLayout w:type="fixed"/>
          <w:tblCellMar>
            <w:left w:w="62" w:type="dxa"/>
            <w:right w:w="62" w:type="dxa"/>
          </w:tblCellMar>
          <w:tblLook w:val="0000"/>
        </w:tblPrEx>
        <w:trPr>
          <w:gridAfter w:val="1"/>
          <w:wAfter w:w="201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2.6</w:t>
            </w:r>
          </w:p>
        </w:tc>
        <w:tc>
          <w:tcPr>
            <w:tcW w:w="48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Quality of work is monitored against personal performance agreement and/or established organizational or professional standards.</w:t>
            </w:r>
          </w:p>
        </w:tc>
      </w:tr>
      <w:tr w:rsidTr="00B4441A">
        <w:tblPrEx>
          <w:tblW w:w="10470" w:type="dxa"/>
          <w:tblLayout w:type="fixed"/>
          <w:tblCellMar>
            <w:left w:w="62" w:type="dxa"/>
            <w:right w:w="62" w:type="dxa"/>
          </w:tblCellMar>
          <w:tblLook w:val="0000"/>
        </w:tblPrEx>
        <w:trPr>
          <w:gridAfter w:val="1"/>
          <w:wAfter w:w="2010" w:type="dxa"/>
        </w:trPr>
        <w:tc>
          <w:tcPr>
            <w:tcW w:w="404"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3</w:t>
            </w:r>
          </w:p>
        </w:tc>
        <w:tc>
          <w:tcPr>
            <w:tcW w:w="2296"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Test, document and implement engineering solution for induction machine problems.</w:t>
            </w:r>
          </w:p>
        </w:tc>
        <w:tc>
          <w:tcPr>
            <w:tcW w:w="90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3.1</w:t>
            </w:r>
          </w:p>
        </w:tc>
        <w:tc>
          <w:tcPr>
            <w:tcW w:w="48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Solutions to machine problems are tested to determine their effectiveness and modified where necessary.</w:t>
            </w:r>
          </w:p>
        </w:tc>
      </w:tr>
      <w:tr w:rsidTr="00B4441A">
        <w:tblPrEx>
          <w:tblW w:w="10470" w:type="dxa"/>
          <w:tblLayout w:type="fixed"/>
          <w:tblCellMar>
            <w:left w:w="62" w:type="dxa"/>
            <w:right w:w="62" w:type="dxa"/>
          </w:tblCellMar>
          <w:tblLook w:val="0000"/>
        </w:tblPrEx>
        <w:trPr>
          <w:gridAfter w:val="1"/>
          <w:wAfter w:w="201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3.2</w:t>
            </w:r>
          </w:p>
        </w:tc>
        <w:tc>
          <w:tcPr>
            <w:tcW w:w="48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Adopted solutions are documented including instruction for their implementation that incorporates risk control measure to be followed.</w:t>
            </w:r>
          </w:p>
        </w:tc>
      </w:tr>
      <w:tr w:rsidTr="00B4441A">
        <w:tblPrEx>
          <w:tblW w:w="10470" w:type="dxa"/>
          <w:tblLayout w:type="fixed"/>
          <w:tblCellMar>
            <w:left w:w="62" w:type="dxa"/>
            <w:right w:w="62" w:type="dxa"/>
          </w:tblCellMar>
          <w:tblLook w:val="0000"/>
        </w:tblPrEx>
        <w:trPr>
          <w:gridAfter w:val="1"/>
          <w:wAfter w:w="201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3.3</w:t>
            </w:r>
          </w:p>
        </w:tc>
        <w:tc>
          <w:tcPr>
            <w:tcW w:w="48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Appropriately competent and qualified person(s) required to implement solutions to induction machine problems are</w:t>
            </w:r>
            <w:r w:rsidRPr="00467AA5">
              <w:t xml:space="preserve"> coordinated in accordance with regulatory requirements and enterprise policy. (Note)</w:t>
            </w:r>
          </w:p>
        </w:tc>
      </w:tr>
      <w:tr w:rsidTr="00B4441A">
        <w:tblPrEx>
          <w:tblW w:w="10470" w:type="dxa"/>
          <w:tblLayout w:type="fixed"/>
          <w:tblCellMar>
            <w:left w:w="62" w:type="dxa"/>
            <w:right w:w="62" w:type="dxa"/>
          </w:tblCellMar>
          <w:tblLook w:val="0000"/>
        </w:tblPrEx>
        <w:trPr>
          <w:gridAfter w:val="1"/>
          <w:wAfter w:w="201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3.4</w:t>
            </w:r>
          </w:p>
        </w:tc>
        <w:tc>
          <w:tcPr>
            <w:tcW w:w="48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 xml:space="preserve">Justification for solutions used to solve induction machine problems is documented for inclusion in work/project development records in accordance </w:t>
            </w:r>
            <w:r w:rsidRPr="00467AA5">
              <w:t>with professional standards.</w:t>
            </w:r>
          </w:p>
        </w:tc>
      </w:tr>
      <w:tr w:rsidTr="00B4441A">
        <w:tblPrEx>
          <w:tblW w:w="10470" w:type="dxa"/>
          <w:tblLayout w:type="fixed"/>
          <w:tblCellMar>
            <w:left w:w="62" w:type="dxa"/>
            <w:right w:w="62" w:type="dxa"/>
          </w:tblCellMar>
          <w:tblLook w:val="0000"/>
        </w:tblPrEx>
        <w:tc>
          <w:tcPr>
            <w:tcW w:w="3341"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29" w:type="dxa"/>
            <w:gridSpan w:val="3"/>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t>Note:</w:t>
            </w:r>
          </w:p>
          <w:p w:rsidR="00000000" w:rsidRPr="00467AA5" w:rsidP="00467AA5">
            <w:pPr>
              <w:pStyle w:val="BodyText"/>
            </w:pPr>
            <w:r w:rsidRPr="00467AA5">
              <w:t>A license to practice in the workplace is required for work involving direct access to plant and equipment connected to installation wiring at voltages above 50 V a.c. or 120 V d.c.</w:t>
            </w:r>
          </w:p>
        </w:tc>
      </w:tr>
    </w:tbl>
    <w:p w:rsidR="00000000" w:rsidRPr="00467AA5" w:rsidP="00467AA5">
      <w:pPr>
        <w:pStyle w:val="BodyText"/>
      </w:pPr>
    </w:p>
    <w:p w:rsidR="00000000" w:rsidRPr="00467AA5" w:rsidP="00467AA5">
      <w:pPr>
        <w:pStyle w:val="AllowPageBreak"/>
      </w:pPr>
    </w:p>
    <w:p w:rsidR="00000000" w:rsidRPr="00467AA5" w:rsidP="00467AA5">
      <w:pPr>
        <w:pStyle w:val="Heading1"/>
      </w:pPr>
      <w:bookmarkStart w:id="9" w:name="O_591084"/>
      <w:bookmarkEnd w:id="9"/>
      <w:r w:rsidRPr="00467AA5">
        <w:t>Required Skills and Knowledge</w:t>
      </w:r>
    </w:p>
    <w:tbl>
      <w:tblPr>
        <w:tblW w:w="0" w:type="auto"/>
        <w:tblLayout w:type="fixed"/>
        <w:tblCellMar>
          <w:left w:w="62" w:type="dxa"/>
          <w:right w:w="62" w:type="dxa"/>
        </w:tblCellMar>
        <w:tblLook w:val="0000"/>
      </w:tblPr>
      <w:tblGrid>
        <w:gridCol w:w="8460"/>
      </w:tblGrid>
      <w:tr w:rsidTr="00B444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REQUIRED SKILLS AND KNOWLEDGE</w:t>
            </w:r>
          </w:p>
        </w:tc>
      </w:tr>
      <w:tr w:rsidTr="00B4441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8)</w:t>
            </w:r>
            <w:r w:rsidRPr="00467AA5">
              <w:t xml:space="preserve"> This describes the essential skills and knowledge and their level, required for this unit.</w:t>
            </w:r>
          </w:p>
          <w:p w:rsidR="00000000" w:rsidRPr="00467AA5" w:rsidP="00467AA5">
            <w:pPr>
              <w:pStyle w:val="BodyText"/>
            </w:pPr>
            <w:r w:rsidRPr="00467AA5">
              <w:t>Evidence shall show that knowledge has been acquired of safe working practices and developing engineering solutions for induction machines and their control problems.</w:t>
            </w:r>
          </w:p>
          <w:p w:rsidR="00000000" w:rsidRPr="00467AA5" w:rsidP="00467AA5">
            <w:pPr>
              <w:pStyle w:val="BodyText"/>
            </w:pPr>
            <w:r w:rsidRPr="00467AA5">
              <w:t>All knowledge and skills detailed in this unit should be contextualised to current indust</w:t>
            </w:r>
            <w:r w:rsidRPr="00467AA5">
              <w:t>ry practices and technologies.</w:t>
            </w:r>
          </w:p>
          <w:p w:rsidR="00000000" w:rsidRPr="00467AA5" w:rsidP="00467AA5">
            <w:pPr>
              <w:pStyle w:val="BodyText"/>
            </w:pPr>
            <w:r w:rsidRPr="00467AA5">
              <w:rPr>
                <w:rStyle w:val="SpecialBold"/>
              </w:rPr>
              <w:t>KS01-EG145A</w:t>
            </w:r>
            <w:r w:rsidRPr="00467AA5">
              <w:rPr>
                <w:rStyle w:val="SpecialBold"/>
              </w:rPr>
              <w:tab/>
              <w:t xml:space="preserve">               Induction machines diagnostics</w:t>
            </w:r>
          </w:p>
          <w:p w:rsidR="00000000" w:rsidRPr="00467AA5" w:rsidP="00467AA5">
            <w:pPr>
              <w:pStyle w:val="BodyText"/>
            </w:pPr>
            <w:r w:rsidRPr="00467AA5">
              <w:t>Evidence shall show an understanding of developing engineering solutions for induction motor problems to an extent indicated by the following aspects:</w:t>
            </w:r>
          </w:p>
          <w:p w:rsidR="00000000" w:rsidRPr="00467AA5" w:rsidP="00467AA5">
            <w:pPr>
              <w:pStyle w:val="BodyText"/>
            </w:pPr>
            <w:r w:rsidRPr="00467AA5">
              <w:t xml:space="preserve">T1 </w:t>
            </w:r>
            <w:r w:rsidRPr="00467AA5">
              <w:tab/>
              <w:t>Operating pr</w:t>
            </w:r>
            <w:r w:rsidRPr="00467AA5">
              <w:t>inciples of polyphase induction motors encompassing:</w:t>
            </w:r>
          </w:p>
          <w:p w:rsidR="00000000" w:rsidRPr="00467AA5" w:rsidP="00467AA5">
            <w:pPr>
              <w:pStyle w:val="ListBullet"/>
            </w:pPr>
            <w:r w:rsidRPr="00467AA5">
              <w:t>rotating magnetic field torque slip</w:t>
            </w:r>
          </w:p>
          <w:p w:rsidR="00000000" w:rsidRPr="00467AA5" w:rsidP="00467AA5">
            <w:pPr>
              <w:pStyle w:val="ListBullet"/>
            </w:pPr>
            <w:r w:rsidRPr="00467AA5">
              <w:t>MMF relationships</w:t>
            </w:r>
          </w:p>
          <w:p w:rsidR="00000000" w:rsidRPr="00467AA5" w:rsidP="00467AA5">
            <w:pPr>
              <w:pStyle w:val="ListBullet"/>
            </w:pPr>
            <w:r w:rsidRPr="00467AA5">
              <w:t>Leakage fluxes</w:t>
            </w:r>
          </w:p>
          <w:p w:rsidR="00000000" w:rsidRPr="00467AA5" w:rsidP="00467AA5">
            <w:pPr>
              <w:pStyle w:val="BodyText"/>
            </w:pPr>
            <w:r w:rsidRPr="00467AA5">
              <w:t>T2</w:t>
            </w:r>
            <w:r w:rsidRPr="00467AA5">
              <w:tab/>
              <w:t>Construction of polyphase induction motors encompassing:</w:t>
            </w:r>
          </w:p>
          <w:p w:rsidR="00000000" w:rsidRPr="00467AA5" w:rsidP="00467AA5">
            <w:pPr>
              <w:pStyle w:val="ListBullet"/>
            </w:pPr>
            <w:r w:rsidRPr="00467AA5">
              <w:t>squirrel cage motors</w:t>
            </w:r>
          </w:p>
          <w:p w:rsidR="00000000" w:rsidRPr="00467AA5" w:rsidP="00467AA5">
            <w:pPr>
              <w:pStyle w:val="ListBullet"/>
            </w:pPr>
            <w:r w:rsidRPr="00467AA5">
              <w:t>slip-ring motors</w:t>
            </w:r>
          </w:p>
          <w:p w:rsidR="00000000" w:rsidRPr="00467AA5" w:rsidP="00467AA5">
            <w:pPr>
              <w:pStyle w:val="ListBullet"/>
            </w:pPr>
            <w:r w:rsidRPr="00467AA5">
              <w:t>construction considerations in minimisation of tooth locking</w:t>
            </w:r>
          </w:p>
          <w:p w:rsidR="00000000" w:rsidRPr="00467AA5" w:rsidP="00467AA5">
            <w:pPr>
              <w:pStyle w:val="BodyText"/>
            </w:pPr>
            <w:r w:rsidRPr="00467AA5">
              <w:t>T3</w:t>
            </w:r>
            <w:r w:rsidRPr="00467AA5">
              <w:tab/>
              <w:t>Speed-torque relationships in induction motors encompassing:</w:t>
            </w:r>
          </w:p>
          <w:p w:rsidR="00000000" w:rsidRPr="00467AA5" w:rsidP="00467AA5">
            <w:pPr>
              <w:pStyle w:val="ListBullet"/>
            </w:pPr>
            <w:r w:rsidRPr="00467AA5">
              <w:t>maximum torque</w:t>
            </w:r>
          </w:p>
          <w:p w:rsidR="00000000" w:rsidRPr="00467AA5" w:rsidP="00467AA5">
            <w:pPr>
              <w:pStyle w:val="ListBullet"/>
            </w:pPr>
            <w:r w:rsidRPr="00467AA5">
              <w:t>torque – slip relationships</w:t>
            </w:r>
          </w:p>
          <w:p w:rsidR="00000000" w:rsidRPr="00467AA5" w:rsidP="00467AA5">
            <w:pPr>
              <w:pStyle w:val="ListBullet"/>
            </w:pPr>
            <w:r w:rsidRPr="00467AA5">
              <w:t>squirrel cage rotor types</w:t>
            </w:r>
          </w:p>
          <w:p w:rsidR="00000000" w:rsidRPr="00467AA5" w:rsidP="00467AA5">
            <w:pPr>
              <w:pStyle w:val="ListBullet"/>
            </w:pPr>
            <w:r w:rsidRPr="00467AA5">
              <w:t>power flow in the motors</w:t>
            </w:r>
          </w:p>
          <w:p w:rsidR="00000000" w:rsidRPr="00467AA5" w:rsidP="00467AA5">
            <w:pPr>
              <w:pStyle w:val="ListBullet"/>
            </w:pPr>
            <w:r w:rsidRPr="00467AA5">
              <w:t>power distribution</w:t>
            </w:r>
          </w:p>
          <w:p w:rsidR="00000000" w:rsidRPr="00467AA5" w:rsidP="00467AA5">
            <w:pPr>
              <w:pStyle w:val="ListBullet"/>
            </w:pPr>
            <w:r w:rsidRPr="00467AA5">
              <w:t>torque units</w:t>
            </w:r>
          </w:p>
          <w:p w:rsidR="00000000" w:rsidRPr="00467AA5" w:rsidP="00467AA5">
            <w:pPr>
              <w:pStyle w:val="ListBullet"/>
            </w:pPr>
            <w:r w:rsidRPr="00467AA5">
              <w:t>slip</w:t>
            </w:r>
            <w:r w:rsidRPr="00467AA5">
              <w:t xml:space="preserve"> ring rotors</w:t>
            </w:r>
          </w:p>
          <w:p w:rsidR="00000000" w:rsidRPr="00467AA5" w:rsidP="00467AA5">
            <w:pPr>
              <w:pStyle w:val="BodyText"/>
            </w:pPr>
            <w:r w:rsidRPr="00467AA5">
              <w:t>T4</w:t>
            </w:r>
            <w:r w:rsidRPr="00467AA5">
              <w:tab/>
              <w:t>Induction motor performance testing encompassing:</w:t>
            </w:r>
          </w:p>
          <w:p w:rsidR="00000000" w:rsidRPr="00467AA5" w:rsidP="00467AA5">
            <w:pPr>
              <w:pStyle w:val="ListBullet"/>
            </w:pPr>
            <w:r w:rsidRPr="00467AA5">
              <w:t>no-load tests</w:t>
            </w:r>
          </w:p>
          <w:p w:rsidR="00000000" w:rsidRPr="00467AA5" w:rsidP="00467AA5">
            <w:pPr>
              <w:pStyle w:val="ListBullet"/>
            </w:pPr>
            <w:r w:rsidRPr="00467AA5">
              <w:t>locked rotor tests</w:t>
            </w:r>
          </w:p>
          <w:p w:rsidR="00000000" w:rsidRPr="00467AA5" w:rsidP="00467AA5">
            <w:pPr>
              <w:pStyle w:val="ListBullet"/>
            </w:pPr>
            <w:r w:rsidRPr="00467AA5">
              <w:t>development of motor equivalent circuit from test results</w:t>
            </w:r>
          </w:p>
          <w:p w:rsidR="00000000" w:rsidRPr="00467AA5" w:rsidP="00467AA5">
            <w:pPr>
              <w:pStyle w:val="ListBullet"/>
            </w:pPr>
            <w:r w:rsidRPr="00467AA5">
              <w:t>analysis of motor performance using circle diagrams</w:t>
            </w:r>
          </w:p>
          <w:p w:rsidR="00000000" w:rsidRPr="00467AA5" w:rsidP="00467AA5">
            <w:pPr>
              <w:pStyle w:val="BodyText"/>
            </w:pPr>
            <w:r w:rsidRPr="00467AA5">
              <w:t>T5</w:t>
            </w:r>
            <w:r w:rsidRPr="00467AA5">
              <w:tab/>
              <w:t>Induction motor starters encompassing:</w:t>
            </w:r>
          </w:p>
          <w:p w:rsidR="00000000" w:rsidRPr="00467AA5" w:rsidP="00467AA5">
            <w:pPr>
              <w:pStyle w:val="ListBullet"/>
            </w:pPr>
            <w:r w:rsidRPr="00467AA5">
              <w:t>sta</w:t>
            </w:r>
            <w:r w:rsidRPr="00467AA5">
              <w:t>rting requirements</w:t>
            </w:r>
          </w:p>
          <w:p w:rsidR="00000000" w:rsidRPr="00467AA5" w:rsidP="00467AA5">
            <w:pPr>
              <w:pStyle w:val="ListBullet"/>
            </w:pPr>
            <w:r w:rsidRPr="00467AA5">
              <w:t>type of starters</w:t>
            </w:r>
          </w:p>
          <w:p w:rsidR="00000000" w:rsidRPr="00467AA5" w:rsidP="00467AA5">
            <w:pPr>
              <w:pStyle w:val="ListBullet"/>
            </w:pPr>
            <w:r w:rsidRPr="00467AA5">
              <w:t>starting torque</w:t>
            </w:r>
          </w:p>
          <w:p w:rsidR="00000000" w:rsidRPr="00467AA5" w:rsidP="00467AA5">
            <w:pPr>
              <w:pStyle w:val="ListBullet"/>
            </w:pPr>
            <w:r w:rsidRPr="00467AA5">
              <w:t>starting dynamics</w:t>
            </w:r>
          </w:p>
          <w:p w:rsidR="00000000" w:rsidRPr="00467AA5" w:rsidP="00467AA5">
            <w:pPr>
              <w:pStyle w:val="ListBullet"/>
            </w:pPr>
            <w:r w:rsidRPr="00467AA5">
              <w:t>static friction</w:t>
            </w:r>
          </w:p>
          <w:p w:rsidR="00000000" w:rsidRPr="00467AA5" w:rsidP="00467AA5">
            <w:pPr>
              <w:pStyle w:val="ListBullet"/>
            </w:pPr>
            <w:r w:rsidRPr="00467AA5">
              <w:t>mechanical loads</w:t>
            </w:r>
          </w:p>
          <w:p w:rsidR="00000000" w:rsidRPr="00467AA5" w:rsidP="00467AA5">
            <w:pPr>
              <w:pStyle w:val="ListBullet"/>
            </w:pPr>
            <w:r w:rsidRPr="00467AA5">
              <w:t>starting duration</w:t>
            </w:r>
          </w:p>
          <w:p w:rsidR="00000000" w:rsidRPr="00467AA5" w:rsidP="00467AA5">
            <w:pPr>
              <w:pStyle w:val="BodyText"/>
            </w:pPr>
            <w:r w:rsidRPr="00467AA5">
              <w:t>T6</w:t>
            </w:r>
            <w:r w:rsidRPr="00467AA5">
              <w:tab/>
              <w:t>Reduced voltage starting encompassing:</w:t>
            </w:r>
          </w:p>
          <w:p w:rsidR="00000000" w:rsidRPr="00467AA5" w:rsidP="00467AA5">
            <w:pPr>
              <w:pStyle w:val="ListBullet"/>
            </w:pPr>
            <w:r w:rsidRPr="00467AA5">
              <w:t>starting dynamics</w:t>
            </w:r>
          </w:p>
          <w:p w:rsidR="00000000" w:rsidRPr="00467AA5" w:rsidP="00467AA5">
            <w:pPr>
              <w:pStyle w:val="ListBullet"/>
            </w:pPr>
            <w:r w:rsidRPr="00467AA5">
              <w:t>change over conditions</w:t>
            </w:r>
          </w:p>
          <w:p w:rsidR="00000000" w:rsidRPr="00467AA5" w:rsidP="00467AA5">
            <w:pPr>
              <w:pStyle w:val="ListBullet"/>
            </w:pPr>
            <w:r w:rsidRPr="00467AA5">
              <w:t>starting duration</w:t>
            </w:r>
          </w:p>
          <w:p w:rsidR="00000000" w:rsidRPr="00467AA5" w:rsidP="00467AA5">
            <w:pPr>
              <w:pStyle w:val="ListBullet"/>
            </w:pPr>
            <w:r w:rsidRPr="00467AA5">
              <w:t>acceleration curves</w:t>
            </w:r>
          </w:p>
          <w:p w:rsidR="00000000" w:rsidRPr="00467AA5" w:rsidP="00467AA5">
            <w:pPr>
              <w:pStyle w:val="BodyText"/>
            </w:pPr>
            <w:r w:rsidRPr="00467AA5">
              <w:t>T7</w:t>
            </w:r>
            <w:r w:rsidRPr="00467AA5">
              <w:tab/>
            </w:r>
            <w:r w:rsidRPr="00467AA5">
              <w:t>Speed control of induction motors encompassing:</w:t>
            </w:r>
          </w:p>
          <w:p w:rsidR="00000000" w:rsidRPr="00467AA5" w:rsidP="00467AA5">
            <w:pPr>
              <w:pStyle w:val="ListBullet"/>
            </w:pPr>
            <w:r w:rsidRPr="00467AA5">
              <w:t>constant torque, constant power concepts</w:t>
            </w:r>
          </w:p>
          <w:p w:rsidR="00000000" w:rsidRPr="00467AA5" w:rsidP="00467AA5">
            <w:pPr>
              <w:pStyle w:val="ListBullet"/>
            </w:pPr>
            <w:r w:rsidRPr="00467AA5">
              <w:t>torque-flux-voltage relationships</w:t>
            </w:r>
          </w:p>
          <w:p w:rsidR="00000000" w:rsidRPr="00467AA5" w:rsidP="00467AA5">
            <w:pPr>
              <w:pStyle w:val="ListBullet"/>
            </w:pPr>
            <w:r w:rsidRPr="00467AA5">
              <w:t>rotor resistance control</w:t>
            </w:r>
          </w:p>
          <w:p w:rsidR="00000000" w:rsidRPr="00467AA5" w:rsidP="00467AA5">
            <w:pPr>
              <w:pStyle w:val="ListBullet"/>
            </w:pPr>
            <w:r w:rsidRPr="00467AA5">
              <w:t>stator impedance control</w:t>
            </w:r>
          </w:p>
          <w:p w:rsidR="00000000" w:rsidRPr="00467AA5" w:rsidP="00467AA5">
            <w:pPr>
              <w:pStyle w:val="ListBullet"/>
            </w:pPr>
            <w:r w:rsidRPr="00467AA5">
              <w:t>variable frequency control (e.g. PAM, PWM, Flux vector control)</w:t>
            </w:r>
          </w:p>
          <w:p w:rsidR="00000000" w:rsidRPr="00467AA5" w:rsidP="00467AA5">
            <w:pPr>
              <w:pStyle w:val="BodyText"/>
            </w:pPr>
            <w:r w:rsidRPr="00467AA5">
              <w:t>T8</w:t>
            </w:r>
            <w:r w:rsidRPr="00467AA5">
              <w:tab/>
              <w:t>Braking of indu</w:t>
            </w:r>
            <w:r w:rsidRPr="00467AA5">
              <w:t>ction motors encompassing:</w:t>
            </w:r>
          </w:p>
          <w:p w:rsidR="00000000" w:rsidRPr="00467AA5" w:rsidP="00467AA5">
            <w:pPr>
              <w:pStyle w:val="ListBullet"/>
            </w:pPr>
            <w:r w:rsidRPr="00467AA5">
              <w:t>electrical braking systems (plugging, d.c. dynamic, regenerative, capacitor-magnetic)</w:t>
            </w:r>
          </w:p>
          <w:p w:rsidR="00000000" w:rsidRPr="00467AA5" w:rsidP="00467AA5">
            <w:pPr>
              <w:pStyle w:val="ListBullet"/>
            </w:pPr>
            <w:r w:rsidRPr="00467AA5">
              <w:t>mechanical braking systems (mechanical drum, demag, eddy current)</w:t>
            </w:r>
          </w:p>
          <w:p w:rsidR="00000000" w:rsidRPr="00467AA5" w:rsidP="00467AA5">
            <w:pPr>
              <w:pStyle w:val="BodyText"/>
            </w:pPr>
            <w:r w:rsidRPr="00467AA5">
              <w:t>T9</w:t>
            </w:r>
            <w:r w:rsidRPr="00467AA5">
              <w:tab/>
              <w:t>Motor protection encompassing:</w:t>
            </w:r>
          </w:p>
          <w:p w:rsidR="00000000" w:rsidRPr="00467AA5" w:rsidP="00467AA5">
            <w:pPr>
              <w:pStyle w:val="ListBullet"/>
            </w:pPr>
            <w:r w:rsidRPr="00467AA5">
              <w:t>overload</w:t>
            </w:r>
          </w:p>
          <w:p w:rsidR="00000000" w:rsidRPr="00467AA5" w:rsidP="00467AA5">
            <w:pPr>
              <w:pStyle w:val="ListBullet"/>
            </w:pPr>
            <w:r w:rsidRPr="00467AA5">
              <w:t>earth fault</w:t>
            </w:r>
          </w:p>
          <w:p w:rsidR="00000000" w:rsidRPr="00467AA5" w:rsidP="00467AA5">
            <w:pPr>
              <w:pStyle w:val="ListBullet"/>
            </w:pPr>
            <w:r w:rsidRPr="00467AA5">
              <w:t>phase failure</w:t>
            </w:r>
          </w:p>
          <w:p w:rsidR="00000000" w:rsidRPr="00467AA5" w:rsidP="00467AA5">
            <w:pPr>
              <w:pStyle w:val="BodyText"/>
            </w:pPr>
            <w:r w:rsidRPr="00467AA5">
              <w:t>T10</w:t>
            </w:r>
            <w:r w:rsidRPr="00467AA5">
              <w:tab/>
            </w:r>
            <w:r w:rsidRPr="00467AA5">
              <w:t>Motor selection criteria and RMS rating</w:t>
            </w:r>
          </w:p>
          <w:p w:rsidR="00000000" w:rsidRPr="00467AA5" w:rsidP="00467AA5">
            <w:pPr>
              <w:pStyle w:val="BodyText"/>
            </w:pPr>
            <w:r w:rsidRPr="00467AA5">
              <w:t>T11</w:t>
            </w:r>
            <w:r w:rsidRPr="00467AA5">
              <w:tab/>
              <w:t>Induction motor maintenance/repair encompassing:</w:t>
            </w:r>
          </w:p>
          <w:p w:rsidR="00000000" w:rsidRPr="00467AA5" w:rsidP="00467AA5">
            <w:pPr>
              <w:pStyle w:val="ListBullet"/>
            </w:pPr>
            <w:r w:rsidRPr="00467AA5">
              <w:t>routine maintenance schedules</w:t>
            </w:r>
          </w:p>
          <w:p w:rsidR="00000000" w:rsidRPr="00467AA5" w:rsidP="00467AA5">
            <w:pPr>
              <w:pStyle w:val="ListBullet"/>
            </w:pPr>
            <w:r w:rsidRPr="00467AA5">
              <w:t>type of repairs (mechanical, electrical)</w:t>
            </w:r>
          </w:p>
          <w:p w:rsidR="00000000" w:rsidRPr="00467AA5" w:rsidP="00467AA5">
            <w:pPr>
              <w:pStyle w:val="BodyText"/>
            </w:pPr>
            <w:r w:rsidRPr="00467AA5">
              <w:t>T12</w:t>
            </w:r>
            <w:r w:rsidRPr="00467AA5">
              <w:tab/>
              <w:t>Single phase induction motors encompassing:</w:t>
            </w:r>
          </w:p>
          <w:p w:rsidR="00000000" w:rsidRPr="00467AA5" w:rsidP="00467AA5">
            <w:pPr>
              <w:pStyle w:val="ListBullet"/>
            </w:pPr>
            <w:r w:rsidRPr="00467AA5">
              <w:t>operating principles (especially RMF)</w:t>
            </w:r>
          </w:p>
          <w:p w:rsidR="00000000" w:rsidRPr="00467AA5" w:rsidP="00467AA5">
            <w:pPr>
              <w:pStyle w:val="ListBullet"/>
            </w:pPr>
            <w:r w:rsidRPr="00467AA5">
              <w:t>cons</w:t>
            </w:r>
            <w:r w:rsidRPr="00467AA5">
              <w:t>truction types</w:t>
            </w:r>
          </w:p>
          <w:p w:rsidR="00000000" w:rsidRPr="00467AA5" w:rsidP="00467AA5">
            <w:pPr>
              <w:pStyle w:val="ListBullet"/>
            </w:pPr>
            <w:r w:rsidRPr="00467AA5">
              <w:t>speed-torque relationships</w:t>
            </w:r>
          </w:p>
          <w:p w:rsidR="00000000" w:rsidRPr="00467AA5" w:rsidP="00467AA5">
            <w:pPr>
              <w:pStyle w:val="ListBullet"/>
            </w:pPr>
            <w:r w:rsidRPr="00467AA5">
              <w:t>testing</w:t>
            </w:r>
          </w:p>
        </w:tc>
      </w:tr>
    </w:tbl>
    <w:p w:rsidR="00000000" w:rsidRPr="00467AA5" w:rsidP="00467AA5">
      <w:pPr>
        <w:pStyle w:val="BodyText"/>
      </w:pPr>
    </w:p>
    <w:p w:rsidR="00000000" w:rsidRPr="00467AA5" w:rsidP="00467AA5">
      <w:pPr>
        <w:pStyle w:val="AllowPageBreak"/>
      </w:pPr>
    </w:p>
    <w:p w:rsidR="00000000" w:rsidRPr="00467AA5" w:rsidP="00467AA5">
      <w:pPr>
        <w:pStyle w:val="Heading1"/>
      </w:pPr>
      <w:bookmarkStart w:id="10" w:name="O_591083"/>
      <w:bookmarkEnd w:id="10"/>
      <w:r w:rsidRPr="00467AA5">
        <w:t>Evidence Guide</w:t>
      </w:r>
    </w:p>
    <w:tbl>
      <w:tblPr>
        <w:tblW w:w="0" w:type="auto"/>
        <w:tblLayout w:type="fixed"/>
        <w:tblCellMar>
          <w:left w:w="62" w:type="dxa"/>
          <w:right w:w="62" w:type="dxa"/>
        </w:tblCellMar>
        <w:tblLook w:val="0000"/>
      </w:tblPr>
      <w:tblGrid>
        <w:gridCol w:w="8460"/>
      </w:tblGrid>
      <w:tr w:rsidTr="00B444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EVIDENCE GUIDE</w:t>
            </w:r>
          </w:p>
        </w:tc>
      </w:tr>
      <w:tr w:rsidTr="00B444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9)</w:t>
            </w:r>
            <w:r w:rsidRPr="00467AA5">
              <w:t xml:space="preserve"> The evidence guide provides advice on assessment and must be read in conjunction with the Performance Criteria, </w:t>
            </w:r>
            <w:r w:rsidRPr="00467AA5">
              <w:t xml:space="preserve">Required Skills and Knowledge, the Range Statement and the Assessment Guidelines for this Training Package. </w:t>
            </w:r>
          </w:p>
          <w:p w:rsidR="00000000" w:rsidRPr="00467AA5" w:rsidP="00467AA5">
            <w:pPr>
              <w:pStyle w:val="BodyText"/>
            </w:pPr>
            <w:r w:rsidRPr="00467AA5">
              <w:t>The Evidence Guide forms an integral part of this unit. It must be used in conjunction with all parts of this unit and performed in accordance with</w:t>
            </w:r>
            <w:r w:rsidRPr="00467AA5">
              <w:t xml:space="preserve"> the Assessment Guidelines of this Training Package.</w:t>
            </w:r>
          </w:p>
        </w:tc>
      </w:tr>
    </w:tbl>
    <w:p w:rsidR="00000000" w:rsidRPr="00467AA5" w:rsidP="00467AA5">
      <w:pPr>
        <w:pStyle w:val="BodyText"/>
      </w:pPr>
    </w:p>
    <w:tbl>
      <w:tblPr>
        <w:tblW w:w="0" w:type="auto"/>
        <w:tblLayout w:type="fixed"/>
        <w:tblCellMar>
          <w:left w:w="62" w:type="dxa"/>
          <w:right w:w="62" w:type="dxa"/>
        </w:tblCellMar>
        <w:tblLook w:val="0000"/>
      </w:tblPr>
      <w:tblGrid>
        <w:gridCol w:w="1890"/>
        <w:gridCol w:w="6570"/>
      </w:tblGrid>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9.1)</w:t>
            </w:r>
          </w:p>
        </w:tc>
      </w:tr>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t>Longitudinal competency development approaches to assessment, such as Profiling, require data to be reliably gathered in a form that can be consistently interpreted over t</w:t>
            </w:r>
            <w:r w:rsidRPr="00467AA5">
              <w:t>ime. This approach is best utilised in Apprenticeship programs and reduces assessment intervention. It is the Industry’s preferred model for apprenticeships. However, where summative (or final) assessment is used it is to include the application of the com</w:t>
            </w:r>
            <w:r w:rsidRPr="00467AA5">
              <w:t xml:space="preserve">petency in the normal work environment or, at a minimum, the application of the competency in a realistically simulated work environment. It is recognised that, in some circumstances, assessment in part or full can occur outside the workplace. However, it </w:t>
            </w:r>
            <w:r w:rsidRPr="00467AA5">
              <w:t>must be in accordance with industry and regulatory policy.</w:t>
            </w:r>
          </w:p>
          <w:p w:rsidR="00000000" w:rsidRPr="00467AA5" w:rsidP="00467AA5">
            <w:pPr>
              <w:pStyle w:val="BodyText"/>
            </w:pPr>
            <w:r w:rsidRPr="00467AA5">
              <w:t>Methods chosen for a particular assessment will be influenced by various factors. These include the extent of the assessment, the most effective locations for the assessment activities to take place, access to physical resources, additional safety measures</w:t>
            </w:r>
            <w:r w:rsidRPr="00467AA5">
              <w:t xml:space="preserve"> that may be required and the critical nature of the competencies being assessed.</w:t>
            </w:r>
          </w:p>
          <w:p w:rsidR="00000000" w:rsidRPr="00467AA5" w:rsidP="00467AA5">
            <w:pPr>
              <w:pStyle w:val="BodyText"/>
            </w:pPr>
            <w:r w:rsidRPr="00467AA5">
              <w:t>The critical safety nature of working with electricity, electrical equipment, gas or any other hazardous substance/material carries risk in deeming a person competent. Source</w:t>
            </w:r>
            <w:r w:rsidRPr="00467AA5">
              <w:t>s of evidence need to be ‘rich’ in nature to minimise error in judgment.</w:t>
            </w:r>
          </w:p>
          <w:p w:rsidR="00000000" w:rsidRPr="00467AA5" w:rsidP="00467AA5">
            <w:pPr>
              <w:pStyle w:val="BodyText"/>
            </w:pPr>
            <w:r w:rsidRPr="00467AA5">
              <w:t>Activities associated with normal every day work have a bearing on the decision as to how much and how detailed the data gathered will contribute to its ‘richness’. Some skills are mo</w:t>
            </w:r>
            <w:r w:rsidRPr="00467AA5">
              <w:t>re critical to safety and operational requirements while the same skills may be more or less frequently practised. These points are raised for the assessors to consider when choosing an assessment method and developing assessment instruments. Sample assess</w:t>
            </w:r>
            <w:r w:rsidRPr="00467AA5">
              <w:t>ment instruments are included for Assessors in the Assessment Guidelines of this Training Package.</w:t>
            </w:r>
          </w:p>
        </w:tc>
      </w:tr>
    </w:tbl>
    <w:p w:rsidR="00000000" w:rsidRPr="00467AA5" w:rsidP="00467AA5">
      <w:pPr>
        <w:pStyle w:val="BodyText"/>
      </w:pPr>
    </w:p>
    <w:tbl>
      <w:tblPr>
        <w:tblW w:w="0" w:type="auto"/>
        <w:tblLayout w:type="fixed"/>
        <w:tblCellMar>
          <w:left w:w="62" w:type="dxa"/>
          <w:right w:w="62" w:type="dxa"/>
        </w:tblCellMar>
        <w:tblLook w:val="0000"/>
      </w:tblPr>
      <w:tblGrid>
        <w:gridCol w:w="1890"/>
        <w:gridCol w:w="1530"/>
        <w:gridCol w:w="5040"/>
      </w:tblGrid>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9.2)</w:t>
            </w:r>
          </w:p>
        </w:tc>
      </w:tr>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t>Before the critical aspects of evidence are considered all prerequisit</w:t>
            </w:r>
            <w:r w:rsidRPr="00467AA5">
              <w:t>es shall be met.</w:t>
            </w:r>
          </w:p>
          <w:p w:rsidR="00000000" w:rsidRPr="00467AA5" w:rsidP="00467AA5">
            <w:pPr>
              <w:pStyle w:val="BodyText"/>
            </w:pPr>
            <w:r w:rsidRPr="00467AA5">
              <w:t>Evidence for competence in this unit shall be considered holistically.  Each element and associated performance criteria shall be demonstrated on at least two occasions in accordance with the ‘Assessment Guidelines – UEE11’.  Evidence shal</w:t>
            </w:r>
            <w:r w:rsidRPr="00467AA5">
              <w:t>l also comprise:</w:t>
            </w:r>
          </w:p>
          <w:p w:rsidR="00000000" w:rsidRPr="00467AA5" w:rsidP="00467AA5">
            <w:pPr>
              <w:pStyle w:val="ListBullet"/>
            </w:pPr>
            <w:r w:rsidRPr="00467AA5">
              <w:t>A representative body of work performance demonstrated within the timeframes typically expected of the discipline, work function and industrial environment. In particular this shall incorporate evidence that shows a candidate is able to:</w:t>
            </w:r>
          </w:p>
          <w:p w:rsidR="00000000" w:rsidRPr="00467AA5" w:rsidP="00467AA5">
            <w:pPr>
              <w:pStyle w:val="ListBullet2"/>
            </w:pPr>
            <w:r w:rsidRPr="00467AA5">
              <w:t>Implement Occupational Health and Safety workplace procedures and practices including the use of risk control measures as specified in the performance criteria and range statement</w:t>
            </w:r>
          </w:p>
          <w:p w:rsidR="00000000" w:rsidRPr="00467AA5" w:rsidP="00467AA5">
            <w:pPr>
              <w:pStyle w:val="ListBullet2"/>
            </w:pPr>
            <w:r w:rsidRPr="00467AA5">
              <w:t>Apply sustainable energy principles and practices as specified in the perfo</w:t>
            </w:r>
            <w:r w:rsidRPr="00467AA5">
              <w:t>rmance criteria and range statement</w:t>
            </w:r>
          </w:p>
          <w:p w:rsidR="00000000" w:rsidRPr="00467AA5" w:rsidP="00467AA5">
            <w:pPr>
              <w:pStyle w:val="ListBullet2"/>
            </w:pPr>
            <w:r w:rsidRPr="00467AA5">
              <w:t>Demonstrate an understanding of the essential knowledge and associated skills as described in this unit.  It may be required by some jurisdictions that RTOs provide a percentile graded result for the purpose of regulator</w:t>
            </w:r>
            <w:r w:rsidRPr="00467AA5">
              <w:t xml:space="preserve">y or licensing requirements.   </w:t>
            </w:r>
          </w:p>
          <w:p w:rsidR="00000000" w:rsidRPr="00467AA5" w:rsidP="00467AA5">
            <w:pPr>
              <w:pStyle w:val="ListBullet2"/>
            </w:pPr>
            <w:r w:rsidRPr="00467AA5">
              <w:t>Demonstrate an appropriate level of skills enabling employment</w:t>
            </w:r>
          </w:p>
          <w:p w:rsidR="00000000" w:rsidRPr="00467AA5" w:rsidP="00467AA5">
            <w:pPr>
              <w:pStyle w:val="ListBullet2"/>
            </w:pPr>
            <w:r w:rsidRPr="00467AA5">
              <w:t>Conduct work observing the relevant Anti Discrimination legislation, regulations, polices and workplace procedures</w:t>
            </w:r>
          </w:p>
          <w:p w:rsidR="00000000" w:rsidRPr="00467AA5" w:rsidP="00467AA5">
            <w:pPr>
              <w:pStyle w:val="ListBullet"/>
            </w:pPr>
            <w:r w:rsidRPr="00467AA5">
              <w:t xml:space="preserve">Demonstrated consistent performance across a </w:t>
            </w:r>
            <w:r w:rsidRPr="00467AA5">
              <w:t>representative range of contexts from the prescribed items below:</w:t>
            </w:r>
          </w:p>
          <w:p w:rsidR="00000000" w:rsidP="00467AA5">
            <w:pPr>
              <w:pStyle w:val="ListBullet2"/>
              <w:rPr>
                <w:lang w:val="en-NZ"/>
              </w:rPr>
            </w:pPr>
            <w:r w:rsidRPr="00467AA5">
              <w:t>Develop engineering solutions for induction machine problems as described in 8) and including:</w:t>
            </w:r>
          </w:p>
        </w:tc>
      </w:tr>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A</w:t>
            </w:r>
          </w:p>
        </w:tc>
        <w:tc>
          <w:tcPr>
            <w:tcW w:w="50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Understanding the extent of the machine problem.</w:t>
            </w:r>
          </w:p>
        </w:tc>
      </w:tr>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B</w:t>
            </w:r>
          </w:p>
        </w:tc>
        <w:tc>
          <w:tcPr>
            <w:tcW w:w="50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Forming effective strategies for solution development and implementation.</w:t>
            </w:r>
          </w:p>
        </w:tc>
      </w:tr>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C</w:t>
            </w:r>
          </w:p>
        </w:tc>
        <w:tc>
          <w:tcPr>
            <w:tcW w:w="50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Obtaining machine parameters, specifications and performance requirements appropriate to each problem.</w:t>
            </w:r>
          </w:p>
        </w:tc>
      </w:tr>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D</w:t>
            </w:r>
          </w:p>
        </w:tc>
        <w:tc>
          <w:tcPr>
            <w:tcW w:w="50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Testing and solutions to machine problems</w:t>
            </w:r>
          </w:p>
        </w:tc>
      </w:tr>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E</w:t>
            </w:r>
          </w:p>
        </w:tc>
        <w:tc>
          <w:tcPr>
            <w:tcW w:w="50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Documenting instruction for implementation of solutions that incorporate risk control measure to be followed.</w:t>
            </w:r>
          </w:p>
        </w:tc>
      </w:tr>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F</w:t>
            </w:r>
          </w:p>
        </w:tc>
        <w:tc>
          <w:tcPr>
            <w:tcW w:w="50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Documenting justification of solutions implemented in accordance with professional standards.</w:t>
            </w:r>
          </w:p>
        </w:tc>
      </w:tr>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G</w:t>
            </w:r>
          </w:p>
        </w:tc>
        <w:tc>
          <w:tcPr>
            <w:tcW w:w="50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 xml:space="preserve">Dealing with unplanned events by drawing on </w:t>
            </w:r>
            <w:r w:rsidRPr="00467AA5">
              <w:t>essential knowledge and skills to provide appropriate solutions incorporated in the holistic assessment with the above listed items.</w:t>
            </w:r>
          </w:p>
        </w:tc>
      </w:tr>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t xml:space="preserve">Note: </w:t>
            </w:r>
          </w:p>
          <w:p w:rsidR="00000000" w:rsidRPr="00467AA5" w:rsidP="00467AA5">
            <w:pPr>
              <w:pStyle w:val="BodyText"/>
            </w:pPr>
            <w:r w:rsidRPr="00467AA5">
              <w:t>Successful completion of relevant vendor training may be used to contribute to evidence on which competency is dee</w:t>
            </w:r>
            <w:r w:rsidRPr="00467AA5">
              <w:t>med. In these cases the alignment of outcomes of vendor training with performance criteria and critical aspects of evidence shall be clearly identified.</w:t>
            </w:r>
          </w:p>
        </w:tc>
      </w:tr>
    </w:tbl>
    <w:p w:rsidR="00000000" w:rsidRPr="00467AA5" w:rsidP="00467AA5">
      <w:pPr>
        <w:pStyle w:val="BodyText"/>
      </w:pPr>
    </w:p>
    <w:tbl>
      <w:tblPr>
        <w:tblW w:w="0" w:type="auto"/>
        <w:tblLayout w:type="fixed"/>
        <w:tblCellMar>
          <w:left w:w="62" w:type="dxa"/>
          <w:right w:w="62" w:type="dxa"/>
        </w:tblCellMar>
        <w:tblLook w:val="0000"/>
      </w:tblPr>
      <w:tblGrid>
        <w:gridCol w:w="1890"/>
        <w:gridCol w:w="6570"/>
      </w:tblGrid>
      <w:tr w:rsidTr="00B4441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9.3)</w:t>
            </w:r>
          </w:p>
        </w:tc>
      </w:tr>
      <w:tr w:rsidTr="00B4441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t>This unit should be assessed as it relates to normal work practice using procedures, information and resources typical of a workplace. This should include:</w:t>
            </w:r>
          </w:p>
          <w:p w:rsidR="00000000" w:rsidRPr="00467AA5" w:rsidP="00467AA5">
            <w:pPr>
              <w:pStyle w:val="BodyText"/>
            </w:pPr>
            <w:r w:rsidRPr="00467AA5">
              <w:t>OHS policy and work procedures and instructions.</w:t>
            </w:r>
          </w:p>
          <w:p w:rsidR="00000000" w:rsidRPr="00467AA5" w:rsidP="00467AA5">
            <w:pPr>
              <w:pStyle w:val="BodyText"/>
            </w:pPr>
            <w:r w:rsidRPr="00467AA5">
              <w:t>Suitable work environment, facilities, equipment an</w:t>
            </w:r>
            <w:r w:rsidRPr="00467AA5">
              <w:t>d materials to undertake actual work as prescribed by this unit.</w:t>
            </w:r>
          </w:p>
          <w:p w:rsidR="00000000" w:rsidRPr="00467AA5" w:rsidP="00467AA5">
            <w:pPr>
              <w:pStyle w:val="BodyText"/>
            </w:pPr>
            <w:r w:rsidRPr="00467AA5">
              <w:t>These should be part of the formal learning/assessment environment.</w:t>
            </w:r>
          </w:p>
          <w:p w:rsidR="00000000" w:rsidRPr="00467AA5" w:rsidP="00467AA5">
            <w:pPr>
              <w:pStyle w:val="BodyText"/>
            </w:pPr>
            <w:r w:rsidRPr="00467AA5">
              <w:t>Note:</w:t>
            </w:r>
          </w:p>
          <w:p w:rsidR="00000000" w:rsidRPr="00467AA5" w:rsidP="00467AA5">
            <w:pPr>
              <w:pStyle w:val="BodyText"/>
            </w:pPr>
            <w:r w:rsidRPr="00467AA5">
              <w:t>Where simulation is considered a suitable strategy for assessment, conditions must be authentic and as far as possibl</w:t>
            </w:r>
            <w:r w:rsidRPr="00467AA5">
              <w:t>e reproduce and replicate the workplace and be consistent with the approved industry simulation policy.</w:t>
            </w:r>
          </w:p>
          <w:p w:rsidR="00000000" w:rsidRPr="00467AA5" w:rsidP="00467AA5">
            <w:pPr>
              <w:pStyle w:val="BodyText"/>
            </w:pPr>
            <w:r w:rsidRPr="00467AA5">
              <w:t>The resources used for assessment should reflect current industry practices in relation to developing engineering solutions for induction machine proble</w:t>
            </w:r>
            <w:r w:rsidRPr="00467AA5">
              <w:t>ms.</w:t>
            </w:r>
          </w:p>
        </w:tc>
      </w:tr>
    </w:tbl>
    <w:p w:rsidR="00000000" w:rsidRPr="00467AA5" w:rsidP="00467AA5">
      <w:pPr>
        <w:pStyle w:val="BodyText"/>
      </w:pPr>
    </w:p>
    <w:tbl>
      <w:tblPr>
        <w:tblW w:w="0" w:type="auto"/>
        <w:tblLayout w:type="fixed"/>
        <w:tblCellMar>
          <w:left w:w="62" w:type="dxa"/>
          <w:right w:w="62" w:type="dxa"/>
        </w:tblCellMar>
        <w:tblLook w:val="0000"/>
      </w:tblPr>
      <w:tblGrid>
        <w:gridCol w:w="1890"/>
        <w:gridCol w:w="6570"/>
      </w:tblGrid>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9.4)</w:t>
            </w:r>
          </w:p>
        </w:tc>
      </w:tr>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t>This unit shall be assessed by methods given in Volume 1, Part 3 ‘Assessment Guidelines’.</w:t>
            </w:r>
          </w:p>
          <w:p w:rsidR="00000000" w:rsidRPr="00467AA5" w:rsidP="00467AA5">
            <w:pPr>
              <w:pStyle w:val="BodyText"/>
            </w:pPr>
            <w:r w:rsidRPr="00467AA5">
              <w:t xml:space="preserve">Note: </w:t>
            </w:r>
          </w:p>
          <w:p w:rsidR="00000000" w:rsidRPr="00467AA5" w:rsidP="00467AA5">
            <w:pPr>
              <w:pStyle w:val="BodyText"/>
            </w:pPr>
            <w:r w:rsidRPr="00467AA5">
              <w:t>Competent perf</w:t>
            </w:r>
            <w:r w:rsidRPr="00467AA5">
              <w:t>ormance with inherent safe working practices is expected in the industry to which this unit applies. This requires assessment in a structured environment which is primarily intended for learning/assessment and incorporates all necessary equipment and facil</w:t>
            </w:r>
            <w:r w:rsidRPr="00467AA5">
              <w:t>ities for learners to develop and demonstrate the essential knowledge and skills described in this unit.</w:t>
            </w:r>
          </w:p>
        </w:tc>
      </w:tr>
    </w:tbl>
    <w:p w:rsidR="00000000" w:rsidRPr="00467AA5" w:rsidP="00467AA5">
      <w:pPr>
        <w:pStyle w:val="BodyText"/>
      </w:pPr>
    </w:p>
    <w:tbl>
      <w:tblPr>
        <w:tblW w:w="0" w:type="auto"/>
        <w:tblLayout w:type="fixed"/>
        <w:tblCellMar>
          <w:left w:w="62" w:type="dxa"/>
          <w:right w:w="62" w:type="dxa"/>
        </w:tblCellMar>
        <w:tblLook w:val="0000"/>
      </w:tblPr>
      <w:tblGrid>
        <w:gridCol w:w="1890"/>
        <w:gridCol w:w="1530"/>
        <w:gridCol w:w="5040"/>
      </w:tblGrid>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9.5)</w:t>
            </w:r>
          </w:p>
        </w:tc>
      </w:tr>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For optimisation of training and assessment effort, competency development in this unit may be arranged concurrently with unit:</w:t>
            </w:r>
          </w:p>
        </w:tc>
      </w:tr>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UEENEEG149A</w:t>
            </w:r>
          </w:p>
        </w:tc>
        <w:tc>
          <w:tcPr>
            <w:tcW w:w="504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t>Provide engineering solutions to problems in complex polyphase power circuits</w:t>
            </w:r>
          </w:p>
        </w:tc>
      </w:tr>
      <w:tr w:rsidTr="00B444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t>The critical aspects of occupatio</w:t>
            </w:r>
            <w:r w:rsidRPr="00467AA5">
              <w:t>nal health and safety covered in unit UEENEEE101A and other discipline specific occupational health and safety units shall be incorporated in relation to this unit.</w:t>
            </w:r>
          </w:p>
        </w:tc>
      </w:tr>
    </w:tbl>
    <w:p w:rsidR="00000000" w:rsidRPr="00467AA5" w:rsidP="00467AA5">
      <w:pPr>
        <w:pStyle w:val="BodyText"/>
      </w:pPr>
    </w:p>
    <w:p w:rsidR="00000000" w:rsidRPr="00467AA5" w:rsidP="00467AA5">
      <w:pPr>
        <w:pStyle w:val="AllowPageBreak"/>
      </w:pPr>
    </w:p>
    <w:p w:rsidR="00000000" w:rsidRPr="00467AA5" w:rsidP="00467AA5">
      <w:pPr>
        <w:pStyle w:val="Heading1"/>
      </w:pPr>
      <w:bookmarkStart w:id="11" w:name="O_591082"/>
      <w:bookmarkEnd w:id="11"/>
      <w:r w:rsidRPr="00467AA5">
        <w:t>Range Statement</w:t>
      </w:r>
    </w:p>
    <w:tbl>
      <w:tblPr>
        <w:tblW w:w="0" w:type="auto"/>
        <w:tblLayout w:type="fixed"/>
        <w:tblCellMar>
          <w:left w:w="62" w:type="dxa"/>
          <w:right w:w="62" w:type="dxa"/>
        </w:tblCellMar>
        <w:tblLook w:val="0000"/>
      </w:tblPr>
      <w:tblGrid>
        <w:gridCol w:w="8460"/>
      </w:tblGrid>
      <w:tr w:rsidTr="00B444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RANGE STATEMENT</w:t>
            </w:r>
          </w:p>
        </w:tc>
      </w:tr>
      <w:tr w:rsidTr="00B444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10)</w:t>
            </w:r>
            <w:r w:rsidRPr="00467AA5">
              <w:t xml:space="preserve"> This relates to the unit as a whole providing the range of contexts and conditions to which the performance criteria apply. It allows for different work environments and situations that will affect performance.</w:t>
            </w:r>
          </w:p>
          <w:p w:rsidR="00000000" w:rsidRPr="00467AA5" w:rsidP="00467AA5">
            <w:pPr>
              <w:pStyle w:val="BodyText"/>
            </w:pPr>
            <w:r w:rsidRPr="00467AA5">
              <w:t xml:space="preserve">This unit shall be demonstrated in relation </w:t>
            </w:r>
            <w:r w:rsidRPr="00467AA5">
              <w:t>to developing engineering solution for at least two types of induction machine problems.</w:t>
            </w:r>
          </w:p>
          <w:p w:rsidR="00000000" w:rsidRPr="00467AA5" w:rsidP="00467AA5">
            <w:pPr>
              <w:pStyle w:val="BodyText"/>
            </w:pPr>
            <w:r w:rsidRPr="00467AA5">
              <w:t>Note.</w:t>
            </w:r>
          </w:p>
          <w:p w:rsidR="00000000" w:rsidRPr="00467AA5" w:rsidP="00467AA5">
            <w:pPr>
              <w:pStyle w:val="BodyText"/>
            </w:pPr>
            <w:r w:rsidRPr="00467AA5">
              <w:t xml:space="preserve">Typical machine problems are those encountered in meeting performance requirements and compliance standards, revising a machine operating parameters and dealing </w:t>
            </w:r>
            <w:r w:rsidRPr="00467AA5">
              <w:t>with machine malfunctions.</w:t>
            </w:r>
          </w:p>
          <w:p w:rsidR="00000000" w:rsidRPr="00467AA5" w:rsidP="00467AA5">
            <w:pPr>
              <w:pStyle w:val="BodyText"/>
            </w:pPr>
            <w:r w:rsidRPr="00467AA5">
              <w:t>Generic terms used throughout this Vocational Standard shall be regarded as part of the Range Statement in which competency is demonstrated. The definition of these and other terms that apply are given in Volume 2, Part 2.1.</w:t>
            </w:r>
          </w:p>
        </w:tc>
      </w:tr>
    </w:tbl>
    <w:p w:rsidR="00000000" w:rsidRPr="00467AA5" w:rsidP="00467AA5">
      <w:pPr>
        <w:pStyle w:val="BodyText"/>
      </w:pPr>
    </w:p>
    <w:p w:rsidR="00000000" w:rsidRPr="00467AA5" w:rsidP="00467AA5">
      <w:pPr>
        <w:pStyle w:val="AllowPageBreak"/>
      </w:pPr>
    </w:p>
    <w:p w:rsidR="00000000" w:rsidRPr="00467AA5" w:rsidP="00467AA5">
      <w:pPr>
        <w:pStyle w:val="Heading1"/>
      </w:pPr>
      <w:bookmarkStart w:id="12" w:name="O_591081"/>
      <w:bookmarkEnd w:id="12"/>
      <w:r w:rsidRPr="00467AA5">
        <w:t>Unit Sector(s)</w:t>
      </w:r>
    </w:p>
    <w:p w:rsidR="00000000" w:rsidRPr="00467AA5" w:rsidP="00467AA5">
      <w:pPr>
        <w:pStyle w:val="BodyText"/>
      </w:pPr>
      <w:r w:rsidRPr="00467AA5">
        <w:t>Not applicable.</w:t>
      </w:r>
    </w:p>
    <w:p w:rsidR="00000000" w:rsidRPr="00467AA5" w:rsidP="00467AA5">
      <w:pPr>
        <w:pStyle w:val="AllowPageBreak"/>
      </w:pPr>
    </w:p>
    <w:p w:rsidR="00000000" w:rsidRPr="00467AA5" w:rsidP="00467AA5">
      <w:pPr>
        <w:pStyle w:val="Heading1"/>
      </w:pPr>
      <w:bookmarkStart w:id="13" w:name="O_591080"/>
      <w:bookmarkEnd w:id="13"/>
      <w:r w:rsidRPr="00467AA5">
        <w:t>Competency Field</w:t>
      </w:r>
    </w:p>
    <w:tbl>
      <w:tblPr>
        <w:tblW w:w="0" w:type="auto"/>
        <w:tblLayout w:type="fixed"/>
        <w:tblCellMar>
          <w:left w:w="62" w:type="dxa"/>
          <w:right w:w="62" w:type="dxa"/>
        </w:tblCellMar>
        <w:tblLook w:val="0000"/>
      </w:tblPr>
      <w:tblGrid>
        <w:gridCol w:w="2700"/>
        <w:gridCol w:w="5760"/>
      </w:tblGrid>
      <w:tr w:rsidTr="00B444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67AA5">
            <w:pPr>
              <w:pStyle w:val="BodyText"/>
              <w:rPr>
                <w:lang w:val="en-NZ"/>
              </w:rPr>
            </w:pPr>
            <w:r w:rsidRPr="00467AA5">
              <w:rPr>
                <w:rStyle w:val="SpecialBold"/>
              </w:rPr>
              <w:t xml:space="preserve">11) </w:t>
            </w:r>
          </w:p>
        </w:tc>
      </w:tr>
      <w:tr w:rsidTr="00B444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7AA5" w:rsidP="00467AA5">
            <w:pPr>
              <w:pStyle w:val="BodyText"/>
            </w:pPr>
            <w:r w:rsidRPr="00467AA5">
              <w:t>Electrical</w:t>
            </w:r>
          </w:p>
        </w:tc>
      </w:tr>
    </w:tbl>
    <w:p w:rsidR="00000000" w:rsidRPr="00467AA5" w:rsidP="00467AA5">
      <w:pPr>
        <w:pStyle w:val="BodyText"/>
      </w:pPr>
    </w:p>
    <w:p w:rsidR="00000000" w:rsidRPr="00467AA5" w:rsidP="00467AA5"/>
    <w:sectPr w:rsidSect="00467A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A5" w:rsidRPr="00B4441A" w:rsidP="00B44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1A" w:rsidP="00467A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4441A" w:rsidP="00467AA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4441A" w:rsidP="00467A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A5" w:rsidRPr="00B4441A" w:rsidP="00B444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1A" w:rsidRPr="002D2AF8" w:rsidP="00467AA5">
    <w:pPr>
      <w:pStyle w:val="Header"/>
      <w:framePr w:wrap="around"/>
    </w:pPr>
    <w:r>
      <w:fldChar w:fldCharType="begin"/>
    </w:r>
    <w:r>
      <w:instrText xml:space="preserve"> TITLE   \* MERGEFORMAT </w:instrText>
    </w:r>
    <w:r>
      <w:fldChar w:fldCharType="separate"/>
    </w:r>
    <w:r>
      <w:t>UEENEEG145A Develop engineering solutions for induction machine and control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4441A" w:rsidP="00467A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107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6E6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A8A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A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AA5"/>
    <w:pPr>
      <w:spacing w:before="360" w:after="60"/>
      <w:outlineLvl w:val="0"/>
    </w:pPr>
    <w:rPr>
      <w:sz w:val="32"/>
    </w:rPr>
  </w:style>
  <w:style w:type="paragraph" w:styleId="Heading2">
    <w:name w:val="heading 2"/>
    <w:basedOn w:val="HeadingBase"/>
    <w:next w:val="BodyText"/>
    <w:link w:val="Heading2Char"/>
    <w:qFormat/>
    <w:rsid w:val="00467AA5"/>
    <w:pPr>
      <w:keepLines/>
      <w:spacing w:before="240" w:after="120"/>
      <w:outlineLvl w:val="1"/>
    </w:pPr>
    <w:rPr>
      <w:sz w:val="28"/>
      <w:szCs w:val="40"/>
    </w:rPr>
  </w:style>
  <w:style w:type="paragraph" w:styleId="Heading3">
    <w:name w:val="heading 3"/>
    <w:basedOn w:val="HeadingBase"/>
    <w:next w:val="BodyText"/>
    <w:link w:val="Heading3Char"/>
    <w:qFormat/>
    <w:rsid w:val="00467AA5"/>
    <w:pPr>
      <w:spacing w:before="180" w:after="120"/>
      <w:outlineLvl w:val="2"/>
    </w:pPr>
    <w:rPr>
      <w:spacing w:val="-10"/>
      <w:kern w:val="32"/>
    </w:rPr>
  </w:style>
  <w:style w:type="paragraph" w:styleId="Heading4">
    <w:name w:val="heading 4"/>
    <w:basedOn w:val="HeadingBase"/>
    <w:next w:val="BodyText"/>
    <w:link w:val="Heading4Char"/>
    <w:qFormat/>
    <w:rsid w:val="00467AA5"/>
    <w:pPr>
      <w:spacing w:before="160" w:after="120"/>
      <w:outlineLvl w:val="3"/>
    </w:pPr>
    <w:rPr>
      <w:sz w:val="22"/>
    </w:rPr>
  </w:style>
  <w:style w:type="paragraph" w:styleId="Heading5">
    <w:name w:val="heading 5"/>
    <w:basedOn w:val="HeadingBase"/>
    <w:next w:val="Normal"/>
    <w:link w:val="Heading5Char"/>
    <w:qFormat/>
    <w:rsid w:val="00467AA5"/>
    <w:pPr>
      <w:spacing w:before="80"/>
      <w:outlineLvl w:val="4"/>
    </w:pPr>
    <w:rPr>
      <w:color w:val="918585"/>
      <w:sz w:val="20"/>
    </w:rPr>
  </w:style>
  <w:style w:type="paragraph" w:styleId="Heading6">
    <w:name w:val="heading 6"/>
    <w:basedOn w:val="HeadingBase"/>
    <w:next w:val="Normal"/>
    <w:link w:val="Heading6Char"/>
    <w:qFormat/>
    <w:rsid w:val="00467AA5"/>
    <w:pPr>
      <w:spacing w:before="60"/>
      <w:outlineLvl w:val="5"/>
    </w:pPr>
    <w:rPr>
      <w:color w:val="918585"/>
      <w:sz w:val="20"/>
    </w:rPr>
  </w:style>
  <w:style w:type="paragraph" w:styleId="Heading7">
    <w:name w:val="heading 7"/>
    <w:basedOn w:val="Normal"/>
    <w:next w:val="Normal"/>
    <w:link w:val="Heading7Char"/>
    <w:qFormat/>
    <w:rsid w:val="00467AA5"/>
    <w:pPr>
      <w:ind w:left="720"/>
      <w:outlineLvl w:val="6"/>
    </w:pPr>
    <w:rPr>
      <w:i/>
    </w:rPr>
  </w:style>
  <w:style w:type="paragraph" w:styleId="Heading8">
    <w:name w:val="heading 8"/>
    <w:basedOn w:val="Normal"/>
    <w:next w:val="Normal"/>
    <w:link w:val="Heading8Char"/>
    <w:qFormat/>
    <w:rsid w:val="00467AA5"/>
    <w:pPr>
      <w:ind w:left="720"/>
      <w:outlineLvl w:val="7"/>
    </w:pPr>
    <w:rPr>
      <w:i/>
    </w:rPr>
  </w:style>
  <w:style w:type="paragraph" w:styleId="Heading9">
    <w:name w:val="heading 9"/>
    <w:basedOn w:val="Normal"/>
    <w:next w:val="Normal"/>
    <w:link w:val="Heading9Char"/>
    <w:qFormat/>
    <w:rsid w:val="00467AA5"/>
    <w:pPr>
      <w:ind w:left="720"/>
      <w:outlineLvl w:val="8"/>
    </w:pPr>
    <w:rPr>
      <w:i/>
    </w:rPr>
  </w:style>
  <w:style w:type="character" w:default="1" w:styleId="DefaultParagraphFont">
    <w:name w:val="Default Paragraph Font"/>
    <w:uiPriority w:val="1"/>
    <w:unhideWhenUsed/>
    <w:rsid w:val="00467A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AA5"/>
  </w:style>
  <w:style w:type="character" w:customStyle="1" w:styleId="Heading1Char">
    <w:name w:val="Heading 1 Char"/>
    <w:basedOn w:val="DefaultParagraphFont"/>
    <w:link w:val="Heading1"/>
    <w:rsid w:val="00467AA5"/>
    <w:rPr>
      <w:rFonts w:ascii="Times New Roman" w:eastAsia="Times New Roman" w:hAnsi="Times New Roman" w:cs="Times New Roman"/>
      <w:b/>
      <w:sz w:val="32"/>
      <w:szCs w:val="20"/>
      <w:lang w:eastAsia="en-US"/>
    </w:rPr>
  </w:style>
  <w:style w:type="paragraph" w:styleId="BodyText">
    <w:name w:val="Body Text"/>
    <w:basedOn w:val="Normal"/>
    <w:link w:val="BodyTextChar"/>
    <w:rsid w:val="00467A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7AA5"/>
    <w:rPr>
      <w:rFonts w:ascii="Times New Roman" w:eastAsia="Times New Roman" w:hAnsi="Times New Roman" w:cs="Times New Roman"/>
      <w:sz w:val="24"/>
      <w:lang w:eastAsia="en-US"/>
    </w:rPr>
  </w:style>
  <w:style w:type="paragraph" w:styleId="ListBullet">
    <w:name w:val="List Bullet"/>
    <w:basedOn w:val="List"/>
    <w:rsid w:val="00467AA5"/>
    <w:pPr>
      <w:numPr>
        <w:numId w:val="13"/>
      </w:numPr>
      <w:tabs>
        <w:tab w:val="clear" w:pos="340"/>
      </w:tabs>
      <w:spacing w:before="40" w:after="40"/>
    </w:pPr>
  </w:style>
  <w:style w:type="character" w:customStyle="1" w:styleId="SpecialBold">
    <w:name w:val="Special Bold"/>
    <w:basedOn w:val="DefaultParagraphFont"/>
    <w:rsid w:val="00467AA5"/>
    <w:rPr>
      <w:b/>
      <w:spacing w:val="0"/>
    </w:rPr>
  </w:style>
  <w:style w:type="paragraph" w:styleId="ListBullet2">
    <w:name w:val="List Bullet 2"/>
    <w:basedOn w:val="List2"/>
    <w:rsid w:val="00467AA5"/>
    <w:pPr>
      <w:numPr>
        <w:numId w:val="14"/>
      </w:numPr>
      <w:tabs>
        <w:tab w:val="clear" w:pos="680"/>
      </w:tabs>
    </w:pPr>
  </w:style>
  <w:style w:type="paragraph" w:customStyle="1" w:styleId="SuperHeading">
    <w:name w:val="SuperHeading"/>
    <w:basedOn w:val="Normal"/>
    <w:rsid w:val="00467AA5"/>
    <w:pPr>
      <w:spacing w:before="240" w:after="120"/>
      <w:outlineLvl w:val="0"/>
    </w:pPr>
    <w:rPr>
      <w:rFonts w:ascii="Times New Roman" w:hAnsi="Times New Roman"/>
      <w:b/>
      <w:sz w:val="32"/>
    </w:rPr>
  </w:style>
  <w:style w:type="paragraph" w:customStyle="1" w:styleId="AllowPageBreak">
    <w:name w:val="AllowPageBreak"/>
    <w:rsid w:val="00467A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7A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A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A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A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A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A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A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AA5"/>
    <w:rPr>
      <w:rFonts w:ascii="Courier New" w:eastAsia="Times New Roman" w:hAnsi="Courier New" w:cs="Times New Roman"/>
      <w:i/>
      <w:szCs w:val="20"/>
      <w:lang w:eastAsia="en-US"/>
    </w:rPr>
  </w:style>
  <w:style w:type="paragraph" w:customStyle="1" w:styleId="HeadingBase">
    <w:name w:val="Heading Base"/>
    <w:rsid w:val="00467A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AA5"/>
    <w:pPr>
      <w:tabs>
        <w:tab w:val="right" w:leader="dot" w:pos="9072"/>
      </w:tabs>
      <w:ind w:left="567"/>
    </w:pPr>
    <w:rPr>
      <w:szCs w:val="22"/>
    </w:rPr>
  </w:style>
  <w:style w:type="paragraph" w:customStyle="1" w:styleId="TOCBase">
    <w:name w:val="TOC Base"/>
    <w:rsid w:val="00467A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AA5"/>
    <w:pPr>
      <w:tabs>
        <w:tab w:val="right" w:leader="dot" w:pos="9072"/>
      </w:tabs>
      <w:spacing w:before="40" w:after="40"/>
      <w:ind w:left="284"/>
    </w:pPr>
    <w:rPr>
      <w:rFonts w:ascii="Times New Roman" w:hAnsi="Times New Roman"/>
    </w:rPr>
  </w:style>
  <w:style w:type="paragraph" w:styleId="TOC1">
    <w:name w:val="toc 1"/>
    <w:basedOn w:val="TOCBase"/>
    <w:next w:val="Normal"/>
    <w:rsid w:val="00467A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A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AA5"/>
    <w:rPr>
      <w:rFonts w:ascii="Times New Roman" w:eastAsia="Times New Roman" w:hAnsi="Times New Roman" w:cs="Times New Roman"/>
      <w:sz w:val="16"/>
      <w:lang w:eastAsia="en-US"/>
    </w:rPr>
  </w:style>
  <w:style w:type="paragraph" w:styleId="Title">
    <w:name w:val="Title"/>
    <w:basedOn w:val="HeadingBase"/>
    <w:link w:val="TitleChar"/>
    <w:qFormat/>
    <w:rsid w:val="00467AA5"/>
    <w:pPr>
      <w:spacing w:before="5040"/>
      <w:jc w:val="center"/>
    </w:pPr>
    <w:rPr>
      <w:sz w:val="48"/>
      <w:szCs w:val="72"/>
      <w:lang w:val="en-US"/>
    </w:rPr>
  </w:style>
  <w:style w:type="character" w:customStyle="1" w:styleId="TitleChar">
    <w:name w:val="Title Char"/>
    <w:basedOn w:val="DefaultParagraphFont"/>
    <w:link w:val="Title"/>
    <w:rsid w:val="00467A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AA5"/>
    <w:pPr>
      <w:tabs>
        <w:tab w:val="left" w:pos="3600"/>
        <w:tab w:val="left" w:pos="3958"/>
      </w:tabs>
    </w:pPr>
  </w:style>
  <w:style w:type="paragraph" w:styleId="List">
    <w:name w:val="List"/>
    <w:basedOn w:val="BodyText"/>
    <w:next w:val="BodyText"/>
    <w:rsid w:val="00467AA5"/>
    <w:pPr>
      <w:tabs>
        <w:tab w:val="left" w:pos="340"/>
      </w:tabs>
      <w:spacing w:before="60" w:after="60"/>
      <w:ind w:left="340" w:hanging="340"/>
    </w:pPr>
  </w:style>
  <w:style w:type="paragraph" w:customStyle="1" w:styleId="Note">
    <w:name w:val="Note"/>
    <w:basedOn w:val="BodyText"/>
    <w:rsid w:val="00467A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AA5"/>
    <w:pPr>
      <w:framePr w:wrap="auto" w:hAnchor="text" w:y="6049"/>
    </w:pPr>
    <w:rPr>
      <w:color w:val="000000"/>
      <w:sz w:val="40"/>
    </w:rPr>
  </w:style>
  <w:style w:type="paragraph" w:customStyle="1" w:styleId="TOCTitle">
    <w:name w:val="TOCTitle"/>
    <w:basedOn w:val="Heading1"/>
    <w:rsid w:val="00467AA5"/>
    <w:pPr>
      <w:spacing w:after="240"/>
      <w:jc w:val="center"/>
      <w:outlineLvl w:val="9"/>
    </w:pPr>
    <w:rPr>
      <w:caps/>
    </w:rPr>
  </w:style>
  <w:style w:type="paragraph" w:customStyle="1" w:styleId="Version">
    <w:name w:val="Version"/>
    <w:rsid w:val="00467A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7AA5"/>
    <w:pPr>
      <w:keepNext w:val="0"/>
      <w:tabs>
        <w:tab w:val="right" w:pos="4176"/>
      </w:tabs>
      <w:ind w:left="198" w:hanging="198"/>
    </w:pPr>
    <w:rPr>
      <w:rFonts w:ascii="Garamond" w:hAnsi="Garamond"/>
    </w:rPr>
  </w:style>
  <w:style w:type="paragraph" w:styleId="IndexHeading">
    <w:name w:val="index heading"/>
    <w:basedOn w:val="Normal"/>
    <w:next w:val="Index1"/>
    <w:semiHidden/>
    <w:rsid w:val="00467AA5"/>
    <w:pPr>
      <w:spacing w:before="120" w:after="120"/>
    </w:pPr>
    <w:rPr>
      <w:rFonts w:ascii="Arial" w:hAnsi="Arial"/>
      <w:b/>
      <w:color w:val="918585"/>
      <w:sz w:val="24"/>
    </w:rPr>
  </w:style>
  <w:style w:type="paragraph" w:styleId="Header">
    <w:name w:val="header"/>
    <w:basedOn w:val="Normal"/>
    <w:link w:val="HeaderChar"/>
    <w:rsid w:val="00467A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AA5"/>
    <w:rPr>
      <w:rFonts w:ascii="Times New Roman" w:eastAsia="Times New Roman" w:hAnsi="Times New Roman" w:cs="Times New Roman"/>
      <w:sz w:val="16"/>
      <w:szCs w:val="20"/>
      <w:lang w:val="en-GB" w:eastAsia="en-US"/>
    </w:rPr>
  </w:style>
  <w:style w:type="paragraph" w:customStyle="1" w:styleId="Chapter">
    <w:name w:val="Chapter"/>
    <w:basedOn w:val="Normal"/>
    <w:rsid w:val="00467AA5"/>
    <w:pPr>
      <w:spacing w:before="240"/>
    </w:pPr>
    <w:rPr>
      <w:rFonts w:ascii="Times New Roman" w:hAnsi="Times New Roman"/>
      <w:smallCaps/>
      <w:spacing w:val="80"/>
      <w:sz w:val="28"/>
    </w:rPr>
  </w:style>
  <w:style w:type="paragraph" w:customStyle="1" w:styleId="InChapter">
    <w:name w:val="InChapter"/>
    <w:basedOn w:val="Heading3"/>
    <w:rsid w:val="00467AA5"/>
    <w:pPr>
      <w:spacing w:after="240"/>
      <w:outlineLvl w:val="9"/>
    </w:pPr>
    <w:rPr>
      <w:noProof/>
    </w:rPr>
  </w:style>
  <w:style w:type="paragraph" w:styleId="Index2">
    <w:name w:val="index 2"/>
    <w:basedOn w:val="Normal"/>
    <w:next w:val="Normal"/>
    <w:semiHidden/>
    <w:rsid w:val="00467AA5"/>
    <w:pPr>
      <w:tabs>
        <w:tab w:val="right" w:pos="4176"/>
      </w:tabs>
      <w:ind w:left="568" w:hanging="284"/>
    </w:pPr>
    <w:rPr>
      <w:rFonts w:ascii="Garamond" w:hAnsi="Garamond"/>
    </w:rPr>
  </w:style>
  <w:style w:type="paragraph" w:customStyle="1" w:styleId="Byline">
    <w:name w:val="Byline"/>
    <w:rsid w:val="00467A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AA5"/>
    <w:pPr>
      <w:tabs>
        <w:tab w:val="clear" w:pos="3600"/>
        <w:tab w:val="clear" w:pos="3958"/>
      </w:tabs>
      <w:jc w:val="right"/>
    </w:pPr>
  </w:style>
  <w:style w:type="character" w:styleId="Emphasis">
    <w:name w:val="Emphasis"/>
    <w:basedOn w:val="DefaultParagraphFont"/>
    <w:qFormat/>
    <w:rsid w:val="00467AA5"/>
    <w:rPr>
      <w:i/>
    </w:rPr>
  </w:style>
  <w:style w:type="paragraph" w:styleId="Caption">
    <w:name w:val="caption"/>
    <w:basedOn w:val="BodyText"/>
    <w:next w:val="Normal"/>
    <w:qFormat/>
    <w:rsid w:val="00467AA5"/>
    <w:pPr>
      <w:framePr w:w="2268" w:hSpace="181" w:vSpace="181" w:wrap="around" w:vAnchor="text" w:hAnchor="page" w:x="1135" w:y="285" w:anchorLock="1"/>
    </w:pPr>
    <w:rPr>
      <w:i/>
    </w:rPr>
  </w:style>
  <w:style w:type="paragraph" w:customStyle="1" w:styleId="MiniTOCTitle">
    <w:name w:val="MiniTOCTitle"/>
    <w:basedOn w:val="Heading4"/>
    <w:rsid w:val="00467AA5"/>
    <w:pPr>
      <w:spacing w:before="240"/>
      <w:outlineLvl w:val="9"/>
    </w:pPr>
    <w:rPr>
      <w:noProof/>
      <w:sz w:val="24"/>
    </w:rPr>
  </w:style>
  <w:style w:type="paragraph" w:customStyle="1" w:styleId="MiniTOCItem">
    <w:name w:val="MiniTOCItem"/>
    <w:basedOn w:val="ListBullet"/>
    <w:rsid w:val="00467AA5"/>
    <w:pPr>
      <w:numPr>
        <w:numId w:val="0"/>
      </w:numPr>
      <w:tabs>
        <w:tab w:val="right" w:leader="dot" w:pos="6521"/>
      </w:tabs>
      <w:spacing w:before="0" w:after="0"/>
    </w:pPr>
  </w:style>
  <w:style w:type="paragraph" w:customStyle="1" w:styleId="TOFTitle">
    <w:name w:val="TOFTitle"/>
    <w:basedOn w:val="TOCTitle"/>
    <w:rsid w:val="00467AA5"/>
  </w:style>
  <w:style w:type="paragraph" w:styleId="TableofFigures">
    <w:name w:val="table of figures"/>
    <w:basedOn w:val="Normal"/>
    <w:next w:val="Normal"/>
    <w:semiHidden/>
    <w:rsid w:val="00467AA5"/>
    <w:pPr>
      <w:tabs>
        <w:tab w:val="right" w:leader="dot" w:pos="9072"/>
      </w:tabs>
      <w:ind w:left="970" w:hanging="403"/>
    </w:pPr>
    <w:rPr>
      <w:rFonts w:ascii="Times New Roman" w:hAnsi="Times New Roman"/>
      <w:b/>
    </w:rPr>
  </w:style>
  <w:style w:type="paragraph" w:styleId="ListNumber">
    <w:name w:val="List Number"/>
    <w:basedOn w:val="List"/>
    <w:rsid w:val="00467AA5"/>
    <w:pPr>
      <w:numPr>
        <w:numId w:val="11"/>
      </w:numPr>
    </w:pPr>
  </w:style>
  <w:style w:type="character" w:customStyle="1" w:styleId="WingdingSymbols">
    <w:name w:val="Wingding Symbols"/>
    <w:rsid w:val="00467AA5"/>
    <w:rPr>
      <w:rFonts w:ascii="Wingdings" w:hAnsi="Wingdings"/>
    </w:rPr>
  </w:style>
  <w:style w:type="paragraph" w:customStyle="1" w:styleId="TableHeading">
    <w:name w:val="Table Heading"/>
    <w:basedOn w:val="HeadingBase"/>
    <w:rsid w:val="00467AA5"/>
    <w:pPr>
      <w:keepLines/>
      <w:pBdr>
        <w:bottom w:val="single" w:sz="6" w:space="1" w:color="918585"/>
      </w:pBdr>
      <w:spacing w:before="240"/>
    </w:pPr>
  </w:style>
  <w:style w:type="character" w:customStyle="1" w:styleId="HotSpot">
    <w:name w:val="HotSpot"/>
    <w:rsid w:val="00467AA5"/>
    <w:rPr>
      <w:color w:val="0033CC"/>
      <w:u w:val="none"/>
    </w:rPr>
  </w:style>
  <w:style w:type="paragraph" w:customStyle="1" w:styleId="BodyTextRight">
    <w:name w:val="Body Text Right"/>
    <w:basedOn w:val="BodyText"/>
    <w:rsid w:val="00467AA5"/>
    <w:pPr>
      <w:spacing w:before="0" w:after="0"/>
      <w:jc w:val="right"/>
    </w:pPr>
  </w:style>
  <w:style w:type="paragraph" w:styleId="Index3">
    <w:name w:val="index 3"/>
    <w:basedOn w:val="ListNumber2"/>
    <w:next w:val="Normal"/>
    <w:semiHidden/>
    <w:rsid w:val="00467AA5"/>
    <w:pPr>
      <w:numPr>
        <w:numId w:val="0"/>
      </w:numPr>
      <w:tabs>
        <w:tab w:val="right" w:leader="dot" w:pos="4176"/>
      </w:tabs>
    </w:pPr>
  </w:style>
  <w:style w:type="paragraph" w:styleId="ListNumber2">
    <w:name w:val="List Number 2"/>
    <w:basedOn w:val="List2"/>
    <w:rsid w:val="00467AA5"/>
    <w:pPr>
      <w:numPr>
        <w:numId w:val="10"/>
      </w:numPr>
      <w:tabs>
        <w:tab w:val="clear" w:pos="1060"/>
      </w:tabs>
    </w:pPr>
  </w:style>
  <w:style w:type="paragraph" w:customStyle="1" w:styleId="MarginNote">
    <w:name w:val="Margin Note"/>
    <w:basedOn w:val="BodyText"/>
    <w:rsid w:val="00467A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A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A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AA5"/>
    <w:rPr>
      <w:sz w:val="32"/>
    </w:rPr>
  </w:style>
  <w:style w:type="paragraph" w:customStyle="1" w:styleId="HeadingProcedure">
    <w:name w:val="Heading Procedure"/>
    <w:basedOn w:val="HeadingBase"/>
    <w:next w:val="Normal"/>
    <w:rsid w:val="00467AA5"/>
    <w:pPr>
      <w:tabs>
        <w:tab w:val="left" w:pos="0"/>
      </w:tabs>
      <w:spacing w:before="120" w:after="60"/>
    </w:pPr>
    <w:rPr>
      <w:i/>
      <w:color w:val="918585"/>
      <w:sz w:val="22"/>
    </w:rPr>
  </w:style>
  <w:style w:type="paragraph" w:customStyle="1" w:styleId="TableBodyText">
    <w:name w:val="Table Body Text"/>
    <w:basedOn w:val="BodyText"/>
    <w:rsid w:val="00467AA5"/>
    <w:pPr>
      <w:spacing w:before="60" w:after="60"/>
    </w:pPr>
  </w:style>
  <w:style w:type="paragraph" w:styleId="ListContinue">
    <w:name w:val="List Continue"/>
    <w:basedOn w:val="List"/>
    <w:rsid w:val="00467AA5"/>
    <w:pPr>
      <w:ind w:firstLine="0"/>
    </w:pPr>
  </w:style>
  <w:style w:type="paragraph" w:customStyle="1" w:styleId="ListNote">
    <w:name w:val="List Note"/>
    <w:basedOn w:val="List"/>
    <w:rsid w:val="00467AA5"/>
    <w:pPr>
      <w:pBdr>
        <w:top w:val="single" w:sz="6" w:space="2" w:color="918585"/>
        <w:bottom w:val="single" w:sz="6" w:space="2" w:color="918585"/>
      </w:pBdr>
      <w:tabs>
        <w:tab w:val="left" w:pos="1021"/>
      </w:tabs>
      <w:ind w:firstLine="0"/>
    </w:pPr>
  </w:style>
  <w:style w:type="paragraph" w:customStyle="1" w:styleId="Warning">
    <w:name w:val="Warning"/>
    <w:basedOn w:val="BodyText"/>
    <w:rsid w:val="00467AA5"/>
    <w:pPr>
      <w:shd w:val="clear" w:color="auto" w:fill="D9D9D9"/>
      <w:tabs>
        <w:tab w:val="left" w:pos="992"/>
      </w:tabs>
      <w:ind w:left="119" w:right="119"/>
    </w:pPr>
    <w:rPr>
      <w:sz w:val="20"/>
    </w:rPr>
  </w:style>
  <w:style w:type="paragraph" w:customStyle="1" w:styleId="MarginIcons">
    <w:name w:val="Margin Icons"/>
    <w:basedOn w:val="BodyText"/>
    <w:rsid w:val="00467A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AA5"/>
    <w:rPr>
      <w:rFonts w:ascii="Courier New" w:hAnsi="Courier New"/>
    </w:rPr>
  </w:style>
  <w:style w:type="paragraph" w:customStyle="1" w:styleId="NoteBullet">
    <w:name w:val="Note Bullet"/>
    <w:basedOn w:val="Note"/>
    <w:rsid w:val="00467AA5"/>
    <w:pPr>
      <w:tabs>
        <w:tab w:val="clear" w:pos="680"/>
      </w:tabs>
      <w:spacing w:before="60" w:after="60"/>
    </w:pPr>
  </w:style>
  <w:style w:type="paragraph" w:customStyle="1" w:styleId="SubHeading2">
    <w:name w:val="SubHeading2"/>
    <w:basedOn w:val="HeadingBase"/>
    <w:rsid w:val="00467AA5"/>
    <w:pPr>
      <w:spacing w:before="240" w:after="60"/>
    </w:pPr>
    <w:rPr>
      <w:sz w:val="20"/>
    </w:rPr>
  </w:style>
  <w:style w:type="paragraph" w:customStyle="1" w:styleId="SubHeading1">
    <w:name w:val="SubHeading1"/>
    <w:basedOn w:val="HeadingBase"/>
    <w:rsid w:val="00467AA5"/>
    <w:pPr>
      <w:spacing w:before="240" w:after="60"/>
    </w:pPr>
    <w:rPr>
      <w:color w:val="918585"/>
      <w:sz w:val="22"/>
    </w:rPr>
  </w:style>
  <w:style w:type="paragraph" w:customStyle="1" w:styleId="SideHeading">
    <w:name w:val="Side Heading"/>
    <w:basedOn w:val="HeadingBase"/>
    <w:rsid w:val="00467A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AA5"/>
    <w:pPr>
      <w:numPr>
        <w:numId w:val="12"/>
      </w:numPr>
    </w:pPr>
  </w:style>
  <w:style w:type="paragraph" w:styleId="PlainText">
    <w:name w:val="Plain Text"/>
    <w:basedOn w:val="Normal"/>
    <w:link w:val="PlainTextChar"/>
    <w:rsid w:val="00467AA5"/>
    <w:rPr>
      <w:sz w:val="20"/>
    </w:rPr>
  </w:style>
  <w:style w:type="character" w:customStyle="1" w:styleId="PlainTextChar">
    <w:name w:val="Plain Text Char"/>
    <w:basedOn w:val="DefaultParagraphFont"/>
    <w:link w:val="PlainText"/>
    <w:rsid w:val="00467AA5"/>
    <w:rPr>
      <w:rFonts w:ascii="Courier New" w:eastAsia="Times New Roman" w:hAnsi="Courier New" w:cs="Times New Roman"/>
      <w:sz w:val="20"/>
      <w:szCs w:val="20"/>
      <w:lang w:eastAsia="en-US"/>
    </w:rPr>
  </w:style>
  <w:style w:type="character" w:customStyle="1" w:styleId="MenuOption">
    <w:name w:val="Menu Option"/>
    <w:basedOn w:val="DefaultParagraphFont"/>
    <w:rsid w:val="00467AA5"/>
    <w:rPr>
      <w:b/>
      <w:smallCaps/>
    </w:rPr>
  </w:style>
  <w:style w:type="paragraph" w:customStyle="1" w:styleId="TableListNumber">
    <w:name w:val="Table List Number"/>
    <w:basedOn w:val="ListNumber"/>
    <w:rsid w:val="00467AA5"/>
    <w:pPr>
      <w:numPr>
        <w:numId w:val="0"/>
      </w:numPr>
    </w:pPr>
  </w:style>
  <w:style w:type="paragraph" w:styleId="TOC4">
    <w:name w:val="toc 4"/>
    <w:basedOn w:val="TOCBase"/>
    <w:next w:val="Normal"/>
    <w:semiHidden/>
    <w:rsid w:val="00467AA5"/>
    <w:pPr>
      <w:tabs>
        <w:tab w:val="right" w:leader="dot" w:pos="9071"/>
      </w:tabs>
      <w:ind w:left="1701"/>
    </w:pPr>
  </w:style>
  <w:style w:type="paragraph" w:customStyle="1" w:styleId="ListAlpha">
    <w:name w:val="List Alpha"/>
    <w:basedOn w:val="List"/>
    <w:rsid w:val="00467AA5"/>
    <w:pPr>
      <w:numPr>
        <w:numId w:val="9"/>
      </w:numPr>
    </w:pPr>
  </w:style>
  <w:style w:type="paragraph" w:customStyle="1" w:styleId="ListAlpha2">
    <w:name w:val="List Alpha 2"/>
    <w:basedOn w:val="List2"/>
    <w:rsid w:val="00467AA5"/>
    <w:pPr>
      <w:numPr>
        <w:numId w:val="8"/>
      </w:numPr>
    </w:pPr>
  </w:style>
  <w:style w:type="paragraph" w:styleId="List2">
    <w:name w:val="List 2"/>
    <w:basedOn w:val="BodyText"/>
    <w:rsid w:val="00467AA5"/>
    <w:pPr>
      <w:tabs>
        <w:tab w:val="left" w:pos="680"/>
      </w:tabs>
      <w:spacing w:before="60" w:after="60"/>
      <w:ind w:left="680" w:hanging="340"/>
    </w:pPr>
  </w:style>
  <w:style w:type="paragraph" w:styleId="List3">
    <w:name w:val="List 3"/>
    <w:basedOn w:val="BodyText"/>
    <w:rsid w:val="00467AA5"/>
    <w:pPr>
      <w:tabs>
        <w:tab w:val="left" w:pos="1021"/>
      </w:tabs>
      <w:spacing w:before="60" w:after="60"/>
      <w:ind w:left="1020" w:hanging="340"/>
    </w:pPr>
  </w:style>
  <w:style w:type="paragraph" w:styleId="List4">
    <w:name w:val="List 4"/>
    <w:basedOn w:val="BodyText"/>
    <w:rsid w:val="00467AA5"/>
    <w:pPr>
      <w:tabs>
        <w:tab w:val="left" w:pos="1361"/>
      </w:tabs>
      <w:spacing w:before="60" w:after="60"/>
      <w:ind w:left="1361" w:hanging="340"/>
    </w:pPr>
  </w:style>
  <w:style w:type="paragraph" w:styleId="List5">
    <w:name w:val="List 5"/>
    <w:basedOn w:val="BodyText"/>
    <w:rsid w:val="00467AA5"/>
    <w:pPr>
      <w:tabs>
        <w:tab w:val="left" w:pos="1701"/>
      </w:tabs>
      <w:spacing w:before="60" w:after="60"/>
      <w:ind w:left="1701" w:hanging="340"/>
    </w:pPr>
  </w:style>
  <w:style w:type="paragraph" w:styleId="ListBullet3">
    <w:name w:val="List Bullet 3"/>
    <w:basedOn w:val="List3"/>
    <w:rsid w:val="00467AA5"/>
    <w:pPr>
      <w:numPr>
        <w:numId w:val="15"/>
      </w:numPr>
      <w:tabs>
        <w:tab w:val="clear" w:pos="1021"/>
      </w:tabs>
      <w:ind w:left="1037" w:hanging="357"/>
    </w:pPr>
  </w:style>
  <w:style w:type="paragraph" w:styleId="ListBullet4">
    <w:name w:val="List Bullet 4"/>
    <w:basedOn w:val="List4"/>
    <w:rsid w:val="00467AA5"/>
    <w:pPr>
      <w:numPr>
        <w:numId w:val="3"/>
      </w:numPr>
    </w:pPr>
  </w:style>
  <w:style w:type="paragraph" w:styleId="ListBullet5">
    <w:name w:val="List Bullet 5"/>
    <w:basedOn w:val="List5"/>
    <w:rsid w:val="00467AA5"/>
    <w:pPr>
      <w:numPr>
        <w:numId w:val="4"/>
      </w:numPr>
    </w:pPr>
  </w:style>
  <w:style w:type="paragraph" w:styleId="ListContinue2">
    <w:name w:val="List Continue 2"/>
    <w:basedOn w:val="List2"/>
    <w:rsid w:val="00467AA5"/>
    <w:pPr>
      <w:ind w:firstLine="0"/>
    </w:pPr>
  </w:style>
  <w:style w:type="paragraph" w:styleId="ListContinue3">
    <w:name w:val="List Continue 3"/>
    <w:basedOn w:val="List3"/>
    <w:rsid w:val="00467AA5"/>
    <w:pPr>
      <w:ind w:left="1021" w:firstLine="0"/>
    </w:pPr>
  </w:style>
  <w:style w:type="paragraph" w:styleId="ListContinue4">
    <w:name w:val="List Continue 4"/>
    <w:basedOn w:val="List4"/>
    <w:rsid w:val="00467AA5"/>
    <w:pPr>
      <w:ind w:firstLine="0"/>
    </w:pPr>
  </w:style>
  <w:style w:type="paragraph" w:styleId="ListContinue5">
    <w:name w:val="List Continue 5"/>
    <w:basedOn w:val="List5"/>
    <w:rsid w:val="00467AA5"/>
    <w:pPr>
      <w:ind w:firstLine="0"/>
    </w:pPr>
  </w:style>
  <w:style w:type="paragraph" w:styleId="ListNumber3">
    <w:name w:val="List Number 3"/>
    <w:basedOn w:val="List3"/>
    <w:rsid w:val="00467AA5"/>
    <w:pPr>
      <w:numPr>
        <w:numId w:val="5"/>
      </w:numPr>
    </w:pPr>
  </w:style>
  <w:style w:type="paragraph" w:styleId="ListNumber4">
    <w:name w:val="List Number 4"/>
    <w:basedOn w:val="List4"/>
    <w:rsid w:val="00467AA5"/>
    <w:pPr>
      <w:numPr>
        <w:numId w:val="6"/>
      </w:numPr>
    </w:pPr>
  </w:style>
  <w:style w:type="paragraph" w:styleId="ListNumber5">
    <w:name w:val="List Number 5"/>
    <w:basedOn w:val="List5"/>
    <w:rsid w:val="00467AA5"/>
    <w:pPr>
      <w:numPr>
        <w:numId w:val="7"/>
      </w:numPr>
    </w:pPr>
  </w:style>
  <w:style w:type="paragraph" w:styleId="BlockText">
    <w:name w:val="Block Text"/>
    <w:basedOn w:val="Normal"/>
    <w:rsid w:val="00467AA5"/>
    <w:pPr>
      <w:spacing w:after="120"/>
      <w:ind w:left="1440" w:right="1440"/>
    </w:pPr>
  </w:style>
  <w:style w:type="character" w:customStyle="1" w:styleId="Subscript">
    <w:name w:val="Subscript"/>
    <w:basedOn w:val="DefaultParagraphFont"/>
    <w:rsid w:val="00467AA5"/>
    <w:rPr>
      <w:sz w:val="16"/>
      <w:vertAlign w:val="subscript"/>
    </w:rPr>
  </w:style>
  <w:style w:type="character" w:customStyle="1" w:styleId="Superscript">
    <w:name w:val="Superscript"/>
    <w:basedOn w:val="DefaultParagraphFont"/>
    <w:rsid w:val="00467AA5"/>
    <w:rPr>
      <w:sz w:val="16"/>
      <w:vertAlign w:val="superscript"/>
    </w:rPr>
  </w:style>
  <w:style w:type="character" w:customStyle="1" w:styleId="Symbols">
    <w:name w:val="Symbols"/>
    <w:basedOn w:val="DefaultParagraphFont"/>
    <w:rsid w:val="00467AA5"/>
    <w:rPr>
      <w:rFonts w:ascii="Symbol" w:hAnsi="Symbol"/>
    </w:rPr>
  </w:style>
  <w:style w:type="character" w:customStyle="1" w:styleId="MenuOptions">
    <w:name w:val="Menu Options"/>
    <w:basedOn w:val="DefaultParagraphFont"/>
    <w:rsid w:val="00467AA5"/>
    <w:rPr>
      <w:rFonts w:ascii="Arial Narrow" w:hAnsi="Arial Narrow"/>
      <w:smallCaps/>
    </w:rPr>
  </w:style>
  <w:style w:type="character" w:customStyle="1" w:styleId="Buttons">
    <w:name w:val="Buttons"/>
    <w:basedOn w:val="DefaultParagraphFont"/>
    <w:rsid w:val="00467AA5"/>
    <w:rPr>
      <w:b/>
    </w:rPr>
  </w:style>
  <w:style w:type="character" w:customStyle="1" w:styleId="Underlined">
    <w:name w:val="Underlined"/>
    <w:basedOn w:val="DefaultParagraphFont"/>
    <w:rsid w:val="00467AA5"/>
    <w:rPr>
      <w:u w:val="single"/>
    </w:rPr>
  </w:style>
  <w:style w:type="paragraph" w:customStyle="1" w:styleId="TableBodyTextRight">
    <w:name w:val="Table Body Text Right"/>
    <w:basedOn w:val="TableBodyText"/>
    <w:rsid w:val="00467AA5"/>
    <w:pPr>
      <w:widowControl w:val="0"/>
      <w:autoSpaceDE w:val="0"/>
      <w:autoSpaceDN w:val="0"/>
      <w:adjustRightInd w:val="0"/>
      <w:jc w:val="right"/>
    </w:pPr>
    <w:rPr>
      <w:rFonts w:cs="Arial"/>
      <w:szCs w:val="18"/>
    </w:rPr>
  </w:style>
  <w:style w:type="paragraph" w:customStyle="1" w:styleId="CopyrightText">
    <w:name w:val="Copyright Text"/>
    <w:basedOn w:val="BodyText"/>
    <w:rsid w:val="00467AA5"/>
    <w:rPr>
      <w:sz w:val="18"/>
    </w:rPr>
  </w:style>
  <w:style w:type="paragraph" w:customStyle="1" w:styleId="BodySmallRight">
    <w:name w:val="Body Small Right"/>
    <w:basedOn w:val="BodyTextRight"/>
    <w:rsid w:val="00467AA5"/>
    <w:rPr>
      <w:sz w:val="18"/>
      <w:szCs w:val="18"/>
    </w:rPr>
  </w:style>
  <w:style w:type="paragraph" w:customStyle="1" w:styleId="MarginEdition">
    <w:name w:val="Margin Edition"/>
    <w:basedOn w:val="MarginNote"/>
    <w:rsid w:val="00467AA5"/>
    <w:pPr>
      <w:spacing w:before="0" w:after="0"/>
    </w:pPr>
    <w:rPr>
      <w:rFonts w:ascii="Times New Roman" w:hAnsi="Times New Roman"/>
      <w:color w:val="999999"/>
    </w:rPr>
  </w:style>
  <w:style w:type="paragraph" w:customStyle="1" w:styleId="Spacer">
    <w:name w:val="Spacer"/>
    <w:basedOn w:val="Normal"/>
    <w:rsid w:val="00467AA5"/>
    <w:rPr>
      <w:sz w:val="2"/>
      <w:szCs w:val="2"/>
    </w:rPr>
  </w:style>
  <w:style w:type="character" w:customStyle="1" w:styleId="Small">
    <w:name w:val="Small"/>
    <w:basedOn w:val="DefaultParagraphFont"/>
    <w:rsid w:val="00467AA5"/>
    <w:rPr>
      <w:sz w:val="16"/>
    </w:rPr>
  </w:style>
  <w:style w:type="paragraph" w:customStyle="1" w:styleId="WideTable">
    <w:name w:val="Wide Table"/>
    <w:basedOn w:val="Normal"/>
    <w:rsid w:val="00467AA5"/>
    <w:pPr>
      <w:ind w:left="-1418"/>
    </w:pPr>
    <w:rPr>
      <w:sz w:val="2"/>
      <w:szCs w:val="2"/>
    </w:rPr>
  </w:style>
  <w:style w:type="character" w:styleId="PageNumber">
    <w:name w:val="page number"/>
    <w:basedOn w:val="DefaultParagraphFont"/>
    <w:rsid w:val="00467AA5"/>
  </w:style>
  <w:style w:type="paragraph" w:styleId="Quote">
    <w:name w:val="Quote"/>
    <w:basedOn w:val="Heading1"/>
    <w:link w:val="QuoteChar"/>
    <w:qFormat/>
    <w:rsid w:val="00467AA5"/>
    <w:rPr>
      <w:b w:val="0"/>
      <w:sz w:val="72"/>
      <w:szCs w:val="72"/>
      <w:lang w:val="en-NZ"/>
    </w:rPr>
  </w:style>
  <w:style w:type="character" w:customStyle="1" w:styleId="QuoteChar">
    <w:name w:val="Quote Char"/>
    <w:basedOn w:val="DefaultParagraphFont"/>
    <w:link w:val="Quote"/>
    <w:rsid w:val="00467A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AA5"/>
    <w:pPr>
      <w:pageBreakBefore/>
    </w:pPr>
  </w:style>
  <w:style w:type="paragraph" w:customStyle="1" w:styleId="Border">
    <w:name w:val="Border"/>
    <w:basedOn w:val="Normal"/>
    <w:qFormat/>
    <w:rsid w:val="00467A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AA5"/>
    <w:rPr>
      <w:b/>
      <w:bCs/>
      <w:i/>
      <w:iCs/>
      <w:color w:val="auto"/>
    </w:rPr>
  </w:style>
  <w:style w:type="paragraph" w:styleId="IntenseQuote">
    <w:name w:val="Intense Quote"/>
    <w:basedOn w:val="Normal"/>
    <w:next w:val="Normal"/>
    <w:link w:val="IntenseQuoteChar"/>
    <w:uiPriority w:val="30"/>
    <w:qFormat/>
    <w:rsid w:val="00467A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A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AA5"/>
    <w:rPr>
      <w:smallCaps/>
      <w:color w:val="auto"/>
      <w:u w:val="single"/>
    </w:rPr>
  </w:style>
  <w:style w:type="character" w:styleId="IntenseReference">
    <w:name w:val="Intense Reference"/>
    <w:basedOn w:val="DefaultParagraphFont"/>
    <w:uiPriority w:val="32"/>
    <w:qFormat/>
    <w:rsid w:val="00467AA5"/>
    <w:rPr>
      <w:b/>
      <w:bCs/>
      <w:smallCaps/>
      <w:color w:val="auto"/>
      <w:spacing w:val="5"/>
      <w:u w:val="single"/>
    </w:rPr>
  </w:style>
  <w:style w:type="paragraph" w:customStyle="1" w:styleId="2ColumnHeading">
    <w:name w:val="2Column Heading"/>
    <w:basedOn w:val="BodyText"/>
    <w:qFormat/>
    <w:rsid w:val="00467AA5"/>
    <w:pPr>
      <w:spacing w:after="60"/>
      <w:ind w:left="-2268"/>
    </w:pPr>
    <w:rPr>
      <w:b/>
    </w:rPr>
  </w:style>
  <w:style w:type="paragraph" w:customStyle="1" w:styleId="Heading1TOC">
    <w:name w:val="Heading1 TOC"/>
    <w:basedOn w:val="Normal"/>
    <w:qFormat/>
    <w:rsid w:val="00467AA5"/>
    <w:pPr>
      <w:spacing w:before="240" w:after="120"/>
    </w:pPr>
    <w:rPr>
      <w:rFonts w:ascii="Times New Roman" w:hAnsi="Times New Roman"/>
      <w:b/>
      <w:sz w:val="32"/>
    </w:rPr>
  </w:style>
  <w:style w:type="paragraph" w:customStyle="1" w:styleId="Heading2TOC">
    <w:name w:val="Heading2 TOC"/>
    <w:basedOn w:val="Normal"/>
    <w:qFormat/>
    <w:rsid w:val="00467AA5"/>
    <w:pPr>
      <w:spacing w:before="240" w:after="60"/>
    </w:pPr>
    <w:rPr>
      <w:rFonts w:ascii="Times New Roman" w:hAnsi="Times New Roman"/>
      <w:b/>
      <w:sz w:val="28"/>
    </w:rPr>
  </w:style>
  <w:style w:type="character" w:customStyle="1" w:styleId="Underline">
    <w:name w:val="Underline"/>
    <w:basedOn w:val="DefaultParagraphFont"/>
    <w:qFormat/>
    <w:rsid w:val="00467AA5"/>
    <w:rPr>
      <w:u w:val="single"/>
    </w:rPr>
  </w:style>
  <w:style w:type="character" w:customStyle="1" w:styleId="BoldandItalics">
    <w:name w:val="Bold and Italics"/>
    <w:qFormat/>
    <w:rsid w:val="00467AA5"/>
    <w:rPr>
      <w:b/>
      <w:i/>
      <w:u w:val="none"/>
    </w:rPr>
  </w:style>
  <w:style w:type="paragraph" w:styleId="BalloonText">
    <w:name w:val="Balloon Text"/>
    <w:basedOn w:val="Normal"/>
    <w:link w:val="BalloonTextChar"/>
    <w:rsid w:val="00467AA5"/>
    <w:rPr>
      <w:rFonts w:ascii="Tahoma" w:hAnsi="Tahoma" w:cs="Tahoma"/>
      <w:sz w:val="16"/>
      <w:szCs w:val="16"/>
    </w:rPr>
  </w:style>
  <w:style w:type="character" w:customStyle="1" w:styleId="BalloonTextChar">
    <w:name w:val="Balloon Text Char"/>
    <w:basedOn w:val="DefaultParagraphFont"/>
    <w:link w:val="BalloonText"/>
    <w:rsid w:val="00467A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A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7A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AA5"/>
    <w:rPr>
      <w:b/>
      <w:color w:val="660033"/>
      <w:spacing w:val="0"/>
    </w:rPr>
  </w:style>
  <w:style w:type="paragraph" w:customStyle="1" w:styleId="Nameditemlist">
    <w:name w:val="Named item list"/>
    <w:basedOn w:val="BodyText"/>
    <w:qFormat/>
    <w:rsid w:val="00467A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2290</Words>
  <Characters>14286</Characters>
  <Application>Microsoft Office Word</Application>
  <DocSecurity>0</DocSecurity>
  <Lines>573</Lines>
  <Paragraphs>248</Paragraphs>
  <ScaleCrop>false</ScaleCrop>
  <Company>Author-it Software Corporation Ltd.</Company>
  <LinksUpToDate>false</LinksUpToDate>
  <CharactersWithSpaces>16420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UEENEEG145A Develop engineering solutions for induction machine and control problems</dc:title>
  <dc:subject>Approved</dc:subject>
  <dc:creator>E-OZ Training Standards</dc:creator>
  <cp:keywords>Release 2</cp:keywords>
  <dc:description>Review Date: 12 April 2008</dc:description>
  <cp:lastModifiedBy>TPCMS</cp:lastModifiedBy>
  <cp:revision>3</cp:revision>
  <dcterms:created xsi:type="dcterms:W3CDTF">2013-08-14T01:05:00Z</dcterms:created>
  <dcterms:modified xsi:type="dcterms:W3CDTF">2013-08-14T01:05:00Z</dcterms:modified>
</cp:coreProperties>
</file>