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0DF" w:rsidP="00EC70DF">
      <w:pPr>
        <w:pStyle w:val="Title"/>
      </w:pPr>
      <w:r>
        <w:fldChar w:fldCharType="begin"/>
      </w:r>
      <w:r>
        <w:instrText xml:space="preserve"> TITLE   \* MERGEFORMAT </w:instrText>
      </w:r>
      <w:r>
        <w:fldChar w:fldCharType="separate"/>
      </w:r>
      <w:r>
        <w:t>UEENEEG132A Carry out low voltage electrical field testing and report findings</w:t>
      </w:r>
      <w:r>
        <w:fldChar w:fldCharType="end"/>
      </w:r>
    </w:p>
    <w:p w:rsidR="00EC70DF" w:rsidP="00EC70DF">
      <w:pPr>
        <w:pStyle w:val="Version"/>
        <w:sectPr w:rsidSect="000D4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4D58" w:rsidP="000D4D58">
      <w:pPr>
        <w:pStyle w:val="SuperHeading"/>
      </w:pPr>
      <w:r w:rsidRPr="000D4D58">
        <w:t>UEENEEG132A Carry out low voltage electrical field testing and report findings</w:t>
      </w:r>
    </w:p>
    <w:p w:rsidR="00000000" w:rsidRPr="000D4D58" w:rsidP="000D4D58">
      <w:pPr>
        <w:pStyle w:val="Heading1"/>
      </w:pPr>
      <w:bookmarkStart w:id="1" w:name="O_585581"/>
      <w:bookmarkEnd w:id="1"/>
      <w:r w:rsidRPr="000D4D58">
        <w:t>Modification History</w:t>
      </w:r>
    </w:p>
    <w:p w:rsidR="00000000" w:rsidRPr="000D4D58" w:rsidP="000D4D58">
      <w:pPr>
        <w:pStyle w:val="BodyText"/>
      </w:pPr>
      <w:r w:rsidRPr="000D4D58">
        <w:t>Not applicable.</w:t>
      </w:r>
    </w:p>
    <w:p w:rsidR="00000000" w:rsidRPr="000D4D58" w:rsidP="000D4D58">
      <w:pPr>
        <w:pStyle w:val="AllowPageBreak"/>
      </w:pPr>
    </w:p>
    <w:p w:rsidR="00000000" w:rsidRPr="000D4D58" w:rsidP="000D4D58">
      <w:pPr>
        <w:pStyle w:val="Heading1"/>
      </w:pPr>
      <w:bookmarkStart w:id="2" w:name="O_585580"/>
      <w:bookmarkEnd w:id="2"/>
      <w:r w:rsidRPr="000D4D58">
        <w:t>Unit Descriptor</w:t>
      </w:r>
    </w:p>
    <w:tbl>
      <w:tblPr>
        <w:tblW w:w="0" w:type="auto"/>
        <w:tblLayout w:type="fixed"/>
        <w:tblCellMar>
          <w:left w:w="62" w:type="dxa"/>
          <w:right w:w="62" w:type="dxa"/>
        </w:tblCellMar>
        <w:tblLook w:val="0000"/>
      </w:tblPr>
      <w:tblGrid>
        <w:gridCol w:w="2700"/>
        <w:gridCol w:w="5760"/>
      </w:tblGrid>
      <w:tr w:rsidTr="00EC70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1)</w:t>
            </w:r>
            <w:r w:rsidRPr="000D4D58">
              <w:t xml:space="preserve"> </w:t>
            </w:r>
            <w:r w:rsidRPr="000D4D58">
              <w:rPr>
                <w:rStyle w:val="SpecialBold"/>
              </w:rPr>
              <w:t>Scope:</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4D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1.1) Descriptor</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This unit covers field testing of electrical systems, circuits and apparatus to determine the cause of faults, malfunctions or compliance. It encompasses working safely and to standards, applying knowledge of electrical measurement and testing, following a</w:t>
            </w:r>
            <w:r w:rsidRPr="000D4D58">
              <w:t>ppropriate test procedures, documenting, evaluating and reporting test results.</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3" w:name="O_585579"/>
      <w:bookmarkEnd w:id="3"/>
      <w:r w:rsidRPr="000D4D58">
        <w:t>Application of the Unit</w:t>
      </w:r>
    </w:p>
    <w:tbl>
      <w:tblPr>
        <w:tblW w:w="0" w:type="auto"/>
        <w:tblLayout w:type="fixed"/>
        <w:tblCellMar>
          <w:left w:w="62" w:type="dxa"/>
          <w:right w:w="62" w:type="dxa"/>
        </w:tblCellMar>
        <w:tblLook w:val="0000"/>
      </w:tblPr>
      <w:tblGrid>
        <w:gridCol w:w="2672"/>
        <w:gridCol w:w="5699"/>
      </w:tblGrid>
      <w:tr w:rsidTr="00EC70D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2)</w:t>
            </w:r>
          </w:p>
        </w:tc>
      </w:tr>
      <w:tr w:rsidTr="00EC70D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This unit is intended for competency development e</w:t>
            </w:r>
            <w:r w:rsidRPr="000D4D58">
              <w:t>ntry-level employment based programs incorporated in approved contracts of training. It applies to any formal recognition for this standard at the aligned AQF 5 level or higher.</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4" w:name="O_585578"/>
      <w:bookmarkEnd w:id="4"/>
      <w:r w:rsidRPr="000D4D58">
        <w:t>Licensing/Regulatory Information</w:t>
      </w:r>
    </w:p>
    <w:tbl>
      <w:tblPr>
        <w:tblW w:w="0" w:type="auto"/>
        <w:tblLayout w:type="fixed"/>
        <w:tblCellMar>
          <w:left w:w="62" w:type="dxa"/>
          <w:right w:w="62" w:type="dxa"/>
        </w:tblCellMar>
        <w:tblLook w:val="0000"/>
      </w:tblPr>
      <w:tblGrid>
        <w:gridCol w:w="2700"/>
        <w:gridCol w:w="5760"/>
      </w:tblGrid>
      <w:tr w:rsidTr="00EC70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 xml:space="preserve">3) </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The skills and knowledge described in this unit may require a license to practice in the workplace subject to regulations for undertaking of electrical work. Practice in workplace and during training is also subject to regulations directly related to occup</w:t>
            </w:r>
            <w:r w:rsidRPr="000D4D58">
              <w:t xml:space="preserve">ational health and safety and where applicable contracts of training such as </w:t>
            </w:r>
            <w:r w:rsidRPr="000D4D58">
              <w:t>apprenticeships.</w:t>
            </w:r>
          </w:p>
          <w:p w:rsidR="00000000" w:rsidRPr="000D4D58" w:rsidP="000D4D58">
            <w:pPr>
              <w:pStyle w:val="BodyText"/>
            </w:pPr>
            <w:r w:rsidRPr="000D4D58">
              <w:t xml:space="preserve">Note: </w:t>
            </w:r>
          </w:p>
          <w:p w:rsidR="00000000" w:rsidRPr="000D4D58" w:rsidP="000D4D58">
            <w:pPr>
              <w:pStyle w:val="BodyText"/>
            </w:pPr>
            <w:r w:rsidRPr="000D4D58">
              <w:t>1. Compliance with permits may be required in various jurisdictions and typically relates to the operation of plant, machinery and equipment such as elevating work platforms, powder operated fixing tools, power operated tools, vehicles, road signage and tr</w:t>
            </w:r>
            <w:r w:rsidRPr="000D4D58">
              <w:t>affic control and lifting equipment. Permits may also be required for some work environments such as confined spaces, working aloft, near live electrical devices and site rehabilitation.</w:t>
            </w:r>
          </w:p>
          <w:p w:rsidR="00000000" w:rsidRPr="000D4D58" w:rsidP="000D4D58">
            <w:pPr>
              <w:pStyle w:val="BodyText"/>
            </w:pPr>
            <w:r w:rsidRPr="000D4D58">
              <w:t>2. Compliance may be required in various jurisdictions relating to cu</w:t>
            </w:r>
            <w:r w:rsidRPr="000D4D58">
              <w:t>rrency in First Aid, confined space, lifting and risk safety measures.</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5" w:name="O_585577"/>
      <w:bookmarkEnd w:id="5"/>
      <w:r w:rsidRPr="000D4D58">
        <w:t>Pre-Requisites</w:t>
      </w:r>
    </w:p>
    <w:tbl>
      <w:tblPr>
        <w:tblW w:w="0" w:type="auto"/>
        <w:tblLayout w:type="fixed"/>
        <w:tblCellMar>
          <w:left w:w="62" w:type="dxa"/>
          <w:right w:w="62" w:type="dxa"/>
        </w:tblCellMar>
        <w:tblLook w:val="0000"/>
      </w:tblPr>
      <w:tblGrid>
        <w:gridCol w:w="2700"/>
        <w:gridCol w:w="1710"/>
        <w:gridCol w:w="4050"/>
      </w:tblGrid>
      <w:tr w:rsidTr="00EC70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 xml:space="preserve">4) </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4.1)</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Granting competency in this unit shall be made only after competency in the following unit(s) has/have been confirmed.</w:t>
            </w:r>
          </w:p>
        </w:tc>
      </w:tr>
      <w:tr w:rsidTr="00EC70D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UEENEEE101A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Apply Occupational Health and Safety regulations, codes and practices in the workplace</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UEENEEE102A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Fabricate, dismantle,</w:t>
            </w:r>
            <w:r w:rsidRPr="000D4D58">
              <w:t xml:space="preserve"> assemble of utilities components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UEENEEE104A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Solve problems in d.c circuits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UEENEEE105A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Fix and secure electrotechnology equipment</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UEENEEE107A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Use drawings, diagrams, schedules, standards, codes and specifications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UEENEEE137A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Document and apply measures to control OHS risks associated with electrotechnology work</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UEENEEG006A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Solve problems in single and three phase low voltage machines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UEENEEG033A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Solve problems in single and three phase electrical apparatus and circuits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UEENEEG063A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Arrange circuits, control and protection for general electrical installations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UEENEEG101A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Solve problems in electromagnetic devices and related circuits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UEENEEG102A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Solve problems in low voltage a.c. circuit</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UEENEEG103A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Install low voltag</w:t>
            </w:r>
            <w:r w:rsidRPr="000D4D58">
              <w:t>e wiring and accessories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UEENEEG104A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Install appliances, switchgear and associated accessories for low voltage electrical installations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UEENEEG105A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Verify compliance and functionality of low voltage general electrical installations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UEENEEG106A</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Terminate cables, cords and accessories for low voltage circuits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UEENEEG107A</w:t>
            </w:r>
          </w:p>
        </w:tc>
        <w:tc>
          <w:tcPr>
            <w:tcW w:w="405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A Select wiring systems and cables for low voltage general electrical installations</w:t>
            </w:r>
          </w:p>
          <w:p w:rsidR="00000000" w:rsidP="000D4D58">
            <w:pPr>
              <w:pStyle w:val="BodyText"/>
              <w:rPr>
                <w:lang w:val="en-NZ"/>
              </w:rPr>
            </w:pP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 xml:space="preserve">UEENEEG108A </w:t>
            </w:r>
          </w:p>
        </w:tc>
        <w:tc>
          <w:tcPr>
            <w:tcW w:w="405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Trouble-shoot and repair faults in low voltage electrical apparatus and circu</w:t>
            </w:r>
            <w:r w:rsidRPr="000D4D58">
              <w:t>its</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UEENEEG109A</w:t>
            </w:r>
          </w:p>
        </w:tc>
        <w:tc>
          <w:tcPr>
            <w:tcW w:w="405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Develop and connect electrical control circuits</w:t>
            </w:r>
          </w:p>
        </w:tc>
      </w:tr>
    </w:tbl>
    <w:p w:rsidR="00000000" w:rsidRPr="000D4D58" w:rsidP="000D4D5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C70D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 xml:space="preserve">4.2) </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 xml:space="preserve">Participants are best equipped to achieve competency in this unit if they have reading, writing and numeracy skills indicated by the following </w:t>
            </w:r>
            <w:r w:rsidRPr="000D4D58">
              <w:t>scales. Description of each scale is given in Volume 2, Part 3 ‘Literacy and Numeracy’</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Reading</w:t>
            </w:r>
          </w:p>
        </w:tc>
        <w:tc>
          <w:tcPr>
            <w:tcW w:w="81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5</w:t>
            </w:r>
          </w:p>
        </w:tc>
        <w:tc>
          <w:tcPr>
            <w:tcW w:w="99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Writing</w:t>
            </w:r>
          </w:p>
        </w:tc>
        <w:tc>
          <w:tcPr>
            <w:tcW w:w="90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5</w:t>
            </w:r>
          </w:p>
        </w:tc>
        <w:tc>
          <w:tcPr>
            <w:tcW w:w="12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Numeracy</w:t>
            </w:r>
          </w:p>
        </w:tc>
        <w:tc>
          <w:tcPr>
            <w:tcW w:w="72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5</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6" w:name="O_585576"/>
      <w:bookmarkEnd w:id="6"/>
      <w:r w:rsidRPr="000D4D58">
        <w:t>Employability Skills Information</w:t>
      </w:r>
    </w:p>
    <w:tbl>
      <w:tblPr>
        <w:tblW w:w="0" w:type="auto"/>
        <w:tblLayout w:type="fixed"/>
        <w:tblCellMar>
          <w:left w:w="62" w:type="dxa"/>
          <w:right w:w="62" w:type="dxa"/>
        </w:tblCellMar>
        <w:tblLook w:val="0000"/>
      </w:tblPr>
      <w:tblGrid>
        <w:gridCol w:w="2700"/>
        <w:gridCol w:w="5760"/>
      </w:tblGrid>
      <w:tr w:rsidTr="00EC70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 xml:space="preserve">5) </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This unit contains Employability Skills</w:t>
            </w:r>
          </w:p>
          <w:p w:rsidR="00000000" w:rsidRPr="000D4D58" w:rsidP="000D4D58">
            <w:pPr>
              <w:pStyle w:val="BodyText"/>
            </w:pPr>
            <w:r w:rsidRPr="000D4D5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D4D58">
              <w:t>requirements.</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7" w:name="O_585575"/>
      <w:bookmarkEnd w:id="7"/>
      <w:r w:rsidRPr="000D4D58">
        <w:t>Elements and Performance Criteria Pre-Content</w:t>
      </w:r>
    </w:p>
    <w:tbl>
      <w:tblPr>
        <w:tblW w:w="0" w:type="auto"/>
        <w:tblLayout w:type="fixed"/>
        <w:tblCellMar>
          <w:left w:w="62" w:type="dxa"/>
          <w:right w:w="62" w:type="dxa"/>
        </w:tblCellMar>
        <w:tblLook w:val="0000"/>
      </w:tblPr>
      <w:tblGrid>
        <w:gridCol w:w="2700"/>
        <w:gridCol w:w="5760"/>
      </w:tblGrid>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6)</w:t>
            </w:r>
            <w:r w:rsidRPr="000D4D5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Performance Criteria describe the required performance needed to demonstrate achievement of the element</w:t>
            </w:r>
            <w:r w:rsidRPr="000D4D58">
              <w:t>. Assessment of performance is to be consistent with the Evidence Guide.</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8" w:name="O_585574"/>
      <w:bookmarkEnd w:id="8"/>
      <w:r w:rsidRPr="000D4D58">
        <w:t>Elements and Performance Criteria</w:t>
      </w:r>
    </w:p>
    <w:tbl>
      <w:tblPr>
        <w:tblW w:w="0" w:type="auto"/>
        <w:tblLayout w:type="fixed"/>
        <w:tblCellMar>
          <w:left w:w="62" w:type="dxa"/>
          <w:right w:w="62" w:type="dxa"/>
        </w:tblCellMar>
        <w:tblLook w:val="0000"/>
      </w:tblPr>
      <w:tblGrid>
        <w:gridCol w:w="364"/>
        <w:gridCol w:w="2198"/>
        <w:gridCol w:w="138"/>
        <w:gridCol w:w="716"/>
        <w:gridCol w:w="4609"/>
        <w:gridCol w:w="435"/>
      </w:tblGrid>
      <w:tr w:rsidTr="00EC70DF">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PERFORMANCE CRITERIA</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1</w:t>
            </w:r>
          </w:p>
        </w:tc>
        <w:tc>
          <w:tcPr>
            <w:tcW w:w="2198" w:type="dxa"/>
            <w:vMerge w:val="restart"/>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 xml:space="preserve">Prepare to carry out electrical field testing. </w:t>
            </w:r>
          </w:p>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1.1</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 xml:space="preserve">OHS procedures for a given work area are identified, obtained and understood. </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1.2</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OHS risk control measures and procedures in preparation for the work are followed.</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1.3</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The likely extent of work to be undertaken is envisaged from situation reports and/or discussions with appropriate person(s).</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1.4</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 xml:space="preserve">Advice is sought from the work supervisor to ensure the work is coordinated effectively with others. </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1.5</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Tools, equipment and testing devices needed to locate faults are obtained in accordance with established procedures and checked for correct operation and safety.</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w:t>
            </w:r>
          </w:p>
        </w:tc>
        <w:tc>
          <w:tcPr>
            <w:tcW w:w="2198" w:type="dxa"/>
            <w:vMerge w:val="restart"/>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Carry out electrical field testing.</w:t>
            </w:r>
          </w:p>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2.1</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OHS risk control measures and procedures for carr</w:t>
            </w:r>
            <w:r w:rsidRPr="000D4D58">
              <w:t>ying out the work are followed.</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2.2</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The need to test or measure live is determined in strict accordance with OHS requirements and when necessary conducted within established safety procedures.</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2.3</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Circuits/machines/plant are checked as being isolated where necessary in strict accordance OHS requirements and procedures.</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2.4</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Safety hazards resulting from the fault or breakdown are documented and risk control measures devised and implemen</w:t>
            </w:r>
            <w:r w:rsidRPr="000D4D58">
              <w:t>ted in consultation with appropriate personnel.</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2.5</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Field testing and measuring is approached methodically drawing on knowledge of electrical systems, circuits, apparatus and testing/measuring techniques appropriate to each test and situation.</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2.6</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Circuit apparatus/components are dismantled where necessary to facilitate testing and parts stored to protect them against loss or damage.</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2.7</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Tests required are determined from situation report and appropriate testing/measuring instruments selected and set up in accordance with manufacturer’s instructions and industry standards.</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2.8</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Unexpected situations are dealt with safely and with the ap</w:t>
            </w:r>
            <w:r w:rsidRPr="000D4D58">
              <w:t>proval of an authorised person.</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2.9</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Testing activities are carried out without damage to apparatus, circuits, the surrounding environment or services and using sustainable energy practices.</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3</w:t>
            </w:r>
          </w:p>
        </w:tc>
        <w:tc>
          <w:tcPr>
            <w:tcW w:w="2198"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 xml:space="preserve">Complete electrical field testing and report findings. </w:t>
            </w: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3.1</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OHS work completion risk control measures and procedures are followed.</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3.2</w:t>
            </w:r>
          </w:p>
        </w:tc>
        <w:tc>
          <w:tcPr>
            <w:tcW w:w="4609"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Apparatus is reassembled after testing where necessary, and work area is cleaned and made safe in accordance with established procedures.</w:t>
            </w:r>
          </w:p>
        </w:tc>
      </w:tr>
      <w:tr w:rsidTr="00EC70DF">
        <w:tblPrEx>
          <w:tblW w:w="0" w:type="auto"/>
          <w:tblLayout w:type="fixed"/>
          <w:tblCellMar>
            <w:left w:w="62" w:type="dxa"/>
            <w:right w:w="62" w:type="dxa"/>
          </w:tblCellMar>
          <w:tblLook w:val="0000"/>
        </w:tblPrEx>
        <w:trPr>
          <w:gridAfter w:val="1"/>
          <w:wAfter w:w="435" w:type="dxa"/>
        </w:trPr>
        <w:tc>
          <w:tcPr>
            <w:tcW w:w="3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3.3</w:t>
            </w:r>
          </w:p>
        </w:tc>
        <w:tc>
          <w:tcPr>
            <w:tcW w:w="4609"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Test findings are reported including recommendation for any action to be taken to rectify/modify conditions or parameters shown by the tests.</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9" w:name="O_585573"/>
      <w:bookmarkEnd w:id="9"/>
      <w:r w:rsidRPr="000D4D58">
        <w:t>Required Skills and Knowledge</w:t>
      </w:r>
    </w:p>
    <w:tbl>
      <w:tblPr>
        <w:tblW w:w="0" w:type="auto"/>
        <w:tblLayout w:type="fixed"/>
        <w:tblCellMar>
          <w:left w:w="62" w:type="dxa"/>
          <w:right w:w="62" w:type="dxa"/>
        </w:tblCellMar>
        <w:tblLook w:val="0000"/>
      </w:tblPr>
      <w:tblGrid>
        <w:gridCol w:w="8460"/>
      </w:tblGrid>
      <w:tr w:rsidTr="00EC70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REQUIRED SKILLS AND KNOWLEDGE</w:t>
            </w:r>
          </w:p>
        </w:tc>
      </w:tr>
      <w:tr w:rsidTr="00EC70D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8)</w:t>
            </w:r>
            <w:r w:rsidRPr="000D4D58">
              <w:t xml:space="preserve"> This describes the essential skills and knowledge and their level, required for this unit.</w:t>
            </w:r>
          </w:p>
          <w:p w:rsidR="00000000" w:rsidRPr="000D4D58" w:rsidP="000D4D58">
            <w:pPr>
              <w:pStyle w:val="BodyText"/>
            </w:pPr>
            <w:r w:rsidRPr="000D4D58">
              <w:t>Evidence shall show that knowledge has been acquired of safe working practices and carrying out electrical field testing and report findings.</w:t>
            </w:r>
          </w:p>
          <w:p w:rsidR="00000000" w:rsidRPr="000D4D58" w:rsidP="000D4D58">
            <w:pPr>
              <w:pStyle w:val="BodyText"/>
            </w:pPr>
            <w:r w:rsidRPr="000D4D58">
              <w:t>All knowledge and skil</w:t>
            </w:r>
            <w:r w:rsidRPr="000D4D58">
              <w:t>ls detailed in this unit should be contextualised to current industry practices and technologies.</w:t>
            </w:r>
          </w:p>
          <w:p w:rsidR="00000000" w:rsidRPr="000D4D58" w:rsidP="000D4D58">
            <w:pPr>
              <w:pStyle w:val="BodyText"/>
            </w:pPr>
            <w:r w:rsidRPr="000D4D58">
              <w:rPr>
                <w:rStyle w:val="SpecialBold"/>
              </w:rPr>
              <w:t>KS01-EG132A</w:t>
            </w:r>
            <w:r w:rsidRPr="000D4D58">
              <w:rPr>
                <w:rStyle w:val="SpecialBold"/>
              </w:rPr>
              <w:tab/>
              <w:t xml:space="preserve">               Electrical field testing and measurement techniques</w:t>
            </w:r>
          </w:p>
          <w:p w:rsidR="00000000" w:rsidRPr="000D4D58" w:rsidP="000D4D58">
            <w:pPr>
              <w:pStyle w:val="BodyText"/>
            </w:pPr>
            <w:r w:rsidRPr="000D4D58">
              <w:t>Evidence shall show an understanding of carrying out electrical field testing a</w:t>
            </w:r>
            <w:r w:rsidRPr="000D4D58">
              <w:t>nd reporting findings to an extent indicated by the following aspects:</w:t>
            </w:r>
          </w:p>
          <w:p w:rsidR="00000000" w:rsidRPr="000D4D58" w:rsidP="000D4D58">
            <w:pPr>
              <w:pStyle w:val="BodyText"/>
            </w:pPr>
            <w:r w:rsidRPr="000D4D58">
              <w:t>T1</w:t>
            </w:r>
            <w:r w:rsidRPr="000D4D58">
              <w:tab/>
              <w:t>Advance electrical testing and measuring devices encompassing:</w:t>
            </w:r>
          </w:p>
          <w:p w:rsidR="00000000" w:rsidRPr="000D4D58" w:rsidP="000D4D58">
            <w:pPr>
              <w:pStyle w:val="ListBullet"/>
            </w:pPr>
            <w:r w:rsidRPr="000D4D58">
              <w:t xml:space="preserve">Test/measuring devices and their application </w:t>
            </w:r>
          </w:p>
          <w:p w:rsidR="00000000" w:rsidRPr="000D4D58" w:rsidP="000D4D58">
            <w:pPr>
              <w:pStyle w:val="ListBullet"/>
            </w:pPr>
            <w:r w:rsidRPr="000D4D58">
              <w:t>Circuit arrangement and safety procedures for connection of testing/meas</w:t>
            </w:r>
            <w:r w:rsidRPr="000D4D58">
              <w:t xml:space="preserve">uring devices into a circuit </w:t>
            </w:r>
          </w:p>
          <w:p w:rsidR="00000000" w:rsidRPr="000D4D58" w:rsidP="000D4D58">
            <w:pPr>
              <w:pStyle w:val="ListBullet"/>
            </w:pPr>
            <w:r w:rsidRPr="000D4D58">
              <w:t>Taking readings</w:t>
            </w:r>
          </w:p>
          <w:p w:rsidR="00000000" w:rsidRPr="000D4D58" w:rsidP="000D4D58">
            <w:pPr>
              <w:pStyle w:val="ListBullet"/>
            </w:pPr>
            <w:r w:rsidRPr="000D4D58">
              <w:t>Storage, maintenance and care of test/measuring devices</w:t>
            </w:r>
          </w:p>
          <w:p w:rsidR="00000000" w:rsidRPr="000D4D58" w:rsidP="000D4D58">
            <w:pPr>
              <w:pStyle w:val="BodyText"/>
            </w:pPr>
            <w:r w:rsidRPr="000D4D58">
              <w:t>T2</w:t>
            </w:r>
            <w:r w:rsidRPr="000D4D58">
              <w:tab/>
              <w:t xml:space="preserve">Measurement concepts encompassing: </w:t>
            </w:r>
          </w:p>
          <w:p w:rsidR="00000000" w:rsidRPr="000D4D58" w:rsidP="000D4D58">
            <w:pPr>
              <w:pStyle w:val="ListBullet"/>
            </w:pPr>
            <w:r w:rsidRPr="000D4D58">
              <w:t>notion of error, accuracy, resolution</w:t>
            </w:r>
          </w:p>
          <w:p w:rsidR="00000000" w:rsidRPr="000D4D58" w:rsidP="000D4D58">
            <w:pPr>
              <w:pStyle w:val="ListBullet"/>
            </w:pPr>
            <w:r w:rsidRPr="000D4D58">
              <w:t>sources of measurement error and uncertainties</w:t>
            </w:r>
          </w:p>
          <w:p w:rsidR="00000000" w:rsidRPr="000D4D58" w:rsidP="000D4D58">
            <w:pPr>
              <w:pStyle w:val="ListBullet"/>
            </w:pPr>
            <w:r w:rsidRPr="000D4D58">
              <w:t>instrument specifications and</w:t>
            </w:r>
            <w:r w:rsidRPr="000D4D58">
              <w:t xml:space="preserve"> calibration certificates</w:t>
            </w:r>
          </w:p>
          <w:p w:rsidR="00000000" w:rsidRPr="000D4D58" w:rsidP="000D4D58">
            <w:pPr>
              <w:pStyle w:val="ListBullet"/>
            </w:pPr>
            <w:r w:rsidRPr="000D4D58">
              <w:t>test and measuring instrument safety certification levels and their application</w:t>
            </w:r>
          </w:p>
          <w:p w:rsidR="00000000" w:rsidRPr="000D4D58" w:rsidP="000D4D58">
            <w:pPr>
              <w:pStyle w:val="BodyText"/>
            </w:pPr>
            <w:r w:rsidRPr="000D4D58">
              <w:t>T3</w:t>
            </w:r>
            <w:r w:rsidRPr="000D4D58">
              <w:tab/>
              <w:t>Types of field measuring instruments and their application encompassing:</w:t>
            </w:r>
          </w:p>
          <w:p w:rsidR="00000000" w:rsidRPr="000D4D58" w:rsidP="000D4D58">
            <w:pPr>
              <w:pStyle w:val="ListBullet"/>
            </w:pPr>
            <w:r w:rsidRPr="000D4D58">
              <w:t xml:space="preserve">instrument meter movements and readouts </w:t>
            </w:r>
          </w:p>
          <w:p w:rsidR="00000000" w:rsidRPr="000D4D58" w:rsidP="000D4D58">
            <w:pPr>
              <w:pStyle w:val="ListContinue"/>
            </w:pPr>
            <w:r w:rsidRPr="000D4D58">
              <w:t>Note</w:t>
            </w:r>
          </w:p>
          <w:p w:rsidR="00000000" w:rsidRPr="000D4D58" w:rsidP="000D4D58">
            <w:pPr>
              <w:pStyle w:val="ListContinue"/>
            </w:pPr>
            <w:r w:rsidRPr="000D4D58">
              <w:t>These include moving coil, moving iron and dynamometer meter movements, LCD digital and screen readouts.</w:t>
            </w:r>
          </w:p>
          <w:p w:rsidR="00000000" w:rsidRPr="000D4D58" w:rsidP="000D4D58">
            <w:pPr>
              <w:pStyle w:val="ListBullet"/>
            </w:pPr>
            <w:r w:rsidRPr="000D4D58">
              <w:t>Role of a microprocessor/controller in measuring instrument</w:t>
            </w:r>
          </w:p>
          <w:p w:rsidR="00000000" w:rsidRPr="000D4D58" w:rsidP="000D4D58">
            <w:pPr>
              <w:pStyle w:val="BodyText"/>
            </w:pPr>
            <w:r w:rsidRPr="000D4D58">
              <w:t>T4</w:t>
            </w:r>
            <w:r w:rsidRPr="000D4D58">
              <w:tab/>
              <w:t>Measuring low voltages and direct and alternating currents encompassing:</w:t>
            </w:r>
          </w:p>
          <w:p w:rsidR="00000000" w:rsidRPr="000D4D58" w:rsidP="000D4D58">
            <w:pPr>
              <w:pStyle w:val="ListBullet"/>
            </w:pPr>
            <w:r w:rsidRPr="000D4D58">
              <w:t>low voltage a</w:t>
            </w:r>
            <w:r w:rsidRPr="000D4D58">
              <w:t xml:space="preserve">nd current measurement techniques embodied in microprocessor based instruments. </w:t>
            </w:r>
          </w:p>
          <w:p w:rsidR="00000000" w:rsidRPr="000D4D58" w:rsidP="000D4D58">
            <w:pPr>
              <w:pStyle w:val="ListBullet"/>
            </w:pPr>
            <w:r w:rsidRPr="000D4D58">
              <w:t>causes of inaccuracies and overcoming them.</w:t>
            </w:r>
          </w:p>
          <w:p w:rsidR="00000000" w:rsidRPr="000D4D58" w:rsidP="000D4D58">
            <w:pPr>
              <w:pStyle w:val="ListBullet"/>
            </w:pPr>
            <w:r w:rsidRPr="000D4D58">
              <w:t>test instrument set up and safety procedures</w:t>
            </w:r>
          </w:p>
          <w:p w:rsidR="00000000" w:rsidRPr="000D4D58" w:rsidP="000D4D58">
            <w:pPr>
              <w:pStyle w:val="ListBullet"/>
            </w:pPr>
            <w:r w:rsidRPr="000D4D58">
              <w:t>interpreting test readings</w:t>
            </w:r>
          </w:p>
          <w:p w:rsidR="00000000" w:rsidRPr="000D4D58" w:rsidP="000D4D58">
            <w:pPr>
              <w:pStyle w:val="BodyText"/>
            </w:pPr>
            <w:r w:rsidRPr="000D4D58">
              <w:t>T5</w:t>
            </w:r>
            <w:r w:rsidRPr="000D4D58">
              <w:tab/>
              <w:t>Measuring high voltages and direct and alternating curre</w:t>
            </w:r>
            <w:r w:rsidRPr="000D4D58">
              <w:t xml:space="preserve">nts encompassing: </w:t>
            </w:r>
          </w:p>
          <w:p w:rsidR="00000000" w:rsidRPr="000D4D58" w:rsidP="000D4D58">
            <w:pPr>
              <w:pStyle w:val="ListBullet"/>
            </w:pPr>
            <w:r w:rsidRPr="000D4D58">
              <w:t>high voltage and current measurement techniques embodied in microprocessor based instruments</w:t>
            </w:r>
          </w:p>
          <w:p w:rsidR="00000000" w:rsidRPr="000D4D58" w:rsidP="000D4D58">
            <w:pPr>
              <w:pStyle w:val="ListBullet"/>
            </w:pPr>
            <w:r w:rsidRPr="000D4D58">
              <w:t>causes of inaccuracies and overcoming them</w:t>
            </w:r>
          </w:p>
          <w:p w:rsidR="00000000" w:rsidRPr="000D4D58" w:rsidP="000D4D58">
            <w:pPr>
              <w:pStyle w:val="ListBullet"/>
            </w:pPr>
            <w:r w:rsidRPr="000D4D58">
              <w:t>test instrument set up and safety procedures</w:t>
            </w:r>
          </w:p>
          <w:p w:rsidR="00000000" w:rsidRPr="000D4D58" w:rsidP="000D4D58">
            <w:pPr>
              <w:pStyle w:val="ListBullet"/>
            </w:pPr>
            <w:r w:rsidRPr="000D4D58">
              <w:t>interpreting test readings</w:t>
            </w:r>
          </w:p>
          <w:p w:rsidR="00000000" w:rsidRPr="000D4D58" w:rsidP="000D4D58">
            <w:pPr>
              <w:pStyle w:val="BodyText"/>
            </w:pPr>
            <w:r w:rsidRPr="000D4D58">
              <w:t>T6</w:t>
            </w:r>
            <w:r w:rsidRPr="000D4D58">
              <w:tab/>
            </w:r>
            <w:r w:rsidRPr="000D4D58">
              <w:t>Measuring fault levels and (earth) fault loop impedance encompassing:</w:t>
            </w:r>
          </w:p>
          <w:p w:rsidR="00000000" w:rsidRPr="000D4D58" w:rsidP="000D4D58">
            <w:pPr>
              <w:pStyle w:val="ListBullet"/>
            </w:pPr>
            <w:r w:rsidRPr="000D4D58">
              <w:t>fault and fault loop impedance measurement techniques embodied in microprocessor based instruments</w:t>
            </w:r>
          </w:p>
          <w:p w:rsidR="00000000" w:rsidRPr="000D4D58" w:rsidP="000D4D58">
            <w:pPr>
              <w:pStyle w:val="ListBullet"/>
            </w:pPr>
            <w:r w:rsidRPr="000D4D58">
              <w:t>causes of inaccuracies and overcoming them</w:t>
            </w:r>
          </w:p>
          <w:p w:rsidR="00000000" w:rsidRPr="000D4D58" w:rsidP="000D4D58">
            <w:pPr>
              <w:pStyle w:val="ListBullet"/>
            </w:pPr>
            <w:r w:rsidRPr="000D4D58">
              <w:t>test instrument set up and safety procedure</w:t>
            </w:r>
            <w:r w:rsidRPr="000D4D58">
              <w:t>s</w:t>
            </w:r>
          </w:p>
          <w:p w:rsidR="00000000" w:rsidRPr="000D4D58" w:rsidP="000D4D58">
            <w:pPr>
              <w:pStyle w:val="ListBullet"/>
            </w:pPr>
            <w:r w:rsidRPr="000D4D58">
              <w:t>interpreting test readings</w:t>
            </w:r>
          </w:p>
          <w:p w:rsidR="00000000" w:rsidRPr="000D4D58" w:rsidP="000D4D58">
            <w:pPr>
              <w:pStyle w:val="BodyText"/>
            </w:pPr>
            <w:r w:rsidRPr="000D4D58">
              <w:t>T7</w:t>
            </w:r>
            <w:r w:rsidRPr="000D4D58">
              <w:tab/>
              <w:t xml:space="preserve">Measuring power, energy, reactive power, power factor and maximum demand </w:t>
            </w:r>
            <w:r w:rsidRPr="000D4D58">
              <w:tab/>
              <w:t xml:space="preserve">encompassing: </w:t>
            </w:r>
          </w:p>
          <w:p w:rsidR="00000000" w:rsidRPr="000D4D58" w:rsidP="000D4D58">
            <w:pPr>
              <w:pStyle w:val="ListBullet"/>
            </w:pPr>
            <w:r w:rsidRPr="000D4D58">
              <w:t xml:space="preserve">power measurement techniques embodied in microprocessor based instruments. </w:t>
            </w:r>
          </w:p>
          <w:p w:rsidR="00000000" w:rsidRPr="000D4D58" w:rsidP="000D4D58">
            <w:pPr>
              <w:pStyle w:val="ListBullet"/>
            </w:pPr>
            <w:r w:rsidRPr="000D4D58">
              <w:t>causes of inaccuracies and overcoming them.</w:t>
            </w:r>
          </w:p>
          <w:p w:rsidR="00000000" w:rsidRPr="000D4D58" w:rsidP="000D4D58">
            <w:pPr>
              <w:pStyle w:val="ListBullet"/>
            </w:pPr>
            <w:r w:rsidRPr="000D4D58">
              <w:t>test instrumen</w:t>
            </w:r>
            <w:r w:rsidRPr="000D4D58">
              <w:t>t set up and safety procedures</w:t>
            </w:r>
          </w:p>
          <w:p w:rsidR="00000000" w:rsidRPr="000D4D58" w:rsidP="000D4D58">
            <w:pPr>
              <w:pStyle w:val="ListBullet"/>
            </w:pPr>
            <w:r w:rsidRPr="000D4D58">
              <w:t>interpreting test readings</w:t>
            </w:r>
          </w:p>
          <w:p w:rsidR="00000000" w:rsidRPr="000D4D58" w:rsidP="000D4D58">
            <w:pPr>
              <w:pStyle w:val="BodyText"/>
            </w:pPr>
            <w:r w:rsidRPr="000D4D58">
              <w:t>T8</w:t>
            </w:r>
            <w:r w:rsidRPr="000D4D58">
              <w:tab/>
              <w:t xml:space="preserve">Measuring power quality encompassing: </w:t>
            </w:r>
          </w:p>
          <w:p w:rsidR="00000000" w:rsidRPr="000D4D58" w:rsidP="000D4D58">
            <w:pPr>
              <w:pStyle w:val="ListBullet"/>
            </w:pPr>
            <w:r w:rsidRPr="000D4D58">
              <w:t xml:space="preserve">power measurement techniques embodied in microprocessor based instruments. </w:t>
            </w:r>
          </w:p>
          <w:p w:rsidR="00000000" w:rsidRPr="000D4D58" w:rsidP="000D4D58">
            <w:pPr>
              <w:pStyle w:val="ListBullet"/>
            </w:pPr>
            <w:r w:rsidRPr="000D4D58">
              <w:t>causes of inaccuracies and overcoming them.</w:t>
            </w:r>
          </w:p>
          <w:p w:rsidR="00000000" w:rsidRPr="000D4D58" w:rsidP="000D4D58">
            <w:pPr>
              <w:pStyle w:val="ListBullet"/>
            </w:pPr>
            <w:r w:rsidRPr="000D4D58">
              <w:t>test instrument set up and safety p</w:t>
            </w:r>
            <w:r w:rsidRPr="000D4D58">
              <w:t>rocedures</w:t>
            </w:r>
          </w:p>
          <w:p w:rsidR="00000000" w:rsidRPr="000D4D58" w:rsidP="000D4D58">
            <w:pPr>
              <w:pStyle w:val="ListBullet"/>
            </w:pPr>
            <w:r w:rsidRPr="000D4D58">
              <w:t>interpreting test readings.</w:t>
            </w:r>
          </w:p>
          <w:p w:rsidR="00000000" w:rsidRPr="000D4D58" w:rsidP="000D4D58">
            <w:pPr>
              <w:pStyle w:val="ListContinue"/>
            </w:pPr>
            <w:r w:rsidRPr="000D4D58">
              <w:t>Note.</w:t>
            </w:r>
          </w:p>
          <w:p w:rsidR="00000000" w:rsidRPr="000D4D58" w:rsidP="000D4D58">
            <w:pPr>
              <w:pStyle w:val="ListContinue"/>
            </w:pPr>
            <w:r w:rsidRPr="000D4D58">
              <w:t>Power quality measurement includes waveform distortion, harmonics, power factor and transients.</w:t>
            </w:r>
          </w:p>
          <w:p w:rsidR="00000000" w:rsidRPr="000D4D58" w:rsidP="000D4D58">
            <w:pPr>
              <w:pStyle w:val="BodyText"/>
            </w:pPr>
            <w:r w:rsidRPr="000D4D58">
              <w:t>T9</w:t>
            </w:r>
            <w:r w:rsidRPr="000D4D58">
              <w:tab/>
              <w:t>Power cable faults and fault detection techniques encompassing:</w:t>
            </w:r>
          </w:p>
          <w:p w:rsidR="00000000" w:rsidRPr="000D4D58" w:rsidP="000D4D58">
            <w:pPr>
              <w:pStyle w:val="ListBullet"/>
            </w:pPr>
            <w:r w:rsidRPr="000D4D58">
              <w:t>poor connection (high resistance</w:t>
            </w:r>
          </w:p>
          <w:p w:rsidR="00000000" w:rsidRPr="000D4D58" w:rsidP="000D4D58">
            <w:pPr>
              <w:pStyle w:val="ListBullet"/>
            </w:pPr>
            <w:r w:rsidRPr="000D4D58">
              <w:t>open-circuit</w:t>
            </w:r>
          </w:p>
          <w:p w:rsidR="00000000" w:rsidRPr="000D4D58" w:rsidP="000D4D58">
            <w:pPr>
              <w:pStyle w:val="ListBullet"/>
            </w:pPr>
            <w:r w:rsidRPr="000D4D58">
              <w:t>insulation breakdown and arcing.</w:t>
            </w:r>
          </w:p>
          <w:p w:rsidR="00000000" w:rsidRPr="000D4D58" w:rsidP="000D4D58">
            <w:pPr>
              <w:pStyle w:val="ListBullet"/>
            </w:pPr>
            <w:r w:rsidRPr="000D4D58">
              <w:t>b)  Varley and Murray loop tests</w:t>
            </w:r>
          </w:p>
          <w:p w:rsidR="00000000" w:rsidRPr="000D4D58" w:rsidP="000D4D58">
            <w:pPr>
              <w:pStyle w:val="ListBullet"/>
            </w:pPr>
            <w:r w:rsidRPr="000D4D58">
              <w:t>Pulse test</w:t>
            </w:r>
          </w:p>
          <w:p w:rsidR="00000000" w:rsidRPr="000D4D58" w:rsidP="000D4D58">
            <w:pPr>
              <w:pStyle w:val="ListBullet"/>
            </w:pPr>
            <w:r w:rsidRPr="000D4D58">
              <w:t>Echo test</w:t>
            </w:r>
          </w:p>
          <w:p w:rsidR="00000000" w:rsidRPr="000D4D58" w:rsidP="000D4D58">
            <w:pPr>
              <w:pStyle w:val="ListBullet"/>
            </w:pPr>
            <w:r w:rsidRPr="000D4D58">
              <w:t>Radio based tests</w:t>
            </w:r>
          </w:p>
          <w:p w:rsidR="00000000" w:rsidRPr="000D4D58" w:rsidP="000D4D58">
            <w:pPr>
              <w:pStyle w:val="BodyText"/>
            </w:pPr>
            <w:r w:rsidRPr="000D4D58">
              <w:t>T10</w:t>
            </w:r>
            <w:r w:rsidRPr="000D4D58">
              <w:tab/>
              <w:t xml:space="preserve"> Application and limitations of the various cable fault detection techniques </w:t>
            </w:r>
            <w:r w:rsidRPr="000D4D58">
              <w:tab/>
              <w:t>encompassing:</w:t>
            </w:r>
          </w:p>
          <w:p w:rsidR="00000000" w:rsidRPr="000D4D58" w:rsidP="000D4D58">
            <w:pPr>
              <w:pStyle w:val="ListBullet"/>
            </w:pPr>
            <w:r w:rsidRPr="000D4D58">
              <w:t>cable fault detection techniques embodied in microproc</w:t>
            </w:r>
            <w:r w:rsidRPr="000D4D58">
              <w:t xml:space="preserve">essor based instruments. </w:t>
            </w:r>
          </w:p>
          <w:p w:rsidR="00000000" w:rsidRPr="000D4D58" w:rsidP="000D4D58">
            <w:pPr>
              <w:pStyle w:val="ListBullet"/>
            </w:pPr>
            <w:r w:rsidRPr="000D4D58">
              <w:t>causes of inaccuracies and overcoming them.</w:t>
            </w:r>
          </w:p>
          <w:p w:rsidR="00000000" w:rsidRPr="000D4D58" w:rsidP="000D4D58">
            <w:pPr>
              <w:pStyle w:val="ListBullet"/>
            </w:pPr>
            <w:r w:rsidRPr="000D4D58">
              <w:t>test instrument set up and safety procedures</w:t>
            </w:r>
          </w:p>
          <w:p w:rsidR="00000000" w:rsidRPr="000D4D58" w:rsidP="000D4D58">
            <w:pPr>
              <w:pStyle w:val="ListBullet"/>
            </w:pPr>
            <w:r w:rsidRPr="000D4D58">
              <w:t>interpreting test readings.</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10" w:name="O_585572"/>
      <w:bookmarkEnd w:id="10"/>
      <w:r w:rsidRPr="000D4D58">
        <w:t>Evidence Guide</w:t>
      </w:r>
    </w:p>
    <w:tbl>
      <w:tblPr>
        <w:tblW w:w="0" w:type="auto"/>
        <w:tblLayout w:type="fixed"/>
        <w:tblCellMar>
          <w:left w:w="62" w:type="dxa"/>
          <w:right w:w="62" w:type="dxa"/>
        </w:tblCellMar>
        <w:tblLook w:val="0000"/>
      </w:tblPr>
      <w:tblGrid>
        <w:gridCol w:w="8460"/>
      </w:tblGrid>
      <w:tr w:rsidTr="00EC70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EVIDENCE GUIDE</w:t>
            </w:r>
          </w:p>
        </w:tc>
      </w:tr>
      <w:tr w:rsidTr="00EC70D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9)</w:t>
            </w:r>
            <w:r w:rsidRPr="000D4D58">
              <w:t xml:space="preserve"> The evidence guide provides advice on assessment and must be read in conjunction with the Performance Criteria, Required Skills and Knowledge, the Range Statement and the Assessment Guidelines for this Training Package. </w:t>
            </w:r>
          </w:p>
          <w:p w:rsidR="00000000" w:rsidRPr="000D4D58" w:rsidP="000D4D58">
            <w:pPr>
              <w:pStyle w:val="BodyText"/>
            </w:pPr>
            <w:r w:rsidRPr="000D4D58">
              <w:t>The Evidence Guide forms an integral part of this unit. It must be used in conjunction with all parts of this unit and performed in accordance with the Assessment Guidelines of this Training Package.</w:t>
            </w:r>
          </w:p>
        </w:tc>
      </w:tr>
    </w:tbl>
    <w:p w:rsidR="00000000" w:rsidRPr="000D4D58" w:rsidP="000D4D58">
      <w:pPr>
        <w:pStyle w:val="BodyText"/>
      </w:pPr>
    </w:p>
    <w:tbl>
      <w:tblPr>
        <w:tblW w:w="0" w:type="auto"/>
        <w:tblLayout w:type="fixed"/>
        <w:tblCellMar>
          <w:left w:w="62" w:type="dxa"/>
          <w:right w:w="62" w:type="dxa"/>
        </w:tblCellMar>
        <w:tblLook w:val="0000"/>
      </w:tblPr>
      <w:tblGrid>
        <w:gridCol w:w="1890"/>
        <w:gridCol w:w="6570"/>
      </w:tblGrid>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9.1)</w:t>
            </w:r>
          </w:p>
        </w:tc>
      </w:tr>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 xml:space="preserve">Longitudinal competency </w:t>
            </w:r>
            <w:r w:rsidRPr="000D4D58">
              <w:t>development approaches to assessment, such as Profiling, require data to be reliably gathered in a form that can be consistently interpreted over time. This approach is best utilised in Apprenticeship programs and reduces assessment intervention. It is the</w:t>
            </w:r>
            <w:r w:rsidRPr="000D4D58">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0D4D58">
              <w:t xml:space="preserve"> simulated work environment. It is recognised that, in some circumstances, assessment in part or full can occur outside the workplace. However, it must be in accordance with industry and regulatory policy.</w:t>
            </w:r>
          </w:p>
          <w:p w:rsidR="00000000" w:rsidRPr="000D4D58" w:rsidP="000D4D58">
            <w:pPr>
              <w:pStyle w:val="BodyText"/>
            </w:pPr>
            <w:r w:rsidRPr="000D4D58">
              <w:t>Methods chosen for a particular assessment will be</w:t>
            </w:r>
            <w:r w:rsidRPr="000D4D58">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0D4D58">
              <w:t>he competencies being assessed.</w:t>
            </w:r>
          </w:p>
          <w:p w:rsidR="00000000" w:rsidRPr="000D4D58" w:rsidP="000D4D58">
            <w:pPr>
              <w:pStyle w:val="BodyText"/>
            </w:pPr>
            <w:r w:rsidRPr="000D4D58">
              <w:t>The critical safety nature of working with electricity, electrical equipment, gas or any other hazardous substance/material carries risk in deeming a person competent. Sources of evidence need to be ‘rich’ in nature to minim</w:t>
            </w:r>
            <w:r w:rsidRPr="000D4D58">
              <w:t>ise error in judgment.</w:t>
            </w:r>
          </w:p>
          <w:p w:rsidR="00000000" w:rsidRPr="000D4D58" w:rsidP="000D4D58">
            <w:pPr>
              <w:pStyle w:val="BodyText"/>
            </w:pPr>
            <w:r w:rsidRPr="000D4D58">
              <w:t>Activities associated with normal every day work have a bearing on the decision as to how much and how detailed the data gathered will contribute to its ‘richness’. Some skills are more critical to safety and operational requirements</w:t>
            </w:r>
            <w:r w:rsidRPr="000D4D58">
              <w:t xml:space="preserve"> while the same skills may be more or less frequently practised. These points are raised for the assessors to consider when choosing an assessment method and developing assessment instruments. Sample assessment instruments are included for Assessors in the</w:t>
            </w:r>
            <w:r w:rsidRPr="000D4D58">
              <w:t xml:space="preserve"> Assessment Guidelines of this Training Package.</w:t>
            </w:r>
          </w:p>
        </w:tc>
      </w:tr>
    </w:tbl>
    <w:p w:rsidR="00000000" w:rsidRPr="000D4D58" w:rsidP="000D4D58">
      <w:pPr>
        <w:pStyle w:val="BodyText"/>
      </w:pPr>
    </w:p>
    <w:tbl>
      <w:tblPr>
        <w:tblW w:w="0" w:type="auto"/>
        <w:tblLayout w:type="fixed"/>
        <w:tblCellMar>
          <w:left w:w="62" w:type="dxa"/>
          <w:right w:w="62" w:type="dxa"/>
        </w:tblCellMar>
        <w:tblLook w:val="0000"/>
      </w:tblPr>
      <w:tblGrid>
        <w:gridCol w:w="1890"/>
        <w:gridCol w:w="1530"/>
        <w:gridCol w:w="5040"/>
      </w:tblGrid>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9.2)</w:t>
            </w:r>
          </w:p>
        </w:tc>
      </w:tr>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Before the critical aspects of evidence are considered all prerequisites shall be met.</w:t>
            </w:r>
          </w:p>
          <w:p w:rsidR="00000000" w:rsidRPr="000D4D58" w:rsidP="000D4D58">
            <w:pPr>
              <w:pStyle w:val="BodyText"/>
            </w:pPr>
            <w:r w:rsidRPr="000D4D58">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0D4D58" w:rsidP="000D4D58">
            <w:pPr>
              <w:pStyle w:val="ListBullet"/>
            </w:pPr>
            <w:r w:rsidRPr="000D4D58">
              <w:t>A representative body of work performance demonstrated within the timeframes typically expected of the discipline, work function and industrial environment. In particular this shall incorporate evidence that shows a candidate is able to:</w:t>
            </w:r>
          </w:p>
          <w:p w:rsidR="00000000" w:rsidRPr="000D4D58" w:rsidP="000D4D58">
            <w:pPr>
              <w:pStyle w:val="ListBullet2"/>
            </w:pPr>
            <w:r w:rsidRPr="000D4D58">
              <w:t>Implement Occupa</w:t>
            </w:r>
            <w:r w:rsidRPr="000D4D58">
              <w:t>tional Health and Safety workplace procedures and practices including the use of risk control measures as specified in the performance criteria and range statement</w:t>
            </w:r>
          </w:p>
          <w:p w:rsidR="00000000" w:rsidRPr="000D4D58" w:rsidP="000D4D58">
            <w:pPr>
              <w:pStyle w:val="ListBullet2"/>
            </w:pPr>
            <w:r w:rsidRPr="000D4D58">
              <w:t>Apply sustainable energy principles and practices as specified in the performance criteria a</w:t>
            </w:r>
            <w:r w:rsidRPr="000D4D58">
              <w:t>nd range statement</w:t>
            </w:r>
          </w:p>
          <w:p w:rsidR="00000000" w:rsidRPr="000D4D58" w:rsidP="000D4D58">
            <w:pPr>
              <w:pStyle w:val="ListBullet2"/>
            </w:pPr>
            <w:r w:rsidRPr="000D4D58">
              <w:t xml:space="preserve">Demonstrate an understanding of the essential knowledge and associated skills as described in this </w:t>
            </w:r>
            <w:r w:rsidRPr="000D4D58">
              <w:t xml:space="preserve">unit.  It may be required by some jurisdictions that RTOs provide a percentile graded result for the purpose of regulatory or licensing requirements.   </w:t>
            </w:r>
          </w:p>
          <w:p w:rsidR="00000000" w:rsidRPr="000D4D58" w:rsidP="000D4D58">
            <w:pPr>
              <w:pStyle w:val="ListBullet2"/>
            </w:pPr>
            <w:r w:rsidRPr="000D4D58">
              <w:t>Demonstrate an appropriate level of skills enabling employment</w:t>
            </w:r>
          </w:p>
          <w:p w:rsidR="00000000" w:rsidRPr="000D4D58" w:rsidP="000D4D58">
            <w:pPr>
              <w:pStyle w:val="ListBullet2"/>
            </w:pPr>
            <w:r w:rsidRPr="000D4D58">
              <w:t>Conduct work observing the relevant Anti</w:t>
            </w:r>
            <w:r w:rsidRPr="000D4D58">
              <w:t xml:space="preserve"> Discrimination legislation, regulations, polices and workplace procedures</w:t>
            </w:r>
          </w:p>
          <w:p w:rsidR="00000000" w:rsidRPr="000D4D58" w:rsidP="000D4D58">
            <w:pPr>
              <w:pStyle w:val="ListBullet"/>
            </w:pPr>
            <w:r w:rsidRPr="000D4D58">
              <w:t>Demonstrated consistent performance across a representative range of contexts from the prescribed items below:</w:t>
            </w:r>
          </w:p>
          <w:p w:rsidR="00000000" w:rsidP="000D4D58">
            <w:pPr>
              <w:pStyle w:val="ListBullet2"/>
              <w:rPr>
                <w:lang w:val="en-NZ"/>
              </w:rPr>
            </w:pPr>
            <w:r w:rsidRPr="000D4D58">
              <w:t xml:space="preserve">Carry out electrical field testing and report findings as described </w:t>
            </w:r>
            <w:r w:rsidRPr="000D4D58">
              <w:t>in 8) and including:</w:t>
            </w:r>
          </w:p>
        </w:tc>
      </w:tr>
      <w:tr w:rsidTr="00EC70DF">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A</w:t>
            </w:r>
          </w:p>
        </w:tc>
        <w:tc>
          <w:tcPr>
            <w:tcW w:w="504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Envisaging the extent of work from situation reports and discussion with appropriate person(s).</w:t>
            </w:r>
          </w:p>
        </w:tc>
      </w:tr>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B</w:t>
            </w:r>
          </w:p>
        </w:tc>
        <w:tc>
          <w:tcPr>
            <w:tcW w:w="504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 xml:space="preserve">Using methodical testing techniques appropriate to each type of test and situation. </w:t>
            </w:r>
          </w:p>
        </w:tc>
      </w:tr>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C</w:t>
            </w:r>
          </w:p>
        </w:tc>
        <w:tc>
          <w:tcPr>
            <w:tcW w:w="504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Selecting and setting up appropriate testing/measuring instruments in accordance with manufacturer’s instructions and industry standards.</w:t>
            </w:r>
          </w:p>
        </w:tc>
      </w:tr>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D</w:t>
            </w:r>
          </w:p>
        </w:tc>
        <w:tc>
          <w:tcPr>
            <w:tcW w:w="504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Writing test findings and recommendations of actions to be taken.</w:t>
            </w:r>
          </w:p>
        </w:tc>
      </w:tr>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t>E</w:t>
            </w:r>
          </w:p>
        </w:tc>
        <w:tc>
          <w:tcPr>
            <w:tcW w:w="504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 xml:space="preserve">Dealing with unplanned events by drawing on </w:t>
            </w:r>
            <w:r w:rsidRPr="000D4D58">
              <w:t>essential knowledge and skills to provide appropriate solutions incorporated in the holistic assessment with the above listed items.</w:t>
            </w:r>
          </w:p>
        </w:tc>
      </w:tr>
    </w:tbl>
    <w:p w:rsidR="00000000" w:rsidRPr="000D4D58" w:rsidP="000D4D58">
      <w:pPr>
        <w:pStyle w:val="BodyText"/>
      </w:pPr>
    </w:p>
    <w:tbl>
      <w:tblPr>
        <w:tblW w:w="0" w:type="auto"/>
        <w:tblLayout w:type="fixed"/>
        <w:tblCellMar>
          <w:left w:w="62" w:type="dxa"/>
          <w:right w:w="62" w:type="dxa"/>
        </w:tblCellMar>
        <w:tblLook w:val="0000"/>
      </w:tblPr>
      <w:tblGrid>
        <w:gridCol w:w="1890"/>
        <w:gridCol w:w="6570"/>
      </w:tblGrid>
      <w:tr w:rsidTr="00EC70D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9.3)</w:t>
            </w:r>
          </w:p>
        </w:tc>
      </w:tr>
      <w:tr w:rsidTr="00EC70D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This unit should be assessed as it relates to normal work practic</w:t>
            </w:r>
            <w:r w:rsidRPr="000D4D58">
              <w:t>e using procedures, information and resources typical of a workplace. This should include:</w:t>
            </w:r>
          </w:p>
          <w:p w:rsidR="00000000" w:rsidRPr="000D4D58" w:rsidP="000D4D58">
            <w:pPr>
              <w:pStyle w:val="BodyText"/>
            </w:pPr>
            <w:r w:rsidRPr="000D4D58">
              <w:t>OHS policy and work procedures and instructions.</w:t>
            </w:r>
          </w:p>
          <w:p w:rsidR="00000000" w:rsidRPr="000D4D58" w:rsidP="000D4D58">
            <w:pPr>
              <w:pStyle w:val="BodyText"/>
            </w:pPr>
            <w:r w:rsidRPr="000D4D58">
              <w:t>Suitable work environment, facilities, equipment and materials to undertake actual work as prescribed by this unit.</w:t>
            </w:r>
          </w:p>
          <w:p w:rsidR="00000000" w:rsidRPr="000D4D58" w:rsidP="000D4D58">
            <w:pPr>
              <w:pStyle w:val="BodyText"/>
            </w:pPr>
            <w:r w:rsidRPr="000D4D58">
              <w:t>These should be part of the formal learning/assessment environment.</w:t>
            </w:r>
          </w:p>
          <w:p w:rsidR="00000000" w:rsidRPr="000D4D58" w:rsidP="000D4D58">
            <w:pPr>
              <w:pStyle w:val="BodyText"/>
            </w:pPr>
            <w:r w:rsidRPr="000D4D58">
              <w:t>Note:</w:t>
            </w:r>
          </w:p>
          <w:p w:rsidR="00000000" w:rsidRPr="000D4D58" w:rsidP="000D4D58">
            <w:pPr>
              <w:pStyle w:val="BodyText"/>
            </w:pPr>
            <w:r w:rsidRPr="000D4D58">
              <w:t>Where simulation is considered a suitable strategy for assessment, conditions must be authentic and as far as possible reproduce and replicate the workplace and be consistent with th</w:t>
            </w:r>
            <w:r w:rsidRPr="000D4D58">
              <w:t>e approved industry simulation policy.</w:t>
            </w:r>
          </w:p>
          <w:p w:rsidR="00000000" w:rsidRPr="000D4D58" w:rsidP="000D4D58">
            <w:pPr>
              <w:pStyle w:val="BodyText"/>
            </w:pPr>
            <w:r w:rsidRPr="000D4D58">
              <w:t>Dealing with unplanned events by drawing on essential knowledge and skills to provide appropriate solutions incorporated in the holistic assessment with the above listed items.</w:t>
            </w:r>
          </w:p>
          <w:p w:rsidR="00000000" w:rsidRPr="000D4D58" w:rsidP="000D4D58">
            <w:pPr>
              <w:pStyle w:val="BodyText"/>
            </w:pPr>
            <w:r w:rsidRPr="000D4D58">
              <w:t>The resources used for assessment should</w:t>
            </w:r>
            <w:r w:rsidRPr="000D4D58">
              <w:t xml:space="preserve"> reflect current industry practices in relation to carrying out electrical field testing and report findings.</w:t>
            </w:r>
          </w:p>
        </w:tc>
      </w:tr>
    </w:tbl>
    <w:p w:rsidR="00000000" w:rsidRPr="000D4D58" w:rsidP="000D4D58">
      <w:pPr>
        <w:pStyle w:val="BodyText"/>
      </w:pPr>
    </w:p>
    <w:tbl>
      <w:tblPr>
        <w:tblW w:w="0" w:type="auto"/>
        <w:tblLayout w:type="fixed"/>
        <w:tblCellMar>
          <w:left w:w="62" w:type="dxa"/>
          <w:right w:w="62" w:type="dxa"/>
        </w:tblCellMar>
        <w:tblLook w:val="0000"/>
      </w:tblPr>
      <w:tblGrid>
        <w:gridCol w:w="1890"/>
        <w:gridCol w:w="6570"/>
      </w:tblGrid>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9.4)</w:t>
            </w:r>
          </w:p>
        </w:tc>
      </w:tr>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This unit shall be assessed by methods given in Volume 1, Part 3 ‘Assessment Guidelines’.</w:t>
            </w:r>
          </w:p>
          <w:p w:rsidR="00000000" w:rsidRPr="000D4D58" w:rsidP="000D4D58">
            <w:pPr>
              <w:pStyle w:val="BodyText"/>
            </w:pPr>
            <w:r w:rsidRPr="000D4D58">
              <w:t xml:space="preserve">Note: </w:t>
            </w:r>
          </w:p>
          <w:p w:rsidR="00000000" w:rsidRPr="000D4D58" w:rsidP="000D4D58">
            <w:pPr>
              <w:pStyle w:val="BodyText"/>
            </w:pPr>
            <w:r w:rsidRPr="000D4D58">
              <w:t>Competent performan</w:t>
            </w:r>
            <w:r w:rsidRPr="000D4D58">
              <w:t>ce with inherent safe working practices is expected in the industry to which this unit applies. This requires assessment in a structured environment which is primarily intended for learning/assessment and incorporates all necessary equipment and facilities</w:t>
            </w:r>
            <w:r w:rsidRPr="000D4D58">
              <w:t xml:space="preserve"> for learners to develop and demonstrate the essential knowledge and skills described in this unit.</w:t>
            </w:r>
          </w:p>
        </w:tc>
      </w:tr>
    </w:tbl>
    <w:p w:rsidR="00000000" w:rsidRPr="000D4D58" w:rsidP="000D4D58">
      <w:pPr>
        <w:pStyle w:val="BodyText"/>
      </w:pPr>
    </w:p>
    <w:tbl>
      <w:tblPr>
        <w:tblW w:w="0" w:type="auto"/>
        <w:tblLayout w:type="fixed"/>
        <w:tblCellMar>
          <w:left w:w="62" w:type="dxa"/>
          <w:right w:w="62" w:type="dxa"/>
        </w:tblCellMar>
        <w:tblLook w:val="0000"/>
      </w:tblPr>
      <w:tblGrid>
        <w:gridCol w:w="1890"/>
        <w:gridCol w:w="6570"/>
      </w:tblGrid>
      <w:tr w:rsidTr="00EC70D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9.5)</w:t>
            </w:r>
          </w:p>
        </w:tc>
      </w:tr>
      <w:tr w:rsidTr="00EC70DF">
        <w:tblPrEx>
          <w:tblW w:w="0" w:type="auto"/>
          <w:tblLayout w:type="fixed"/>
          <w:tblCellMar>
            <w:left w:w="62" w:type="dxa"/>
            <w:right w:w="62" w:type="dxa"/>
          </w:tblCellMar>
          <w:tblLook w:val="0000"/>
        </w:tblPrEx>
        <w:trPr>
          <w:trHeight w:val="123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There are no concurrent assessment recommendations for this unit.</w:t>
            </w:r>
          </w:p>
          <w:p w:rsidR="00000000" w:rsidRPr="000D4D58" w:rsidP="000D4D58">
            <w:pPr>
              <w:pStyle w:val="BodyText"/>
            </w:pPr>
            <w:r w:rsidRPr="000D4D58">
              <w:t>The critical aspects of occupational health and safety covered in unit UEENEEE101A and other discipline specific occupational health and safety units shall be incorporated in relation to this unit.</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11" w:name="O_585571"/>
      <w:bookmarkEnd w:id="11"/>
      <w:r w:rsidRPr="000D4D58">
        <w:t>Range Statement</w:t>
      </w:r>
    </w:p>
    <w:tbl>
      <w:tblPr>
        <w:tblW w:w="0" w:type="auto"/>
        <w:tblLayout w:type="fixed"/>
        <w:tblCellMar>
          <w:left w:w="62" w:type="dxa"/>
          <w:right w:w="62" w:type="dxa"/>
        </w:tblCellMar>
        <w:tblLook w:val="0000"/>
      </w:tblPr>
      <w:tblGrid>
        <w:gridCol w:w="8460"/>
      </w:tblGrid>
      <w:tr w:rsidTr="00EC70D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RANGE STATEMENT</w:t>
            </w:r>
          </w:p>
        </w:tc>
      </w:tr>
      <w:tr w:rsidTr="00EC70D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 xml:space="preserve">10) </w:t>
            </w:r>
            <w:r w:rsidRPr="000D4D58">
              <w:t>This relates to the unit as a whole providing the range of contexts and conditions to which the performance criteria apply. It allows for different work environments and situations that will affect performance.</w:t>
            </w:r>
          </w:p>
          <w:p w:rsidR="00000000" w:rsidRPr="000D4D58" w:rsidP="000D4D58">
            <w:pPr>
              <w:pStyle w:val="BodyText"/>
            </w:pPr>
            <w:r w:rsidRPr="000D4D58">
              <w:t>This unit shall be demonstrated in relation t</w:t>
            </w:r>
            <w:r w:rsidRPr="000D4D58">
              <w:t>o carrying out and reporting findings of electrical field tests for the purpose of:</w:t>
            </w:r>
          </w:p>
          <w:p w:rsidR="00000000" w:rsidRPr="000D4D58" w:rsidP="000D4D58">
            <w:pPr>
              <w:pStyle w:val="BodyText"/>
            </w:pPr>
            <w:r w:rsidRPr="000D4D58">
              <w:t>Locating faults</w:t>
            </w:r>
          </w:p>
          <w:p w:rsidR="00000000" w:rsidRPr="000D4D58" w:rsidP="000D4D58">
            <w:pPr>
              <w:pStyle w:val="BodyText"/>
            </w:pPr>
            <w:r w:rsidRPr="000D4D58">
              <w:t>Examining operating parameters</w:t>
            </w:r>
          </w:p>
          <w:p w:rsidR="00000000" w:rsidRPr="000D4D58" w:rsidP="000D4D58">
            <w:pPr>
              <w:pStyle w:val="BodyText"/>
            </w:pPr>
            <w:r w:rsidRPr="000D4D58">
              <w:t>Accessing compliance with regulations</w:t>
            </w:r>
          </w:p>
          <w:p w:rsidR="00000000" w:rsidRPr="000D4D58" w:rsidP="000D4D58">
            <w:pPr>
              <w:pStyle w:val="BodyText"/>
            </w:pPr>
            <w:r w:rsidRPr="000D4D58">
              <w:t>Evaluating quality compliance</w:t>
            </w:r>
          </w:p>
          <w:p w:rsidR="00000000" w:rsidRPr="000D4D58" w:rsidP="000D4D58">
            <w:pPr>
              <w:pStyle w:val="BodyText"/>
            </w:pPr>
            <w:r w:rsidRPr="000D4D58">
              <w:t>Note.</w:t>
            </w:r>
          </w:p>
          <w:p w:rsidR="00000000" w:rsidRPr="000D4D58" w:rsidP="000D4D58">
            <w:pPr>
              <w:pStyle w:val="BodyText"/>
            </w:pPr>
            <w:r w:rsidRPr="000D4D58">
              <w:t>Examples of tests are earth system testing includin</w:t>
            </w:r>
            <w:r w:rsidRPr="000D4D58">
              <w:t>g HV installations; Varley loop testing; earth resistance measurements in electro-medical areas; temperature rise and thermography; circuit breaker residual current testing; illumination measurements and interpretation; industrial power factor measurements</w:t>
            </w:r>
            <w:r w:rsidRPr="000D4D58">
              <w:t>; radiation leakage in microwave ovens; antennae field strength measurement</w:t>
            </w:r>
          </w:p>
          <w:p w:rsidR="00000000" w:rsidRPr="000D4D58" w:rsidP="000D4D58">
            <w:pPr>
              <w:pStyle w:val="BodyText"/>
            </w:pPr>
            <w:r w:rsidRPr="000D4D58">
              <w:t>Generic terms used throughout this Vocational Standard shall be regarded as part of the Range Statement in which competency is demonstrated. The definition of these and other terms</w:t>
            </w:r>
            <w:r w:rsidRPr="000D4D58">
              <w:t xml:space="preserve"> that apply are given in Volume 2, Part 2.1.</w:t>
            </w:r>
          </w:p>
        </w:tc>
      </w:tr>
    </w:tbl>
    <w:p w:rsidR="00000000" w:rsidRPr="000D4D58" w:rsidP="000D4D58">
      <w:pPr>
        <w:pStyle w:val="BodyText"/>
      </w:pPr>
    </w:p>
    <w:p w:rsidR="00000000" w:rsidRPr="000D4D58" w:rsidP="000D4D58">
      <w:pPr>
        <w:pStyle w:val="AllowPageBreak"/>
      </w:pPr>
    </w:p>
    <w:p w:rsidR="00000000" w:rsidRPr="000D4D58" w:rsidP="000D4D58">
      <w:pPr>
        <w:pStyle w:val="Heading1"/>
      </w:pPr>
      <w:bookmarkStart w:id="12" w:name="O_585570"/>
      <w:bookmarkEnd w:id="12"/>
      <w:r w:rsidRPr="000D4D58">
        <w:t>Unit Sector(s)</w:t>
      </w:r>
    </w:p>
    <w:p w:rsidR="00000000" w:rsidRPr="000D4D58" w:rsidP="000D4D58">
      <w:pPr>
        <w:pStyle w:val="BodyText"/>
      </w:pPr>
      <w:r w:rsidRPr="000D4D58">
        <w:t>Not applicable.</w:t>
      </w:r>
    </w:p>
    <w:p w:rsidR="00000000" w:rsidRPr="000D4D58" w:rsidP="000D4D58">
      <w:pPr>
        <w:pStyle w:val="AllowPageBreak"/>
      </w:pPr>
    </w:p>
    <w:p w:rsidR="00000000" w:rsidRPr="000D4D58" w:rsidP="000D4D58">
      <w:pPr>
        <w:pStyle w:val="Heading1"/>
      </w:pPr>
      <w:bookmarkStart w:id="13" w:name="O_585569"/>
      <w:bookmarkEnd w:id="13"/>
      <w:r w:rsidRPr="000D4D58">
        <w:t>Competency Field</w:t>
      </w:r>
    </w:p>
    <w:tbl>
      <w:tblPr>
        <w:tblW w:w="0" w:type="auto"/>
        <w:tblLayout w:type="fixed"/>
        <w:tblCellMar>
          <w:left w:w="62" w:type="dxa"/>
          <w:right w:w="62" w:type="dxa"/>
        </w:tblCellMar>
        <w:tblLook w:val="0000"/>
      </w:tblPr>
      <w:tblGrid>
        <w:gridCol w:w="2700"/>
        <w:gridCol w:w="5760"/>
      </w:tblGrid>
      <w:tr w:rsidTr="00EC70D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D4D58">
            <w:pPr>
              <w:pStyle w:val="BodyText"/>
              <w:rPr>
                <w:lang w:val="en-NZ"/>
              </w:rPr>
            </w:pPr>
            <w:r w:rsidRPr="000D4D58">
              <w:rPr>
                <w:rStyle w:val="SpecialBold"/>
              </w:rPr>
              <w:t xml:space="preserve">11) </w:t>
            </w:r>
          </w:p>
        </w:tc>
      </w:tr>
      <w:tr w:rsidTr="00EC70D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4D58" w:rsidP="000D4D58">
            <w:pPr>
              <w:pStyle w:val="BodyText"/>
            </w:pPr>
            <w:r w:rsidRPr="000D4D58">
              <w:t>Electrical</w:t>
            </w:r>
          </w:p>
        </w:tc>
      </w:tr>
    </w:tbl>
    <w:p w:rsidR="00000000" w:rsidRPr="000D4D58" w:rsidP="000D4D58">
      <w:pPr>
        <w:pStyle w:val="BodyText"/>
      </w:pPr>
    </w:p>
    <w:p w:rsidR="00000000" w:rsidRPr="000D4D58" w:rsidP="000D4D58"/>
    <w:sectPr w:rsidSect="000D4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58" w:rsidRPr="00EC70DF" w:rsidP="00EC7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DF" w:rsidP="000D4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70DF" w:rsidP="000D4D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C70DF" w:rsidP="000D4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58" w:rsidRPr="00EC70DF" w:rsidP="00EC70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DF" w:rsidRPr="002D2AF8" w:rsidP="000D4D58">
    <w:pPr>
      <w:pStyle w:val="Header"/>
      <w:framePr w:wrap="around"/>
    </w:pPr>
    <w:r>
      <w:fldChar w:fldCharType="begin"/>
    </w:r>
    <w:r>
      <w:instrText xml:space="preserve"> TITLE   \* MERGEFORMAT </w:instrText>
    </w:r>
    <w:r>
      <w:fldChar w:fldCharType="separate"/>
    </w:r>
    <w:r>
      <w:t>UEENEEG132A Carry out low voltage electrical field testing and report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C70DF" w:rsidP="000D4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45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29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8D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D58"/>
    <w:pPr>
      <w:spacing w:before="360" w:after="60"/>
      <w:outlineLvl w:val="0"/>
    </w:pPr>
    <w:rPr>
      <w:sz w:val="32"/>
    </w:rPr>
  </w:style>
  <w:style w:type="paragraph" w:styleId="Heading2">
    <w:name w:val="heading 2"/>
    <w:basedOn w:val="HeadingBase"/>
    <w:next w:val="BodyText"/>
    <w:link w:val="Heading2Char"/>
    <w:qFormat/>
    <w:rsid w:val="000D4D58"/>
    <w:pPr>
      <w:keepLines/>
      <w:spacing w:before="240" w:after="120"/>
      <w:outlineLvl w:val="1"/>
    </w:pPr>
    <w:rPr>
      <w:sz w:val="28"/>
      <w:szCs w:val="40"/>
    </w:rPr>
  </w:style>
  <w:style w:type="paragraph" w:styleId="Heading3">
    <w:name w:val="heading 3"/>
    <w:basedOn w:val="HeadingBase"/>
    <w:next w:val="BodyText"/>
    <w:link w:val="Heading3Char"/>
    <w:qFormat/>
    <w:rsid w:val="000D4D58"/>
    <w:pPr>
      <w:spacing w:before="180" w:after="120"/>
      <w:outlineLvl w:val="2"/>
    </w:pPr>
    <w:rPr>
      <w:spacing w:val="-10"/>
      <w:kern w:val="32"/>
    </w:rPr>
  </w:style>
  <w:style w:type="paragraph" w:styleId="Heading4">
    <w:name w:val="heading 4"/>
    <w:basedOn w:val="HeadingBase"/>
    <w:next w:val="BodyText"/>
    <w:link w:val="Heading4Char"/>
    <w:qFormat/>
    <w:rsid w:val="000D4D58"/>
    <w:pPr>
      <w:spacing w:before="160" w:after="120"/>
      <w:outlineLvl w:val="3"/>
    </w:pPr>
    <w:rPr>
      <w:sz w:val="22"/>
    </w:rPr>
  </w:style>
  <w:style w:type="paragraph" w:styleId="Heading5">
    <w:name w:val="heading 5"/>
    <w:basedOn w:val="HeadingBase"/>
    <w:next w:val="Normal"/>
    <w:link w:val="Heading5Char"/>
    <w:qFormat/>
    <w:rsid w:val="000D4D58"/>
    <w:pPr>
      <w:spacing w:before="80"/>
      <w:outlineLvl w:val="4"/>
    </w:pPr>
    <w:rPr>
      <w:color w:val="918585"/>
      <w:sz w:val="20"/>
    </w:rPr>
  </w:style>
  <w:style w:type="paragraph" w:styleId="Heading6">
    <w:name w:val="heading 6"/>
    <w:basedOn w:val="HeadingBase"/>
    <w:next w:val="Normal"/>
    <w:link w:val="Heading6Char"/>
    <w:qFormat/>
    <w:rsid w:val="000D4D58"/>
    <w:pPr>
      <w:spacing w:before="60"/>
      <w:outlineLvl w:val="5"/>
    </w:pPr>
    <w:rPr>
      <w:color w:val="918585"/>
      <w:sz w:val="20"/>
    </w:rPr>
  </w:style>
  <w:style w:type="paragraph" w:styleId="Heading7">
    <w:name w:val="heading 7"/>
    <w:basedOn w:val="Normal"/>
    <w:next w:val="Normal"/>
    <w:link w:val="Heading7Char"/>
    <w:qFormat/>
    <w:rsid w:val="000D4D58"/>
    <w:pPr>
      <w:ind w:left="720"/>
      <w:outlineLvl w:val="6"/>
    </w:pPr>
    <w:rPr>
      <w:i/>
    </w:rPr>
  </w:style>
  <w:style w:type="paragraph" w:styleId="Heading8">
    <w:name w:val="heading 8"/>
    <w:basedOn w:val="Normal"/>
    <w:next w:val="Normal"/>
    <w:link w:val="Heading8Char"/>
    <w:qFormat/>
    <w:rsid w:val="000D4D58"/>
    <w:pPr>
      <w:ind w:left="720"/>
      <w:outlineLvl w:val="7"/>
    </w:pPr>
    <w:rPr>
      <w:i/>
    </w:rPr>
  </w:style>
  <w:style w:type="paragraph" w:styleId="Heading9">
    <w:name w:val="heading 9"/>
    <w:basedOn w:val="Normal"/>
    <w:next w:val="Normal"/>
    <w:link w:val="Heading9Char"/>
    <w:qFormat/>
    <w:rsid w:val="000D4D58"/>
    <w:pPr>
      <w:ind w:left="720"/>
      <w:outlineLvl w:val="8"/>
    </w:pPr>
    <w:rPr>
      <w:i/>
    </w:rPr>
  </w:style>
  <w:style w:type="character" w:default="1" w:styleId="DefaultParagraphFont">
    <w:name w:val="Default Paragraph Font"/>
    <w:uiPriority w:val="1"/>
    <w:unhideWhenUsed/>
    <w:rsid w:val="000D4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D58"/>
  </w:style>
  <w:style w:type="character" w:customStyle="1" w:styleId="Heading1Char">
    <w:name w:val="Heading 1 Char"/>
    <w:basedOn w:val="DefaultParagraphFont"/>
    <w:link w:val="Heading1"/>
    <w:rsid w:val="000D4D58"/>
    <w:rPr>
      <w:rFonts w:ascii="Times New Roman" w:eastAsia="Times New Roman" w:hAnsi="Times New Roman" w:cs="Times New Roman"/>
      <w:b/>
      <w:sz w:val="32"/>
      <w:szCs w:val="20"/>
      <w:lang w:eastAsia="en-US"/>
    </w:rPr>
  </w:style>
  <w:style w:type="paragraph" w:styleId="BodyText">
    <w:name w:val="Body Text"/>
    <w:basedOn w:val="Normal"/>
    <w:link w:val="BodyTextChar"/>
    <w:rsid w:val="000D4D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D58"/>
    <w:rPr>
      <w:rFonts w:ascii="Times New Roman" w:eastAsia="Times New Roman" w:hAnsi="Times New Roman" w:cs="Times New Roman"/>
      <w:sz w:val="24"/>
      <w:lang w:eastAsia="en-US"/>
    </w:rPr>
  </w:style>
  <w:style w:type="paragraph" w:styleId="ListBullet">
    <w:name w:val="List Bullet"/>
    <w:basedOn w:val="List"/>
    <w:rsid w:val="000D4D58"/>
    <w:pPr>
      <w:numPr>
        <w:numId w:val="13"/>
      </w:numPr>
      <w:tabs>
        <w:tab w:val="clear" w:pos="340"/>
      </w:tabs>
      <w:spacing w:before="40" w:after="40"/>
    </w:pPr>
  </w:style>
  <w:style w:type="character" w:customStyle="1" w:styleId="SpecialBold">
    <w:name w:val="Special Bold"/>
    <w:basedOn w:val="DefaultParagraphFont"/>
    <w:rsid w:val="000D4D58"/>
    <w:rPr>
      <w:b/>
      <w:spacing w:val="0"/>
    </w:rPr>
  </w:style>
  <w:style w:type="paragraph" w:styleId="ListBullet2">
    <w:name w:val="List Bullet 2"/>
    <w:basedOn w:val="List2"/>
    <w:rsid w:val="000D4D58"/>
    <w:pPr>
      <w:numPr>
        <w:numId w:val="14"/>
      </w:numPr>
      <w:tabs>
        <w:tab w:val="clear" w:pos="680"/>
      </w:tabs>
    </w:pPr>
  </w:style>
  <w:style w:type="paragraph" w:customStyle="1" w:styleId="SuperHeading">
    <w:name w:val="SuperHeading"/>
    <w:basedOn w:val="Normal"/>
    <w:rsid w:val="000D4D58"/>
    <w:pPr>
      <w:spacing w:before="240" w:after="120"/>
      <w:outlineLvl w:val="0"/>
    </w:pPr>
    <w:rPr>
      <w:rFonts w:ascii="Times New Roman" w:hAnsi="Times New Roman"/>
      <w:b/>
      <w:sz w:val="32"/>
    </w:rPr>
  </w:style>
  <w:style w:type="paragraph" w:customStyle="1" w:styleId="AllowPageBreak">
    <w:name w:val="AllowPageBreak"/>
    <w:rsid w:val="000D4D58"/>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D4D58"/>
    <w:pPr>
      <w:ind w:firstLine="0"/>
    </w:pPr>
  </w:style>
  <w:style w:type="character" w:customStyle="1" w:styleId="Heading2Char">
    <w:name w:val="Heading 2 Char"/>
    <w:basedOn w:val="DefaultParagraphFont"/>
    <w:link w:val="Heading2"/>
    <w:rsid w:val="000D4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D58"/>
    <w:rPr>
      <w:rFonts w:ascii="Courier New" w:eastAsia="Times New Roman" w:hAnsi="Courier New" w:cs="Times New Roman"/>
      <w:i/>
      <w:szCs w:val="20"/>
      <w:lang w:eastAsia="en-US"/>
    </w:rPr>
  </w:style>
  <w:style w:type="paragraph" w:customStyle="1" w:styleId="HeadingBase">
    <w:name w:val="Heading Base"/>
    <w:rsid w:val="000D4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D58"/>
    <w:pPr>
      <w:tabs>
        <w:tab w:val="right" w:leader="dot" w:pos="9072"/>
      </w:tabs>
      <w:ind w:left="567"/>
    </w:pPr>
    <w:rPr>
      <w:szCs w:val="22"/>
    </w:rPr>
  </w:style>
  <w:style w:type="paragraph" w:customStyle="1" w:styleId="TOCBase">
    <w:name w:val="TOC Base"/>
    <w:rsid w:val="000D4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D58"/>
    <w:pPr>
      <w:tabs>
        <w:tab w:val="right" w:leader="dot" w:pos="9072"/>
      </w:tabs>
      <w:spacing w:before="40" w:after="40"/>
      <w:ind w:left="284"/>
    </w:pPr>
    <w:rPr>
      <w:rFonts w:ascii="Times New Roman" w:hAnsi="Times New Roman"/>
    </w:rPr>
  </w:style>
  <w:style w:type="paragraph" w:styleId="TOC1">
    <w:name w:val="toc 1"/>
    <w:basedOn w:val="TOCBase"/>
    <w:next w:val="Normal"/>
    <w:rsid w:val="000D4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D58"/>
    <w:rPr>
      <w:rFonts w:ascii="Times New Roman" w:eastAsia="Times New Roman" w:hAnsi="Times New Roman" w:cs="Times New Roman"/>
      <w:sz w:val="16"/>
      <w:lang w:eastAsia="en-US"/>
    </w:rPr>
  </w:style>
  <w:style w:type="paragraph" w:styleId="Title">
    <w:name w:val="Title"/>
    <w:basedOn w:val="HeadingBase"/>
    <w:link w:val="TitleChar"/>
    <w:qFormat/>
    <w:rsid w:val="000D4D58"/>
    <w:pPr>
      <w:spacing w:before="5040"/>
      <w:jc w:val="center"/>
    </w:pPr>
    <w:rPr>
      <w:sz w:val="48"/>
      <w:szCs w:val="72"/>
      <w:lang w:val="en-US"/>
    </w:rPr>
  </w:style>
  <w:style w:type="character" w:customStyle="1" w:styleId="TitleChar">
    <w:name w:val="Title Char"/>
    <w:basedOn w:val="DefaultParagraphFont"/>
    <w:link w:val="Title"/>
    <w:rsid w:val="000D4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D58"/>
    <w:pPr>
      <w:tabs>
        <w:tab w:val="left" w:pos="3600"/>
        <w:tab w:val="left" w:pos="3958"/>
      </w:tabs>
    </w:pPr>
  </w:style>
  <w:style w:type="paragraph" w:styleId="List">
    <w:name w:val="List"/>
    <w:basedOn w:val="BodyText"/>
    <w:next w:val="BodyText"/>
    <w:rsid w:val="000D4D58"/>
    <w:pPr>
      <w:tabs>
        <w:tab w:val="left" w:pos="340"/>
      </w:tabs>
      <w:spacing w:before="60" w:after="60"/>
      <w:ind w:left="340" w:hanging="340"/>
    </w:pPr>
  </w:style>
  <w:style w:type="paragraph" w:customStyle="1" w:styleId="Note">
    <w:name w:val="Note"/>
    <w:basedOn w:val="BodyText"/>
    <w:rsid w:val="000D4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D58"/>
    <w:pPr>
      <w:framePr w:wrap="auto" w:hAnchor="text" w:y="6049"/>
    </w:pPr>
    <w:rPr>
      <w:color w:val="000000"/>
      <w:sz w:val="40"/>
    </w:rPr>
  </w:style>
  <w:style w:type="paragraph" w:customStyle="1" w:styleId="TOCTitle">
    <w:name w:val="TOCTitle"/>
    <w:basedOn w:val="Heading1"/>
    <w:rsid w:val="000D4D58"/>
    <w:pPr>
      <w:spacing w:after="240"/>
      <w:jc w:val="center"/>
      <w:outlineLvl w:val="9"/>
    </w:pPr>
    <w:rPr>
      <w:caps/>
    </w:rPr>
  </w:style>
  <w:style w:type="paragraph" w:customStyle="1" w:styleId="Version">
    <w:name w:val="Version"/>
    <w:rsid w:val="000D4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D58"/>
    <w:pPr>
      <w:keepNext w:val="0"/>
      <w:tabs>
        <w:tab w:val="right" w:pos="4176"/>
      </w:tabs>
      <w:ind w:left="198" w:hanging="198"/>
    </w:pPr>
    <w:rPr>
      <w:rFonts w:ascii="Garamond" w:hAnsi="Garamond"/>
    </w:rPr>
  </w:style>
  <w:style w:type="paragraph" w:styleId="IndexHeading">
    <w:name w:val="index heading"/>
    <w:basedOn w:val="Normal"/>
    <w:next w:val="Index1"/>
    <w:semiHidden/>
    <w:rsid w:val="000D4D58"/>
    <w:pPr>
      <w:spacing w:before="120" w:after="120"/>
    </w:pPr>
    <w:rPr>
      <w:rFonts w:ascii="Arial" w:hAnsi="Arial"/>
      <w:b/>
      <w:color w:val="918585"/>
      <w:sz w:val="24"/>
    </w:rPr>
  </w:style>
  <w:style w:type="paragraph" w:styleId="Header">
    <w:name w:val="header"/>
    <w:basedOn w:val="Normal"/>
    <w:link w:val="HeaderChar"/>
    <w:rsid w:val="000D4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D58"/>
    <w:rPr>
      <w:rFonts w:ascii="Times New Roman" w:eastAsia="Times New Roman" w:hAnsi="Times New Roman" w:cs="Times New Roman"/>
      <w:sz w:val="16"/>
      <w:szCs w:val="20"/>
      <w:lang w:val="en-GB" w:eastAsia="en-US"/>
    </w:rPr>
  </w:style>
  <w:style w:type="paragraph" w:customStyle="1" w:styleId="Chapter">
    <w:name w:val="Chapter"/>
    <w:basedOn w:val="Normal"/>
    <w:rsid w:val="000D4D58"/>
    <w:pPr>
      <w:spacing w:before="240"/>
    </w:pPr>
    <w:rPr>
      <w:rFonts w:ascii="Times New Roman" w:hAnsi="Times New Roman"/>
      <w:smallCaps/>
      <w:spacing w:val="80"/>
      <w:sz w:val="28"/>
    </w:rPr>
  </w:style>
  <w:style w:type="paragraph" w:customStyle="1" w:styleId="InChapter">
    <w:name w:val="InChapter"/>
    <w:basedOn w:val="Heading3"/>
    <w:rsid w:val="000D4D58"/>
    <w:pPr>
      <w:spacing w:after="240"/>
      <w:outlineLvl w:val="9"/>
    </w:pPr>
    <w:rPr>
      <w:noProof/>
    </w:rPr>
  </w:style>
  <w:style w:type="paragraph" w:styleId="Index2">
    <w:name w:val="index 2"/>
    <w:basedOn w:val="Normal"/>
    <w:next w:val="Normal"/>
    <w:semiHidden/>
    <w:rsid w:val="000D4D58"/>
    <w:pPr>
      <w:tabs>
        <w:tab w:val="right" w:pos="4176"/>
      </w:tabs>
      <w:ind w:left="568" w:hanging="284"/>
    </w:pPr>
    <w:rPr>
      <w:rFonts w:ascii="Garamond" w:hAnsi="Garamond"/>
    </w:rPr>
  </w:style>
  <w:style w:type="paragraph" w:customStyle="1" w:styleId="Byline">
    <w:name w:val="Byline"/>
    <w:rsid w:val="000D4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D58"/>
    <w:pPr>
      <w:tabs>
        <w:tab w:val="clear" w:pos="3600"/>
        <w:tab w:val="clear" w:pos="3958"/>
      </w:tabs>
      <w:jc w:val="right"/>
    </w:pPr>
  </w:style>
  <w:style w:type="character" w:styleId="Emphasis">
    <w:name w:val="Emphasis"/>
    <w:basedOn w:val="DefaultParagraphFont"/>
    <w:qFormat/>
    <w:rsid w:val="000D4D58"/>
    <w:rPr>
      <w:i/>
    </w:rPr>
  </w:style>
  <w:style w:type="paragraph" w:styleId="Caption">
    <w:name w:val="caption"/>
    <w:basedOn w:val="BodyText"/>
    <w:next w:val="Normal"/>
    <w:qFormat/>
    <w:rsid w:val="000D4D58"/>
    <w:pPr>
      <w:framePr w:w="2268" w:hSpace="181" w:vSpace="181" w:wrap="around" w:vAnchor="text" w:hAnchor="page" w:x="1135" w:y="285" w:anchorLock="1"/>
    </w:pPr>
    <w:rPr>
      <w:i/>
    </w:rPr>
  </w:style>
  <w:style w:type="paragraph" w:customStyle="1" w:styleId="MiniTOCTitle">
    <w:name w:val="MiniTOCTitle"/>
    <w:basedOn w:val="Heading4"/>
    <w:rsid w:val="000D4D58"/>
    <w:pPr>
      <w:spacing w:before="240"/>
      <w:outlineLvl w:val="9"/>
    </w:pPr>
    <w:rPr>
      <w:noProof/>
      <w:sz w:val="24"/>
    </w:rPr>
  </w:style>
  <w:style w:type="paragraph" w:customStyle="1" w:styleId="MiniTOCItem">
    <w:name w:val="MiniTOCItem"/>
    <w:basedOn w:val="ListBullet"/>
    <w:rsid w:val="000D4D58"/>
    <w:pPr>
      <w:numPr>
        <w:numId w:val="0"/>
      </w:numPr>
      <w:tabs>
        <w:tab w:val="right" w:leader="dot" w:pos="6521"/>
      </w:tabs>
      <w:spacing w:before="0" w:after="0"/>
    </w:pPr>
  </w:style>
  <w:style w:type="paragraph" w:customStyle="1" w:styleId="TOFTitle">
    <w:name w:val="TOFTitle"/>
    <w:basedOn w:val="TOCTitle"/>
    <w:rsid w:val="000D4D58"/>
  </w:style>
  <w:style w:type="paragraph" w:styleId="TableofFigures">
    <w:name w:val="table of figures"/>
    <w:basedOn w:val="Normal"/>
    <w:next w:val="Normal"/>
    <w:semiHidden/>
    <w:rsid w:val="000D4D58"/>
    <w:pPr>
      <w:tabs>
        <w:tab w:val="right" w:leader="dot" w:pos="9072"/>
      </w:tabs>
      <w:ind w:left="970" w:hanging="403"/>
    </w:pPr>
    <w:rPr>
      <w:rFonts w:ascii="Times New Roman" w:hAnsi="Times New Roman"/>
      <w:b/>
    </w:rPr>
  </w:style>
  <w:style w:type="paragraph" w:styleId="ListNumber">
    <w:name w:val="List Number"/>
    <w:basedOn w:val="List"/>
    <w:rsid w:val="000D4D58"/>
    <w:pPr>
      <w:numPr>
        <w:numId w:val="11"/>
      </w:numPr>
    </w:pPr>
  </w:style>
  <w:style w:type="character" w:customStyle="1" w:styleId="WingdingSymbols">
    <w:name w:val="Wingding Symbols"/>
    <w:rsid w:val="000D4D58"/>
    <w:rPr>
      <w:rFonts w:ascii="Wingdings" w:hAnsi="Wingdings"/>
    </w:rPr>
  </w:style>
  <w:style w:type="paragraph" w:customStyle="1" w:styleId="TableHeading">
    <w:name w:val="Table Heading"/>
    <w:basedOn w:val="HeadingBase"/>
    <w:rsid w:val="000D4D58"/>
    <w:pPr>
      <w:keepLines/>
      <w:pBdr>
        <w:bottom w:val="single" w:sz="6" w:space="1" w:color="918585"/>
      </w:pBdr>
      <w:spacing w:before="240"/>
    </w:pPr>
  </w:style>
  <w:style w:type="character" w:customStyle="1" w:styleId="HotSpot">
    <w:name w:val="HotSpot"/>
    <w:rsid w:val="000D4D58"/>
    <w:rPr>
      <w:color w:val="0033CC"/>
      <w:u w:val="none"/>
    </w:rPr>
  </w:style>
  <w:style w:type="paragraph" w:customStyle="1" w:styleId="BodyTextRight">
    <w:name w:val="Body Text Right"/>
    <w:basedOn w:val="BodyText"/>
    <w:rsid w:val="000D4D58"/>
    <w:pPr>
      <w:spacing w:before="0" w:after="0"/>
      <w:jc w:val="right"/>
    </w:pPr>
  </w:style>
  <w:style w:type="paragraph" w:styleId="Index3">
    <w:name w:val="index 3"/>
    <w:basedOn w:val="ListNumber2"/>
    <w:next w:val="Normal"/>
    <w:semiHidden/>
    <w:rsid w:val="000D4D58"/>
    <w:pPr>
      <w:numPr>
        <w:numId w:val="0"/>
      </w:numPr>
      <w:tabs>
        <w:tab w:val="right" w:leader="dot" w:pos="4176"/>
      </w:tabs>
    </w:pPr>
  </w:style>
  <w:style w:type="paragraph" w:styleId="ListNumber2">
    <w:name w:val="List Number 2"/>
    <w:basedOn w:val="List2"/>
    <w:rsid w:val="000D4D58"/>
    <w:pPr>
      <w:numPr>
        <w:numId w:val="10"/>
      </w:numPr>
      <w:tabs>
        <w:tab w:val="clear" w:pos="1060"/>
      </w:tabs>
    </w:pPr>
  </w:style>
  <w:style w:type="paragraph" w:customStyle="1" w:styleId="MarginNote">
    <w:name w:val="Margin Note"/>
    <w:basedOn w:val="BodyText"/>
    <w:rsid w:val="000D4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D58"/>
    <w:rPr>
      <w:sz w:val="32"/>
    </w:rPr>
  </w:style>
  <w:style w:type="paragraph" w:customStyle="1" w:styleId="HeadingProcedure">
    <w:name w:val="Heading Procedure"/>
    <w:basedOn w:val="HeadingBase"/>
    <w:next w:val="Normal"/>
    <w:rsid w:val="000D4D58"/>
    <w:pPr>
      <w:tabs>
        <w:tab w:val="left" w:pos="0"/>
      </w:tabs>
      <w:spacing w:before="120" w:after="60"/>
    </w:pPr>
    <w:rPr>
      <w:i/>
      <w:color w:val="918585"/>
      <w:sz w:val="22"/>
    </w:rPr>
  </w:style>
  <w:style w:type="paragraph" w:customStyle="1" w:styleId="TableBodyText">
    <w:name w:val="Table Body Text"/>
    <w:basedOn w:val="BodyText"/>
    <w:rsid w:val="000D4D58"/>
    <w:pPr>
      <w:spacing w:before="60" w:after="60"/>
    </w:pPr>
  </w:style>
  <w:style w:type="paragraph" w:customStyle="1" w:styleId="ListNote">
    <w:name w:val="List Note"/>
    <w:basedOn w:val="List"/>
    <w:rsid w:val="000D4D58"/>
    <w:pPr>
      <w:pBdr>
        <w:top w:val="single" w:sz="6" w:space="2" w:color="918585"/>
        <w:bottom w:val="single" w:sz="6" w:space="2" w:color="918585"/>
      </w:pBdr>
      <w:tabs>
        <w:tab w:val="left" w:pos="1021"/>
      </w:tabs>
      <w:ind w:firstLine="0"/>
    </w:pPr>
  </w:style>
  <w:style w:type="paragraph" w:customStyle="1" w:styleId="Warning">
    <w:name w:val="Warning"/>
    <w:basedOn w:val="BodyText"/>
    <w:rsid w:val="000D4D58"/>
    <w:pPr>
      <w:shd w:val="clear" w:color="auto" w:fill="D9D9D9"/>
      <w:tabs>
        <w:tab w:val="left" w:pos="992"/>
      </w:tabs>
      <w:ind w:left="119" w:right="119"/>
    </w:pPr>
    <w:rPr>
      <w:sz w:val="20"/>
    </w:rPr>
  </w:style>
  <w:style w:type="paragraph" w:customStyle="1" w:styleId="MarginIcons">
    <w:name w:val="Margin Icons"/>
    <w:basedOn w:val="BodyText"/>
    <w:rsid w:val="000D4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D58"/>
    <w:rPr>
      <w:rFonts w:ascii="Courier New" w:hAnsi="Courier New"/>
    </w:rPr>
  </w:style>
  <w:style w:type="paragraph" w:customStyle="1" w:styleId="NoteBullet">
    <w:name w:val="Note Bullet"/>
    <w:basedOn w:val="Note"/>
    <w:rsid w:val="000D4D58"/>
    <w:pPr>
      <w:tabs>
        <w:tab w:val="clear" w:pos="680"/>
      </w:tabs>
      <w:spacing w:before="60" w:after="60"/>
    </w:pPr>
  </w:style>
  <w:style w:type="paragraph" w:customStyle="1" w:styleId="SubHeading2">
    <w:name w:val="SubHeading2"/>
    <w:basedOn w:val="HeadingBase"/>
    <w:rsid w:val="000D4D58"/>
    <w:pPr>
      <w:spacing w:before="240" w:after="60"/>
    </w:pPr>
    <w:rPr>
      <w:sz w:val="20"/>
    </w:rPr>
  </w:style>
  <w:style w:type="paragraph" w:customStyle="1" w:styleId="SubHeading1">
    <w:name w:val="SubHeading1"/>
    <w:basedOn w:val="HeadingBase"/>
    <w:rsid w:val="000D4D58"/>
    <w:pPr>
      <w:spacing w:before="240" w:after="60"/>
    </w:pPr>
    <w:rPr>
      <w:color w:val="918585"/>
      <w:sz w:val="22"/>
    </w:rPr>
  </w:style>
  <w:style w:type="paragraph" w:customStyle="1" w:styleId="SideHeading">
    <w:name w:val="Side Heading"/>
    <w:basedOn w:val="HeadingBase"/>
    <w:rsid w:val="000D4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D58"/>
    <w:pPr>
      <w:numPr>
        <w:numId w:val="12"/>
      </w:numPr>
    </w:pPr>
  </w:style>
  <w:style w:type="paragraph" w:styleId="PlainText">
    <w:name w:val="Plain Text"/>
    <w:basedOn w:val="Normal"/>
    <w:link w:val="PlainTextChar"/>
    <w:rsid w:val="000D4D58"/>
    <w:rPr>
      <w:sz w:val="20"/>
    </w:rPr>
  </w:style>
  <w:style w:type="character" w:customStyle="1" w:styleId="PlainTextChar">
    <w:name w:val="Plain Text Char"/>
    <w:basedOn w:val="DefaultParagraphFont"/>
    <w:link w:val="PlainText"/>
    <w:rsid w:val="000D4D58"/>
    <w:rPr>
      <w:rFonts w:ascii="Courier New" w:eastAsia="Times New Roman" w:hAnsi="Courier New" w:cs="Times New Roman"/>
      <w:sz w:val="20"/>
      <w:szCs w:val="20"/>
      <w:lang w:eastAsia="en-US"/>
    </w:rPr>
  </w:style>
  <w:style w:type="character" w:customStyle="1" w:styleId="MenuOption">
    <w:name w:val="Menu Option"/>
    <w:basedOn w:val="DefaultParagraphFont"/>
    <w:rsid w:val="000D4D58"/>
    <w:rPr>
      <w:b/>
      <w:smallCaps/>
    </w:rPr>
  </w:style>
  <w:style w:type="paragraph" w:customStyle="1" w:styleId="TableListNumber">
    <w:name w:val="Table List Number"/>
    <w:basedOn w:val="ListNumber"/>
    <w:rsid w:val="000D4D58"/>
    <w:pPr>
      <w:numPr>
        <w:numId w:val="0"/>
      </w:numPr>
    </w:pPr>
  </w:style>
  <w:style w:type="paragraph" w:styleId="TOC4">
    <w:name w:val="toc 4"/>
    <w:basedOn w:val="TOCBase"/>
    <w:next w:val="Normal"/>
    <w:semiHidden/>
    <w:rsid w:val="000D4D58"/>
    <w:pPr>
      <w:tabs>
        <w:tab w:val="right" w:leader="dot" w:pos="9071"/>
      </w:tabs>
      <w:ind w:left="1701"/>
    </w:pPr>
  </w:style>
  <w:style w:type="paragraph" w:customStyle="1" w:styleId="ListAlpha">
    <w:name w:val="List Alpha"/>
    <w:basedOn w:val="List"/>
    <w:rsid w:val="000D4D58"/>
    <w:pPr>
      <w:numPr>
        <w:numId w:val="9"/>
      </w:numPr>
    </w:pPr>
  </w:style>
  <w:style w:type="paragraph" w:customStyle="1" w:styleId="ListAlpha2">
    <w:name w:val="List Alpha 2"/>
    <w:basedOn w:val="List2"/>
    <w:rsid w:val="000D4D58"/>
    <w:pPr>
      <w:numPr>
        <w:numId w:val="8"/>
      </w:numPr>
    </w:pPr>
  </w:style>
  <w:style w:type="paragraph" w:styleId="List2">
    <w:name w:val="List 2"/>
    <w:basedOn w:val="BodyText"/>
    <w:rsid w:val="000D4D58"/>
    <w:pPr>
      <w:tabs>
        <w:tab w:val="left" w:pos="680"/>
      </w:tabs>
      <w:spacing w:before="60" w:after="60"/>
      <w:ind w:left="680" w:hanging="340"/>
    </w:pPr>
  </w:style>
  <w:style w:type="paragraph" w:styleId="List3">
    <w:name w:val="List 3"/>
    <w:basedOn w:val="BodyText"/>
    <w:rsid w:val="000D4D58"/>
    <w:pPr>
      <w:tabs>
        <w:tab w:val="left" w:pos="1021"/>
      </w:tabs>
      <w:spacing w:before="60" w:after="60"/>
      <w:ind w:left="1020" w:hanging="340"/>
    </w:pPr>
  </w:style>
  <w:style w:type="paragraph" w:styleId="List4">
    <w:name w:val="List 4"/>
    <w:basedOn w:val="BodyText"/>
    <w:rsid w:val="000D4D58"/>
    <w:pPr>
      <w:tabs>
        <w:tab w:val="left" w:pos="1361"/>
      </w:tabs>
      <w:spacing w:before="60" w:after="60"/>
      <w:ind w:left="1361" w:hanging="340"/>
    </w:pPr>
  </w:style>
  <w:style w:type="paragraph" w:styleId="List5">
    <w:name w:val="List 5"/>
    <w:basedOn w:val="BodyText"/>
    <w:rsid w:val="000D4D58"/>
    <w:pPr>
      <w:tabs>
        <w:tab w:val="left" w:pos="1701"/>
      </w:tabs>
      <w:spacing w:before="60" w:after="60"/>
      <w:ind w:left="1701" w:hanging="340"/>
    </w:pPr>
  </w:style>
  <w:style w:type="paragraph" w:styleId="ListBullet3">
    <w:name w:val="List Bullet 3"/>
    <w:basedOn w:val="List3"/>
    <w:rsid w:val="000D4D58"/>
    <w:pPr>
      <w:numPr>
        <w:numId w:val="15"/>
      </w:numPr>
      <w:tabs>
        <w:tab w:val="clear" w:pos="1021"/>
      </w:tabs>
      <w:ind w:left="1037" w:hanging="357"/>
    </w:pPr>
  </w:style>
  <w:style w:type="paragraph" w:styleId="ListBullet4">
    <w:name w:val="List Bullet 4"/>
    <w:basedOn w:val="List4"/>
    <w:rsid w:val="000D4D58"/>
    <w:pPr>
      <w:numPr>
        <w:numId w:val="3"/>
      </w:numPr>
    </w:pPr>
  </w:style>
  <w:style w:type="paragraph" w:styleId="ListBullet5">
    <w:name w:val="List Bullet 5"/>
    <w:basedOn w:val="List5"/>
    <w:rsid w:val="000D4D58"/>
    <w:pPr>
      <w:numPr>
        <w:numId w:val="4"/>
      </w:numPr>
    </w:pPr>
  </w:style>
  <w:style w:type="paragraph" w:styleId="ListContinue2">
    <w:name w:val="List Continue 2"/>
    <w:basedOn w:val="List2"/>
    <w:rsid w:val="000D4D58"/>
    <w:pPr>
      <w:ind w:firstLine="0"/>
    </w:pPr>
  </w:style>
  <w:style w:type="paragraph" w:styleId="ListContinue3">
    <w:name w:val="List Continue 3"/>
    <w:basedOn w:val="List3"/>
    <w:rsid w:val="000D4D58"/>
    <w:pPr>
      <w:ind w:left="1021" w:firstLine="0"/>
    </w:pPr>
  </w:style>
  <w:style w:type="paragraph" w:styleId="ListContinue4">
    <w:name w:val="List Continue 4"/>
    <w:basedOn w:val="List4"/>
    <w:rsid w:val="000D4D58"/>
    <w:pPr>
      <w:ind w:firstLine="0"/>
    </w:pPr>
  </w:style>
  <w:style w:type="paragraph" w:styleId="ListContinue5">
    <w:name w:val="List Continue 5"/>
    <w:basedOn w:val="List5"/>
    <w:rsid w:val="000D4D58"/>
    <w:pPr>
      <w:ind w:firstLine="0"/>
    </w:pPr>
  </w:style>
  <w:style w:type="paragraph" w:styleId="ListNumber3">
    <w:name w:val="List Number 3"/>
    <w:basedOn w:val="List3"/>
    <w:rsid w:val="000D4D58"/>
    <w:pPr>
      <w:numPr>
        <w:numId w:val="5"/>
      </w:numPr>
    </w:pPr>
  </w:style>
  <w:style w:type="paragraph" w:styleId="ListNumber4">
    <w:name w:val="List Number 4"/>
    <w:basedOn w:val="List4"/>
    <w:rsid w:val="000D4D58"/>
    <w:pPr>
      <w:numPr>
        <w:numId w:val="6"/>
      </w:numPr>
    </w:pPr>
  </w:style>
  <w:style w:type="paragraph" w:styleId="ListNumber5">
    <w:name w:val="List Number 5"/>
    <w:basedOn w:val="List5"/>
    <w:rsid w:val="000D4D58"/>
    <w:pPr>
      <w:numPr>
        <w:numId w:val="7"/>
      </w:numPr>
    </w:pPr>
  </w:style>
  <w:style w:type="paragraph" w:styleId="BlockText">
    <w:name w:val="Block Text"/>
    <w:basedOn w:val="Normal"/>
    <w:rsid w:val="000D4D58"/>
    <w:pPr>
      <w:spacing w:after="120"/>
      <w:ind w:left="1440" w:right="1440"/>
    </w:pPr>
  </w:style>
  <w:style w:type="character" w:customStyle="1" w:styleId="Subscript">
    <w:name w:val="Subscript"/>
    <w:basedOn w:val="DefaultParagraphFont"/>
    <w:rsid w:val="000D4D58"/>
    <w:rPr>
      <w:sz w:val="16"/>
      <w:vertAlign w:val="subscript"/>
    </w:rPr>
  </w:style>
  <w:style w:type="character" w:customStyle="1" w:styleId="Superscript">
    <w:name w:val="Superscript"/>
    <w:basedOn w:val="DefaultParagraphFont"/>
    <w:rsid w:val="000D4D58"/>
    <w:rPr>
      <w:sz w:val="16"/>
      <w:vertAlign w:val="superscript"/>
    </w:rPr>
  </w:style>
  <w:style w:type="character" w:customStyle="1" w:styleId="Symbols">
    <w:name w:val="Symbols"/>
    <w:basedOn w:val="DefaultParagraphFont"/>
    <w:rsid w:val="000D4D58"/>
    <w:rPr>
      <w:rFonts w:ascii="Symbol" w:hAnsi="Symbol"/>
    </w:rPr>
  </w:style>
  <w:style w:type="character" w:customStyle="1" w:styleId="MenuOptions">
    <w:name w:val="Menu Options"/>
    <w:basedOn w:val="DefaultParagraphFont"/>
    <w:rsid w:val="000D4D58"/>
    <w:rPr>
      <w:rFonts w:ascii="Arial Narrow" w:hAnsi="Arial Narrow"/>
      <w:smallCaps/>
    </w:rPr>
  </w:style>
  <w:style w:type="character" w:customStyle="1" w:styleId="Buttons">
    <w:name w:val="Buttons"/>
    <w:basedOn w:val="DefaultParagraphFont"/>
    <w:rsid w:val="000D4D58"/>
    <w:rPr>
      <w:b/>
    </w:rPr>
  </w:style>
  <w:style w:type="character" w:customStyle="1" w:styleId="Underlined">
    <w:name w:val="Underlined"/>
    <w:basedOn w:val="DefaultParagraphFont"/>
    <w:rsid w:val="000D4D58"/>
    <w:rPr>
      <w:u w:val="single"/>
    </w:rPr>
  </w:style>
  <w:style w:type="paragraph" w:customStyle="1" w:styleId="TableBodyTextRight">
    <w:name w:val="Table Body Text Right"/>
    <w:basedOn w:val="TableBodyText"/>
    <w:rsid w:val="000D4D58"/>
    <w:pPr>
      <w:widowControl w:val="0"/>
      <w:autoSpaceDE w:val="0"/>
      <w:autoSpaceDN w:val="0"/>
      <w:adjustRightInd w:val="0"/>
      <w:jc w:val="right"/>
    </w:pPr>
    <w:rPr>
      <w:rFonts w:cs="Arial"/>
      <w:szCs w:val="18"/>
    </w:rPr>
  </w:style>
  <w:style w:type="paragraph" w:customStyle="1" w:styleId="CopyrightText">
    <w:name w:val="Copyright Text"/>
    <w:basedOn w:val="BodyText"/>
    <w:rsid w:val="000D4D58"/>
    <w:rPr>
      <w:sz w:val="18"/>
    </w:rPr>
  </w:style>
  <w:style w:type="paragraph" w:customStyle="1" w:styleId="BodySmallRight">
    <w:name w:val="Body Small Right"/>
    <w:basedOn w:val="BodyTextRight"/>
    <w:rsid w:val="000D4D58"/>
    <w:rPr>
      <w:sz w:val="18"/>
      <w:szCs w:val="18"/>
    </w:rPr>
  </w:style>
  <w:style w:type="paragraph" w:customStyle="1" w:styleId="MarginEdition">
    <w:name w:val="Margin Edition"/>
    <w:basedOn w:val="MarginNote"/>
    <w:rsid w:val="000D4D58"/>
    <w:pPr>
      <w:spacing w:before="0" w:after="0"/>
    </w:pPr>
    <w:rPr>
      <w:rFonts w:ascii="Times New Roman" w:hAnsi="Times New Roman"/>
      <w:color w:val="999999"/>
    </w:rPr>
  </w:style>
  <w:style w:type="paragraph" w:customStyle="1" w:styleId="Spacer">
    <w:name w:val="Spacer"/>
    <w:basedOn w:val="Normal"/>
    <w:rsid w:val="000D4D58"/>
    <w:rPr>
      <w:sz w:val="2"/>
      <w:szCs w:val="2"/>
    </w:rPr>
  </w:style>
  <w:style w:type="character" w:customStyle="1" w:styleId="Small">
    <w:name w:val="Small"/>
    <w:basedOn w:val="DefaultParagraphFont"/>
    <w:rsid w:val="000D4D58"/>
    <w:rPr>
      <w:sz w:val="16"/>
    </w:rPr>
  </w:style>
  <w:style w:type="paragraph" w:customStyle="1" w:styleId="WideTable">
    <w:name w:val="Wide Table"/>
    <w:basedOn w:val="Normal"/>
    <w:rsid w:val="000D4D58"/>
    <w:pPr>
      <w:ind w:left="-1418"/>
    </w:pPr>
    <w:rPr>
      <w:sz w:val="2"/>
      <w:szCs w:val="2"/>
    </w:rPr>
  </w:style>
  <w:style w:type="character" w:styleId="PageNumber">
    <w:name w:val="page number"/>
    <w:basedOn w:val="DefaultParagraphFont"/>
    <w:rsid w:val="000D4D58"/>
  </w:style>
  <w:style w:type="paragraph" w:styleId="Quote">
    <w:name w:val="Quote"/>
    <w:basedOn w:val="Heading1"/>
    <w:link w:val="QuoteChar"/>
    <w:qFormat/>
    <w:rsid w:val="000D4D58"/>
    <w:rPr>
      <w:b w:val="0"/>
      <w:sz w:val="72"/>
      <w:szCs w:val="72"/>
      <w:lang w:val="en-NZ"/>
    </w:rPr>
  </w:style>
  <w:style w:type="character" w:customStyle="1" w:styleId="QuoteChar">
    <w:name w:val="Quote Char"/>
    <w:basedOn w:val="DefaultParagraphFont"/>
    <w:link w:val="Quote"/>
    <w:rsid w:val="000D4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D58"/>
    <w:pPr>
      <w:pageBreakBefore/>
    </w:pPr>
  </w:style>
  <w:style w:type="paragraph" w:customStyle="1" w:styleId="Border">
    <w:name w:val="Border"/>
    <w:basedOn w:val="Normal"/>
    <w:qFormat/>
    <w:rsid w:val="000D4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D58"/>
    <w:rPr>
      <w:b/>
      <w:bCs/>
      <w:i/>
      <w:iCs/>
      <w:color w:val="auto"/>
    </w:rPr>
  </w:style>
  <w:style w:type="paragraph" w:styleId="IntenseQuote">
    <w:name w:val="Intense Quote"/>
    <w:basedOn w:val="Normal"/>
    <w:next w:val="Normal"/>
    <w:link w:val="IntenseQuoteChar"/>
    <w:uiPriority w:val="30"/>
    <w:qFormat/>
    <w:rsid w:val="000D4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D58"/>
    <w:rPr>
      <w:smallCaps/>
      <w:color w:val="auto"/>
      <w:u w:val="single"/>
    </w:rPr>
  </w:style>
  <w:style w:type="character" w:styleId="IntenseReference">
    <w:name w:val="Intense Reference"/>
    <w:basedOn w:val="DefaultParagraphFont"/>
    <w:uiPriority w:val="32"/>
    <w:qFormat/>
    <w:rsid w:val="000D4D58"/>
    <w:rPr>
      <w:b/>
      <w:bCs/>
      <w:smallCaps/>
      <w:color w:val="auto"/>
      <w:spacing w:val="5"/>
      <w:u w:val="single"/>
    </w:rPr>
  </w:style>
  <w:style w:type="paragraph" w:customStyle="1" w:styleId="2ColumnHeading">
    <w:name w:val="2Column Heading"/>
    <w:basedOn w:val="BodyText"/>
    <w:qFormat/>
    <w:rsid w:val="000D4D58"/>
    <w:pPr>
      <w:spacing w:after="60"/>
      <w:ind w:left="-2268"/>
    </w:pPr>
    <w:rPr>
      <w:b/>
    </w:rPr>
  </w:style>
  <w:style w:type="paragraph" w:customStyle="1" w:styleId="Heading1TOC">
    <w:name w:val="Heading1 TOC"/>
    <w:basedOn w:val="Normal"/>
    <w:qFormat/>
    <w:rsid w:val="000D4D58"/>
    <w:pPr>
      <w:spacing w:before="240" w:after="120"/>
    </w:pPr>
    <w:rPr>
      <w:rFonts w:ascii="Times New Roman" w:hAnsi="Times New Roman"/>
      <w:b/>
      <w:sz w:val="32"/>
    </w:rPr>
  </w:style>
  <w:style w:type="paragraph" w:customStyle="1" w:styleId="Heading2TOC">
    <w:name w:val="Heading2 TOC"/>
    <w:basedOn w:val="Normal"/>
    <w:qFormat/>
    <w:rsid w:val="000D4D58"/>
    <w:pPr>
      <w:spacing w:before="240" w:after="60"/>
    </w:pPr>
    <w:rPr>
      <w:rFonts w:ascii="Times New Roman" w:hAnsi="Times New Roman"/>
      <w:b/>
      <w:sz w:val="28"/>
    </w:rPr>
  </w:style>
  <w:style w:type="character" w:customStyle="1" w:styleId="Underline">
    <w:name w:val="Underline"/>
    <w:basedOn w:val="DefaultParagraphFont"/>
    <w:qFormat/>
    <w:rsid w:val="000D4D58"/>
    <w:rPr>
      <w:u w:val="single"/>
    </w:rPr>
  </w:style>
  <w:style w:type="character" w:customStyle="1" w:styleId="BoldandItalics">
    <w:name w:val="Bold and Italics"/>
    <w:qFormat/>
    <w:rsid w:val="000D4D58"/>
    <w:rPr>
      <w:b/>
      <w:i/>
      <w:u w:val="none"/>
    </w:rPr>
  </w:style>
  <w:style w:type="paragraph" w:styleId="BalloonText">
    <w:name w:val="Balloon Text"/>
    <w:basedOn w:val="Normal"/>
    <w:link w:val="BalloonTextChar"/>
    <w:rsid w:val="000D4D58"/>
    <w:rPr>
      <w:rFonts w:ascii="Tahoma" w:hAnsi="Tahoma" w:cs="Tahoma"/>
      <w:sz w:val="16"/>
      <w:szCs w:val="16"/>
    </w:rPr>
  </w:style>
  <w:style w:type="character" w:customStyle="1" w:styleId="BalloonTextChar">
    <w:name w:val="Balloon Text Char"/>
    <w:basedOn w:val="DefaultParagraphFont"/>
    <w:link w:val="BalloonText"/>
    <w:rsid w:val="000D4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D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D58"/>
    <w:rPr>
      <w:b/>
      <w:color w:val="660033"/>
      <w:spacing w:val="0"/>
    </w:rPr>
  </w:style>
  <w:style w:type="paragraph" w:customStyle="1" w:styleId="Nameditemlist">
    <w:name w:val="Named item list"/>
    <w:basedOn w:val="BodyText"/>
    <w:qFormat/>
    <w:rsid w:val="000D4D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2483</Words>
  <Characters>15391</Characters>
  <Application>Microsoft Office Word</Application>
  <DocSecurity>0</DocSecurity>
  <Lines>591</Lines>
  <Paragraphs>253</Paragraphs>
  <ScaleCrop>false</ScaleCrop>
  <Company>Author-it Software Corporation Ltd.</Company>
  <LinksUpToDate>false</LinksUpToDate>
  <CharactersWithSpaces>17720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UEENEEG132A Carry out low voltage electrical field testing and report findings</dc:title>
  <dc:subject>Approved</dc:subject>
  <dc:creator>E-OZ Training Standards</dc:creator>
  <cp:keywords>Release: 2</cp:keywords>
  <dc:description>Review Date: 12 April 2008</dc:description>
  <cp:lastModifiedBy>HSD_TPCMSd.prod</cp:lastModifiedBy>
  <cp:revision>3</cp:revision>
  <dcterms:created xsi:type="dcterms:W3CDTF">2013-08-14T07:55:00Z</dcterms:created>
  <dcterms:modified xsi:type="dcterms:W3CDTF">2013-08-14T07:55:00Z</dcterms:modified>
</cp:coreProperties>
</file>