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497" w:rsidP="00336497">
      <w:pPr>
        <w:pStyle w:val="Title"/>
      </w:pPr>
      <w:r>
        <w:fldChar w:fldCharType="begin"/>
      </w:r>
      <w:r>
        <w:instrText xml:space="preserve"> TITLE   \* MERGEFORMAT </w:instrText>
      </w:r>
      <w:r>
        <w:fldChar w:fldCharType="separate"/>
      </w:r>
      <w:r>
        <w:t>UEENEEG127A Design electrical installations with a low voltage demand greater than 400 A per phase</w:t>
      </w:r>
      <w:r>
        <w:fldChar w:fldCharType="end"/>
      </w:r>
    </w:p>
    <w:p w:rsidR="00336497" w:rsidP="00336497">
      <w:pPr>
        <w:pStyle w:val="Version"/>
        <w:sectPr w:rsidSect="00647E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7E20" w:rsidP="00647E20">
      <w:pPr>
        <w:pStyle w:val="SuperHeading"/>
      </w:pPr>
      <w:r w:rsidRPr="00647E20">
        <w:t>UEENEEG127A Design electrical installations with a low voltage demand greater than 400 A per phase</w:t>
      </w:r>
    </w:p>
    <w:p w:rsidR="00000000" w:rsidRPr="00647E20" w:rsidP="00647E20">
      <w:pPr>
        <w:pStyle w:val="Heading1"/>
      </w:pPr>
      <w:bookmarkStart w:id="1" w:name="O_585452"/>
      <w:bookmarkEnd w:id="1"/>
      <w:r w:rsidRPr="00647E20">
        <w:t>Modification History</w:t>
      </w:r>
    </w:p>
    <w:p w:rsidR="00000000" w:rsidRPr="00647E20" w:rsidP="00647E20">
      <w:pPr>
        <w:pStyle w:val="BodyText"/>
      </w:pPr>
      <w:r w:rsidRPr="00647E20">
        <w:t>Not applicable.</w:t>
      </w:r>
    </w:p>
    <w:p w:rsidR="00000000" w:rsidRPr="00647E20" w:rsidP="00647E20">
      <w:pPr>
        <w:pStyle w:val="AllowPageBreak"/>
      </w:pPr>
    </w:p>
    <w:p w:rsidR="00000000" w:rsidRPr="00647E20" w:rsidP="00647E20">
      <w:pPr>
        <w:pStyle w:val="Heading1"/>
      </w:pPr>
      <w:bookmarkStart w:id="2" w:name="O_585451"/>
      <w:bookmarkEnd w:id="2"/>
      <w:r w:rsidRPr="00647E20">
        <w:t>Unit Descriptor</w:t>
      </w:r>
    </w:p>
    <w:tbl>
      <w:tblPr>
        <w:tblW w:w="0" w:type="auto"/>
        <w:tblLayout w:type="fixed"/>
        <w:tblCellMar>
          <w:left w:w="62" w:type="dxa"/>
          <w:right w:w="62" w:type="dxa"/>
        </w:tblCellMar>
        <w:tblLook w:val="0000"/>
      </w:tblPr>
      <w:tblGrid>
        <w:gridCol w:w="2700"/>
        <w:gridCol w:w="5760"/>
      </w:tblGrid>
      <w:tr w:rsidTr="003364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1)</w:t>
            </w:r>
            <w:r w:rsidRPr="00647E20">
              <w:t xml:space="preserve"> </w:t>
            </w:r>
            <w:r w:rsidRPr="00647E20">
              <w:rPr>
                <w:rStyle w:val="SpecialBold"/>
              </w:rPr>
              <w:t>Scope:</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7E2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1.1) Descriptor</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This unit covers the design of supply and distribution arrangements, control, protection and selection of equipment for electrical installations with low voltage demand greater than 400 amperes per phase. This encompasses designing schemes for protection o</w:t>
            </w:r>
            <w:r w:rsidRPr="00647E20">
              <w:t>f persons and property and correct functioning, compatibility with the supply, and arrangement of circuits, determination of fault levels, effective switchgear, control gear, and protection against over current and over and under voltage and wiring based o</w:t>
            </w:r>
            <w:r w:rsidRPr="00647E20">
              <w:t>n calculations to meet required safety and performance standards and functional requirements.</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3" w:name="O_585450"/>
      <w:bookmarkEnd w:id="3"/>
      <w:r w:rsidRPr="00647E20">
        <w:t>Application of the Unit</w:t>
      </w:r>
    </w:p>
    <w:tbl>
      <w:tblPr>
        <w:tblW w:w="0" w:type="auto"/>
        <w:tblLayout w:type="fixed"/>
        <w:tblCellMar>
          <w:left w:w="62" w:type="dxa"/>
          <w:right w:w="62" w:type="dxa"/>
        </w:tblCellMar>
        <w:tblLook w:val="0000"/>
      </w:tblPr>
      <w:tblGrid>
        <w:gridCol w:w="2672"/>
        <w:gridCol w:w="5699"/>
      </w:tblGrid>
      <w:tr w:rsidTr="003364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2)</w:t>
            </w:r>
          </w:p>
        </w:tc>
      </w:tr>
      <w:tr w:rsidTr="0033649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This unit is intended for competency development entry-level employment based programs incorporated in approved contracts of training. It applies to any formal recognition for this standard at the aligned AQF 5 level or higher.</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4" w:name="O_585449"/>
      <w:bookmarkEnd w:id="4"/>
      <w:r w:rsidRPr="00647E20">
        <w:t>Licensing</w:t>
      </w:r>
      <w:r w:rsidRPr="00647E20">
        <w:t>/Regulatory Information</w:t>
      </w:r>
    </w:p>
    <w:tbl>
      <w:tblPr>
        <w:tblW w:w="0" w:type="auto"/>
        <w:tblLayout w:type="fixed"/>
        <w:tblCellMar>
          <w:left w:w="62" w:type="dxa"/>
          <w:right w:w="62" w:type="dxa"/>
        </w:tblCellMar>
        <w:tblLook w:val="0000"/>
      </w:tblPr>
      <w:tblGrid>
        <w:gridCol w:w="2700"/>
        <w:gridCol w:w="5760"/>
      </w:tblGrid>
      <w:tr w:rsidTr="003364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 xml:space="preserve">3) </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 xml:space="preserve">The skills and knowledge described in this unit do not require a license to practice in the work place. However </w:t>
            </w:r>
            <w:r w:rsidRPr="00647E20">
              <w:t>practice in this unit is subject to regulations directly related to occupational health and sa</w:t>
            </w:r>
            <w:r w:rsidRPr="00647E20">
              <w:t>fe and contracts of training such as new apprenticeships.</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5" w:name="O_585448"/>
      <w:bookmarkEnd w:id="5"/>
      <w:r w:rsidRPr="00647E20">
        <w:t>Pre-Requisites</w:t>
      </w:r>
    </w:p>
    <w:tbl>
      <w:tblPr>
        <w:tblW w:w="0" w:type="auto"/>
        <w:tblLayout w:type="fixed"/>
        <w:tblCellMar>
          <w:left w:w="62" w:type="dxa"/>
          <w:right w:w="62" w:type="dxa"/>
        </w:tblCellMar>
        <w:tblLook w:val="0000"/>
      </w:tblPr>
      <w:tblGrid>
        <w:gridCol w:w="2700"/>
        <w:gridCol w:w="1710"/>
        <w:gridCol w:w="4050"/>
      </w:tblGrid>
      <w:tr w:rsidTr="003364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 xml:space="preserve">4) </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4.1)</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Granting competency in this unit shall be made only after competency in the following unit(s) has/have been confirmed.</w:t>
            </w:r>
          </w:p>
        </w:tc>
      </w:tr>
      <w:tr w:rsidTr="0033649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UEENEEE101A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Apply Occupational Health and Safety regulations, codes and practices in the workplace</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UEENEEE102A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Fabricate, dismantle,</w:t>
            </w:r>
            <w:r w:rsidRPr="00647E20">
              <w:t xml:space="preserve"> assemble of utilities components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UEENEEE104A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Solve problems in d.c circuits</w:t>
            </w:r>
          </w:p>
        </w:tc>
      </w:tr>
      <w:tr w:rsidTr="0033649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UEENEEE105A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Fix and secure electrotechnology equipment</w:t>
            </w:r>
          </w:p>
        </w:tc>
      </w:tr>
      <w:tr w:rsidTr="0033649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UEENEEE107A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Use drawings, diagrams, schedules, standards, codes and specifications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UEENEEG006A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Solve problems in single and three phase low voltage machines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UEENEEG033A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Solve problems in single and three phase electrical apparatus and circuits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UEENEEG063A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Arrange circuits, control and protection for general electrical installations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UEENEEG101A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Solve problems in electromagnetic devices and related circuits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UEENEEG102A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Solve problems in low voltage a.c. circuit</w:t>
            </w:r>
          </w:p>
        </w:tc>
      </w:tr>
      <w:tr w:rsidTr="00336497">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UEENEEG106A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Terminate cables, cords and accessories for low voltage circuits</w:t>
            </w:r>
          </w:p>
        </w:tc>
      </w:tr>
      <w:tr w:rsidTr="0033649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UEENEEG107A</w:t>
            </w:r>
          </w:p>
        </w:tc>
        <w:tc>
          <w:tcPr>
            <w:tcW w:w="405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Select wiring systems and cables for low voltage general electrical installations</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UEENEEG125A</w:t>
            </w:r>
          </w:p>
        </w:tc>
        <w:tc>
          <w:tcPr>
            <w:tcW w:w="405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Plan electrical installations with a low voltage demand up to 400 A per phase</w:t>
            </w:r>
          </w:p>
        </w:tc>
      </w:tr>
    </w:tbl>
    <w:p w:rsidR="00000000" w:rsidRPr="00647E20" w:rsidP="00647E2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3649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 xml:space="preserve">4.2) </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Participants are best e</w:t>
            </w:r>
            <w:r w:rsidRPr="00647E20">
              <w:t>quipped to achieve competency in this unit if they have reading, writing and numeracy skills indicated by the following scales. Description of each scale is given in Volume 2, Part 3 ‘Literacy and Numeracy’</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Reading</w:t>
            </w:r>
          </w:p>
        </w:tc>
        <w:tc>
          <w:tcPr>
            <w:tcW w:w="81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5</w:t>
            </w:r>
          </w:p>
        </w:tc>
        <w:tc>
          <w:tcPr>
            <w:tcW w:w="99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Writing</w:t>
            </w:r>
          </w:p>
        </w:tc>
        <w:tc>
          <w:tcPr>
            <w:tcW w:w="90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5</w:t>
            </w:r>
          </w:p>
        </w:tc>
        <w:tc>
          <w:tcPr>
            <w:tcW w:w="12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Numeracy</w:t>
            </w:r>
          </w:p>
        </w:tc>
        <w:tc>
          <w:tcPr>
            <w:tcW w:w="72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5</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6" w:name="O_585447"/>
      <w:bookmarkEnd w:id="6"/>
      <w:r w:rsidRPr="00647E20">
        <w:t>Employability Skills Information</w:t>
      </w:r>
    </w:p>
    <w:tbl>
      <w:tblPr>
        <w:tblW w:w="0" w:type="auto"/>
        <w:tblLayout w:type="fixed"/>
        <w:tblCellMar>
          <w:left w:w="62" w:type="dxa"/>
          <w:right w:w="62" w:type="dxa"/>
        </w:tblCellMar>
        <w:tblLook w:val="0000"/>
      </w:tblPr>
      <w:tblGrid>
        <w:gridCol w:w="2700"/>
        <w:gridCol w:w="5760"/>
      </w:tblGrid>
      <w:tr w:rsidTr="003364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 xml:space="preserve">5) </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This unit contains Employability Skills</w:t>
            </w:r>
          </w:p>
          <w:p w:rsidR="00000000" w:rsidRPr="00647E20" w:rsidP="00647E20">
            <w:pPr>
              <w:pStyle w:val="BodyText"/>
            </w:pPr>
            <w:r w:rsidRPr="00647E20">
              <w:t>The required outcomes described in this unit of competency contain applicable facets of Employability Skills. The Employability Skills Summary of th</w:t>
            </w:r>
            <w:r w:rsidRPr="00647E20">
              <w:t>e qualification in which this unit of competency is packaged will assist in identifying Employability Skill requirements.</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7" w:name="O_585446"/>
      <w:bookmarkEnd w:id="7"/>
      <w:r w:rsidRPr="00647E20">
        <w:t>Elements and Performance Criteria Pre-Content</w:t>
      </w:r>
    </w:p>
    <w:tbl>
      <w:tblPr>
        <w:tblW w:w="0" w:type="auto"/>
        <w:tblLayout w:type="fixed"/>
        <w:tblCellMar>
          <w:left w:w="62" w:type="dxa"/>
          <w:right w:w="62" w:type="dxa"/>
        </w:tblCellMar>
        <w:tblLook w:val="0000"/>
      </w:tblPr>
      <w:tblGrid>
        <w:gridCol w:w="2700"/>
        <w:gridCol w:w="5760"/>
      </w:tblGrid>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6)</w:t>
            </w:r>
            <w:r w:rsidRPr="00647E2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Performance Criteria describe the required performance needed to demonstrate achievement of the element. Assessment of performance is to be consistent with the Evidence Guide.</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8" w:name="O_585445"/>
      <w:bookmarkEnd w:id="8"/>
      <w:r w:rsidRPr="00647E20">
        <w:t>Elements and Performance Criteria</w:t>
      </w:r>
    </w:p>
    <w:tbl>
      <w:tblPr>
        <w:tblW w:w="0" w:type="auto"/>
        <w:tblLayout w:type="fixed"/>
        <w:tblCellMar>
          <w:left w:w="62" w:type="dxa"/>
          <w:right w:w="62" w:type="dxa"/>
        </w:tblCellMar>
        <w:tblLook w:val="0000"/>
      </w:tblPr>
      <w:tblGrid>
        <w:gridCol w:w="336"/>
        <w:gridCol w:w="2181"/>
        <w:gridCol w:w="183"/>
        <w:gridCol w:w="656"/>
        <w:gridCol w:w="4528"/>
        <w:gridCol w:w="576"/>
      </w:tblGrid>
      <w:tr w:rsidTr="00336497">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PERFORMANCE CRITERIA</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1</w:t>
            </w:r>
          </w:p>
        </w:tc>
        <w:tc>
          <w:tcPr>
            <w:tcW w:w="2181" w:type="dxa"/>
            <w:vMerge w:val="restart"/>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 xml:space="preserve">Prepare to plan electrical installations. </w:t>
            </w: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1.1</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OHS processes and procedures for a given work area are identified, obtained and understood.</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1.2</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The extent and nature of the electrical installation is determined from design brief.</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1.3</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Safety and other regulatory requirements to which the electrical installation shall comply are identified, obtained and understood.</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1.4</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Design development work is planned to meet scheduled timelines in consultation with others persons involved in the installation or associated work.</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w:t>
            </w:r>
          </w:p>
        </w:tc>
        <w:tc>
          <w:tcPr>
            <w:tcW w:w="2181" w:type="dxa"/>
            <w:vMerge w:val="restart"/>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Develop installation design.</w:t>
            </w: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2.1</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Knowledge of electrical installation performance standards, compliance methods and electrical equipment and is applied to designing the installation.</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2.2</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Alternative arrangements for the installation design are considered based on the requirements outl</w:t>
            </w:r>
            <w:r w:rsidRPr="00647E20">
              <w:t>ined in the design brief.</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2.3</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Safety, functional and budgetary considerations are incorporated in the installation design.</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2.4</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 xml:space="preserve">Installation design draft is checked for compliance with the design brief and regulatory requirements. </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2.5</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Installation design is documented for submission to appropriate person(s) for acceptance and approval.</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2.6</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 xml:space="preserve">Solutions to unplanned situation are provided consistent with organisation’s policy. </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3</w:t>
            </w:r>
          </w:p>
        </w:tc>
        <w:tc>
          <w:tcPr>
            <w:tcW w:w="2181"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Obtain approval for installation design.</w:t>
            </w: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3.1</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Installati</w:t>
            </w:r>
            <w:r w:rsidRPr="00647E20">
              <w:t xml:space="preserve">on design is presented and explained to client representative and/or other relevant person(s). </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3.2</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Requests for alterations to the design are negotiated with relevant person(s) within the constraints of organisation’s policy.</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3.3</w:t>
            </w:r>
          </w:p>
        </w:tc>
        <w:tc>
          <w:tcPr>
            <w:tcW w:w="4528"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Final design is documented and approval obtained from appropriate person(s).</w:t>
            </w:r>
          </w:p>
        </w:tc>
      </w:tr>
      <w:tr w:rsidTr="00336497">
        <w:tblPrEx>
          <w:tblW w:w="0" w:type="auto"/>
          <w:tblLayout w:type="fixed"/>
          <w:tblCellMar>
            <w:left w:w="62" w:type="dxa"/>
            <w:right w:w="62" w:type="dxa"/>
          </w:tblCellMar>
          <w:tblLook w:val="0000"/>
        </w:tblPrEx>
        <w:trPr>
          <w:gridAfter w:val="1"/>
          <w:wAfter w:w="576" w:type="dxa"/>
        </w:trPr>
        <w:tc>
          <w:tcPr>
            <w:tcW w:w="3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9"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3.4</w:t>
            </w:r>
          </w:p>
        </w:tc>
        <w:tc>
          <w:tcPr>
            <w:tcW w:w="4528"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Quality of work is monitored against personal performance agreement and/or established organizational or professional standards.</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9" w:name="O_585444"/>
      <w:bookmarkEnd w:id="9"/>
      <w:r w:rsidRPr="00647E20">
        <w:t>Required Skills and Kno</w:t>
      </w:r>
      <w:r w:rsidRPr="00647E20">
        <w:t>wledge</w:t>
      </w:r>
    </w:p>
    <w:tbl>
      <w:tblPr>
        <w:tblW w:w="0" w:type="auto"/>
        <w:tblLayout w:type="fixed"/>
        <w:tblCellMar>
          <w:left w:w="62" w:type="dxa"/>
          <w:right w:w="62" w:type="dxa"/>
        </w:tblCellMar>
        <w:tblLook w:val="0000"/>
      </w:tblPr>
      <w:tblGrid>
        <w:gridCol w:w="8460"/>
      </w:tblGrid>
      <w:tr w:rsidTr="003364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REQUIRED SKILLS AND KNOWLEDGE</w:t>
            </w:r>
          </w:p>
        </w:tc>
      </w:tr>
      <w:tr w:rsidTr="0033649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8)</w:t>
            </w:r>
            <w:r w:rsidRPr="00647E20">
              <w:t xml:space="preserve"> This describes the essential skills and knowledge and their level, required for this unit.</w:t>
            </w:r>
          </w:p>
          <w:p w:rsidR="00000000" w:rsidRPr="00647E20" w:rsidP="00647E20">
            <w:pPr>
              <w:pStyle w:val="BodyText"/>
            </w:pPr>
            <w:r w:rsidRPr="00647E20">
              <w:t>Evidence shall show that knowledge has been acquired of safe working practices and designing electrical installations with a LV demand greater than 400 A per phase.</w:t>
            </w:r>
          </w:p>
          <w:p w:rsidR="00000000" w:rsidRPr="00647E20" w:rsidP="00647E20">
            <w:pPr>
              <w:pStyle w:val="BodyText"/>
            </w:pPr>
            <w:r w:rsidRPr="00647E20">
              <w:t>All knowledge and skills detailed in this unit should be contextualised to current industry</w:t>
            </w:r>
            <w:r w:rsidRPr="00647E20">
              <w:t xml:space="preserve"> practices and technologies.</w:t>
            </w:r>
          </w:p>
          <w:p w:rsidR="00000000" w:rsidRPr="00647E20" w:rsidP="00647E20">
            <w:pPr>
              <w:pStyle w:val="BodyText"/>
            </w:pPr>
            <w:r w:rsidRPr="00647E20">
              <w:rPr>
                <w:rStyle w:val="SpecialBold"/>
              </w:rPr>
              <w:t>KS01-EG127A                       Electrical installations, advanced methods of cable and protection selection</w:t>
            </w:r>
          </w:p>
          <w:p w:rsidR="00000000" w:rsidRPr="00647E20" w:rsidP="00647E20">
            <w:pPr>
              <w:pStyle w:val="BodyText"/>
            </w:pPr>
            <w:r w:rsidRPr="00647E20">
              <w:t>Evidence shall show an understanding of designing low voltage electrical installations with a demand greater than 40</w:t>
            </w:r>
            <w:r w:rsidRPr="00647E20">
              <w:t>0 A per phase to an extent indicated by the following aspects:</w:t>
            </w:r>
          </w:p>
          <w:p w:rsidR="00000000" w:rsidRPr="00647E20" w:rsidP="00647E20">
            <w:pPr>
              <w:pStyle w:val="BodyText"/>
            </w:pPr>
            <w:r w:rsidRPr="00647E20">
              <w:t>T1</w:t>
            </w:r>
            <w:r w:rsidRPr="00647E20">
              <w:tab/>
              <w:t>Electrical installations, determination of demand encompassing:</w:t>
            </w:r>
          </w:p>
          <w:p w:rsidR="00000000" w:rsidRPr="00647E20" w:rsidP="00647E20">
            <w:pPr>
              <w:pStyle w:val="ListBullet"/>
            </w:pPr>
            <w:r w:rsidRPr="00647E20">
              <w:t>Acceptable methods for determining demand in mains and submains</w:t>
            </w:r>
          </w:p>
          <w:p w:rsidR="00000000" w:rsidRPr="00647E20" w:rsidP="00647E20">
            <w:pPr>
              <w:pStyle w:val="ListBullet"/>
            </w:pPr>
            <w:r w:rsidRPr="00647E20">
              <w:t>Applying calculation and assessment methods of determining de</w:t>
            </w:r>
            <w:r w:rsidRPr="00647E20">
              <w:t>mand in mains and submains</w:t>
            </w:r>
          </w:p>
          <w:p w:rsidR="00000000" w:rsidRPr="00647E20" w:rsidP="00647E20">
            <w:pPr>
              <w:pStyle w:val="BodyText"/>
            </w:pPr>
            <w:r w:rsidRPr="00647E20">
              <w:t>T2</w:t>
            </w:r>
            <w:r w:rsidRPr="00647E20">
              <w:tab/>
              <w:t>Electrical installations, overcurrent protection encompassing:</w:t>
            </w:r>
          </w:p>
          <w:p w:rsidR="00000000" w:rsidRPr="00647E20" w:rsidP="00647E20">
            <w:pPr>
              <w:pStyle w:val="ListBullet"/>
            </w:pPr>
            <w:r w:rsidRPr="00647E20">
              <w:t>Application of acceptable methods for determining prospective fault current.</w:t>
            </w:r>
          </w:p>
          <w:p w:rsidR="00000000" w:rsidRPr="00647E20" w:rsidP="00647E20">
            <w:pPr>
              <w:pStyle w:val="ListBullet"/>
            </w:pPr>
            <w:r w:rsidRPr="00647E20">
              <w:t>Relationship between prospective fault current and characteristics of protective devi</w:t>
            </w:r>
            <w:r w:rsidRPr="00647E20">
              <w:t>ces.</w:t>
            </w:r>
          </w:p>
          <w:p w:rsidR="00000000" w:rsidRPr="00647E20" w:rsidP="00647E20">
            <w:pPr>
              <w:pStyle w:val="ListBullet"/>
            </w:pPr>
            <w:r w:rsidRPr="00647E20">
              <w:t>Relationship between overcurrent protections at various points in an electrical distribution system.</w:t>
            </w:r>
          </w:p>
          <w:p w:rsidR="00000000" w:rsidRPr="00647E20" w:rsidP="00647E20">
            <w:pPr>
              <w:pStyle w:val="BodyText"/>
            </w:pPr>
            <w:r w:rsidRPr="00647E20">
              <w:t>T3</w:t>
            </w:r>
            <w:r w:rsidRPr="00647E20">
              <w:tab/>
              <w:t>Electrical installations, overvoltage and undervoltage protection encompassing:</w:t>
            </w:r>
          </w:p>
          <w:p w:rsidR="00000000" w:rsidRPr="00647E20" w:rsidP="00647E20">
            <w:pPr>
              <w:pStyle w:val="ListBullet"/>
            </w:pPr>
            <w:r w:rsidRPr="00647E20">
              <w:t>Application of acceptable methods for determining the need for overvoltage and undervoltage protection</w:t>
            </w:r>
          </w:p>
          <w:p w:rsidR="00000000" w:rsidRPr="00647E20" w:rsidP="00647E20">
            <w:pPr>
              <w:pStyle w:val="ListBullet"/>
            </w:pPr>
            <w:r w:rsidRPr="00647E20">
              <w:t>Methods and devices providing overvoltage and undervoltage protection</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10" w:name="O_585443"/>
      <w:bookmarkEnd w:id="10"/>
      <w:r w:rsidRPr="00647E20">
        <w:t>Evidence Guide</w:t>
      </w:r>
    </w:p>
    <w:tbl>
      <w:tblPr>
        <w:tblW w:w="0" w:type="auto"/>
        <w:tblLayout w:type="fixed"/>
        <w:tblCellMar>
          <w:left w:w="62" w:type="dxa"/>
          <w:right w:w="62" w:type="dxa"/>
        </w:tblCellMar>
        <w:tblLook w:val="0000"/>
      </w:tblPr>
      <w:tblGrid>
        <w:gridCol w:w="8460"/>
      </w:tblGrid>
      <w:tr w:rsidTr="003364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EVIDENCE GUIDE</w:t>
            </w:r>
          </w:p>
        </w:tc>
      </w:tr>
      <w:tr w:rsidTr="003364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9)</w:t>
            </w:r>
            <w:r w:rsidRPr="00647E20">
              <w:t xml:space="preserve"> The evidence guide provides advice on assessment and must be read in conjunction with the Performance Criteria, Required Skills and Knowledge, the Range Statement and the Assessment Guidelines for this Training Package. </w:t>
            </w:r>
          </w:p>
          <w:p w:rsidR="00000000" w:rsidRPr="00647E20" w:rsidP="00647E20">
            <w:pPr>
              <w:pStyle w:val="BodyText"/>
            </w:pPr>
            <w:r w:rsidRPr="00647E20">
              <w:t>The Evidence Guide forms an integr</w:t>
            </w:r>
            <w:r w:rsidRPr="00647E20">
              <w:t>al part of this unit. It must be used in conjunction with all parts of this unit and performed in accordance with the Assessment Guidelines of this Training Package.</w:t>
            </w:r>
          </w:p>
        </w:tc>
      </w:tr>
    </w:tbl>
    <w:p w:rsidR="00000000" w:rsidRPr="00647E20" w:rsidP="00647E20">
      <w:pPr>
        <w:pStyle w:val="BodyText"/>
      </w:pPr>
    </w:p>
    <w:tbl>
      <w:tblPr>
        <w:tblW w:w="0" w:type="auto"/>
        <w:tblLayout w:type="fixed"/>
        <w:tblCellMar>
          <w:left w:w="62" w:type="dxa"/>
          <w:right w:w="62" w:type="dxa"/>
        </w:tblCellMar>
        <w:tblLook w:val="0000"/>
      </w:tblPr>
      <w:tblGrid>
        <w:gridCol w:w="1890"/>
        <w:gridCol w:w="6570"/>
      </w:tblGrid>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9.1)</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Longitudinal competency development approaches to assessme</w:t>
            </w:r>
            <w:r w:rsidRPr="00647E20">
              <w:t>nt, such as Profiling, require data to be reliably gathered in a form that can be consistently interpreted over time. This approach is best utilised in Apprenticeship programs and reduces assessment intervention. It is the Industry’s preferred model for ap</w:t>
            </w:r>
            <w:r w:rsidRPr="00647E20">
              <w:t>prenticeships. However, where summative (or final) assessment is used it is to include the application of the competency in the normal work environment or, at a minimum, the application of the competency in a realistically simulated work environment. It is</w:t>
            </w:r>
            <w:r w:rsidRPr="00647E20">
              <w:t xml:space="preserve"> recognised that, in some circumstances, assessment in part or full can occur outside the workplace. However, it must be in accordance with industry and regulatory policy.</w:t>
            </w:r>
          </w:p>
          <w:p w:rsidR="00000000" w:rsidRPr="00647E20" w:rsidP="00647E20">
            <w:pPr>
              <w:pStyle w:val="BodyText"/>
            </w:pPr>
            <w:r w:rsidRPr="00647E20">
              <w:t>Methods chosen for a particular assessment will be influenced by various factors. Th</w:t>
            </w:r>
            <w:r w:rsidRPr="00647E20">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647E20" w:rsidP="00647E20">
            <w:pPr>
              <w:pStyle w:val="BodyText"/>
            </w:pPr>
            <w:r w:rsidRPr="00647E20">
              <w:t>Th</w:t>
            </w:r>
            <w:r w:rsidRPr="00647E20">
              <w:t>e critical safety nature of working with electricity, electrical equipment, gas or any other hazardous substance/material carries risk in deeming a person competent. Sources of evidence need to be ‘rich’ in nature to minimise error in judgment.</w:t>
            </w:r>
          </w:p>
          <w:p w:rsidR="00000000" w:rsidRPr="00647E20" w:rsidP="00647E20">
            <w:pPr>
              <w:pStyle w:val="BodyText"/>
            </w:pPr>
            <w:r w:rsidRPr="00647E20">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647E20">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647E20">
              <w:t>of this Training Package.</w:t>
            </w:r>
          </w:p>
        </w:tc>
      </w:tr>
    </w:tbl>
    <w:p w:rsidR="00000000" w:rsidRPr="00647E20" w:rsidP="00647E20">
      <w:pPr>
        <w:pStyle w:val="BodyText"/>
      </w:pPr>
    </w:p>
    <w:tbl>
      <w:tblPr>
        <w:tblW w:w="0" w:type="auto"/>
        <w:tblLayout w:type="fixed"/>
        <w:tblCellMar>
          <w:left w:w="62" w:type="dxa"/>
          <w:right w:w="62" w:type="dxa"/>
        </w:tblCellMar>
        <w:tblLook w:val="0000"/>
      </w:tblPr>
      <w:tblGrid>
        <w:gridCol w:w="1890"/>
        <w:gridCol w:w="1530"/>
        <w:gridCol w:w="5040"/>
      </w:tblGrid>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9.2)</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Before the critical aspects of evidence are considered all prerequisites shall be met.</w:t>
            </w:r>
          </w:p>
          <w:p w:rsidR="00000000" w:rsidRPr="00647E20" w:rsidP="00647E20">
            <w:pPr>
              <w:pStyle w:val="BodyText"/>
            </w:pPr>
            <w:r w:rsidRPr="00647E20">
              <w:t>Evidence for competence in this unit shall be considered</w:t>
            </w:r>
            <w:r w:rsidRPr="00647E20">
              <w:t xml:space="preserve"> holistically.  Each element and associated performance criteria shall be demonstrated on at least two occasions in accordance with the ‘Assessment Guidelines – UEE11’.  Evidence shall also comprise:</w:t>
            </w:r>
          </w:p>
          <w:p w:rsidR="00000000" w:rsidRPr="00647E20" w:rsidP="00647E20">
            <w:pPr>
              <w:pStyle w:val="ListBullet"/>
            </w:pPr>
            <w:r w:rsidRPr="00647E20">
              <w:t xml:space="preserve">A representative body of work performance demonstrated </w:t>
            </w:r>
            <w:r w:rsidRPr="00647E20">
              <w:t>within the timeframes typically expected of the discipline, work function and industrial environment. In particular this shall incorporate evidence that shows a candidate is able to:</w:t>
            </w:r>
          </w:p>
          <w:p w:rsidR="00000000" w:rsidRPr="00647E20" w:rsidP="00647E20">
            <w:pPr>
              <w:pStyle w:val="ListBullet2"/>
            </w:pPr>
            <w:r w:rsidRPr="00647E20">
              <w:t>Implement Occupational Health and Safety workplace procedures and practices including the use of risk control measures as specified in the performance criteria and range statement</w:t>
            </w:r>
          </w:p>
          <w:p w:rsidR="00000000" w:rsidRPr="00647E20" w:rsidP="00647E20">
            <w:pPr>
              <w:pStyle w:val="ListBullet2"/>
            </w:pPr>
            <w:r w:rsidRPr="00647E20">
              <w:t>Apply sustainable energy principles and practices as specified in the perfor</w:t>
            </w:r>
            <w:r w:rsidRPr="00647E20">
              <w:t>mance criteria and range statement</w:t>
            </w:r>
          </w:p>
          <w:p w:rsidR="00000000" w:rsidRPr="00647E20" w:rsidP="00647E20">
            <w:pPr>
              <w:pStyle w:val="ListBullet2"/>
            </w:pPr>
            <w:r w:rsidRPr="00647E20">
              <w:t>Demonstrate an understanding of the essential knowledge and associated skills as described in this unit.  It may be required by some jurisdictions that RTOs provide a percentile graded result for the purpose of regulatory</w:t>
            </w:r>
            <w:r w:rsidRPr="00647E20">
              <w:t xml:space="preserve"> or licensing requirements.   </w:t>
            </w:r>
          </w:p>
          <w:p w:rsidR="00000000" w:rsidRPr="00647E20" w:rsidP="00647E20">
            <w:pPr>
              <w:pStyle w:val="ListBullet2"/>
            </w:pPr>
            <w:r w:rsidRPr="00647E20">
              <w:t>Demonstrate an appropriate level of skills enabling employment</w:t>
            </w:r>
          </w:p>
          <w:p w:rsidR="00000000" w:rsidRPr="00647E20" w:rsidP="00647E20">
            <w:pPr>
              <w:pStyle w:val="ListBullet2"/>
            </w:pPr>
            <w:r w:rsidRPr="00647E20">
              <w:t>Conduct work observing the relevant Anti Discrimination legislation, regulations, polices and workplace procedures</w:t>
            </w:r>
          </w:p>
          <w:p w:rsidR="00000000" w:rsidRPr="00647E20" w:rsidP="00647E20">
            <w:pPr>
              <w:pStyle w:val="ListBullet"/>
            </w:pPr>
            <w:r w:rsidRPr="00647E20">
              <w:t>Demonstrated consistent performance across a r</w:t>
            </w:r>
            <w:r w:rsidRPr="00647E20">
              <w:t>epresentative range of contexts from the prescribed items below:</w:t>
            </w:r>
          </w:p>
          <w:p w:rsidR="00000000" w:rsidP="00647E20">
            <w:pPr>
              <w:pStyle w:val="ListBullet2"/>
              <w:rPr>
                <w:lang w:val="en-NZ"/>
              </w:rPr>
            </w:pPr>
            <w:r w:rsidRPr="00647E20">
              <w:t>Design electrical installations with a LV demand greater than 400 A per phase as described in 8) and including:</w:t>
            </w:r>
          </w:p>
        </w:tc>
      </w:tr>
      <w:tr w:rsidTr="00336497">
        <w:tblPrEx>
          <w:tblW w:w="0" w:type="auto"/>
          <w:tblLayout w:type="fixed"/>
          <w:tblCellMar>
            <w:left w:w="62" w:type="dxa"/>
            <w:right w:w="62" w:type="dxa"/>
          </w:tblCellMar>
          <w:tblLook w:val="0000"/>
        </w:tblPrEx>
        <w:trPr>
          <w:trHeight w:val="33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A</w:t>
            </w:r>
          </w:p>
        </w:tc>
        <w:tc>
          <w:tcPr>
            <w:tcW w:w="504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Developing outlines of alternative designs.</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B</w:t>
            </w:r>
          </w:p>
        </w:tc>
        <w:tc>
          <w:tcPr>
            <w:tcW w:w="504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Developing the design within the safety and functional requirements and budget limitations.</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C</w:t>
            </w:r>
          </w:p>
        </w:tc>
        <w:tc>
          <w:tcPr>
            <w:tcW w:w="504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Documenting and presenting design effectively.</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D</w:t>
            </w:r>
          </w:p>
        </w:tc>
        <w:tc>
          <w:tcPr>
            <w:tcW w:w="504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Successfully negotiating design alteration requests.</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E</w:t>
            </w:r>
          </w:p>
        </w:tc>
        <w:tc>
          <w:tcPr>
            <w:tcW w:w="504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Obtaining approval for final design.</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F</w:t>
            </w:r>
          </w:p>
        </w:tc>
        <w:tc>
          <w:tcPr>
            <w:tcW w:w="504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Dealing with unplanned events by drawing on essential knowledge and skills to provide appropriate solutions incorporated in the holistic assessment with the above listed items.</w:t>
            </w:r>
          </w:p>
        </w:tc>
      </w:tr>
    </w:tbl>
    <w:p w:rsidR="00000000" w:rsidRPr="00647E20" w:rsidP="00647E20">
      <w:pPr>
        <w:pStyle w:val="BodyText"/>
      </w:pPr>
    </w:p>
    <w:tbl>
      <w:tblPr>
        <w:tblW w:w="0" w:type="auto"/>
        <w:tblLayout w:type="fixed"/>
        <w:tblCellMar>
          <w:left w:w="62" w:type="dxa"/>
          <w:right w:w="62" w:type="dxa"/>
        </w:tblCellMar>
        <w:tblLook w:val="0000"/>
      </w:tblPr>
      <w:tblGrid>
        <w:gridCol w:w="1890"/>
        <w:gridCol w:w="6570"/>
      </w:tblGrid>
      <w:tr w:rsidTr="0033649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9.3)</w:t>
            </w:r>
          </w:p>
        </w:tc>
      </w:tr>
      <w:tr w:rsidTr="0033649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This unit should be assessed as it relates to normal work practice using procedures, information and resources typical of a workplace. This should include:</w:t>
            </w:r>
          </w:p>
          <w:p w:rsidR="00000000" w:rsidRPr="00647E20" w:rsidP="00647E20">
            <w:pPr>
              <w:pStyle w:val="BodyText"/>
            </w:pPr>
            <w:r w:rsidRPr="00647E20">
              <w:t>OHS policy and work procedures and instructions.</w:t>
            </w:r>
          </w:p>
          <w:p w:rsidR="00000000" w:rsidRPr="00647E20" w:rsidP="00647E20">
            <w:pPr>
              <w:pStyle w:val="BodyText"/>
            </w:pPr>
            <w:r w:rsidRPr="00647E20">
              <w:t>Suitable work environment, facilities, equipment an</w:t>
            </w:r>
            <w:r w:rsidRPr="00647E20">
              <w:t>d materials to undertake actual work as prescribed by this unit.</w:t>
            </w:r>
          </w:p>
          <w:p w:rsidR="00000000" w:rsidRPr="00647E20" w:rsidP="00647E20">
            <w:pPr>
              <w:pStyle w:val="BodyText"/>
            </w:pPr>
            <w:r w:rsidRPr="00647E20">
              <w:t>These should be part of the formal learning/assessment environment.</w:t>
            </w:r>
          </w:p>
          <w:p w:rsidR="00000000" w:rsidRPr="00647E20" w:rsidP="00647E20">
            <w:pPr>
              <w:pStyle w:val="BodyText"/>
            </w:pPr>
            <w:r w:rsidRPr="00647E20">
              <w:t>Note:</w:t>
            </w:r>
          </w:p>
          <w:p w:rsidR="00000000" w:rsidRPr="00647E20" w:rsidP="00647E20">
            <w:pPr>
              <w:pStyle w:val="BodyText"/>
            </w:pPr>
            <w:r w:rsidRPr="00647E20">
              <w:t>Where simulation is considered a suitable strategy for assessment, conditions must be authentic and as far as possibl</w:t>
            </w:r>
            <w:r w:rsidRPr="00647E20">
              <w:t>e reproduce and replicate the workplace and be consistent with the approved industry simulation policy.</w:t>
            </w:r>
          </w:p>
          <w:p w:rsidR="00000000" w:rsidRPr="00647E20" w:rsidP="00647E20">
            <w:pPr>
              <w:pStyle w:val="BodyText"/>
            </w:pPr>
            <w:r w:rsidRPr="00647E20">
              <w:t>The resources used for assessment should reflect current industry practices in relation to designing electrical installations with a LV demand greater t</w:t>
            </w:r>
            <w:r w:rsidRPr="00647E20">
              <w:t>han 400 A per phase.</w:t>
            </w:r>
          </w:p>
        </w:tc>
      </w:tr>
    </w:tbl>
    <w:p w:rsidR="00000000" w:rsidRPr="00647E20" w:rsidP="00647E20">
      <w:pPr>
        <w:pStyle w:val="BodyText"/>
      </w:pPr>
    </w:p>
    <w:tbl>
      <w:tblPr>
        <w:tblW w:w="0" w:type="auto"/>
        <w:tblLayout w:type="fixed"/>
        <w:tblCellMar>
          <w:left w:w="62" w:type="dxa"/>
          <w:right w:w="62" w:type="dxa"/>
        </w:tblCellMar>
        <w:tblLook w:val="0000"/>
      </w:tblPr>
      <w:tblGrid>
        <w:gridCol w:w="1890"/>
        <w:gridCol w:w="6570"/>
      </w:tblGrid>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9.4)</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This unit shall be assessed by methods given in Volume 1, Part 3 ‘Assessment Guidelines’.</w:t>
            </w:r>
          </w:p>
          <w:p w:rsidR="00000000" w:rsidRPr="00647E20" w:rsidP="00647E20">
            <w:pPr>
              <w:pStyle w:val="BodyText"/>
            </w:pPr>
            <w:r w:rsidRPr="00647E20">
              <w:t xml:space="preserve">Note: </w:t>
            </w:r>
          </w:p>
          <w:p w:rsidR="00000000" w:rsidRPr="00647E20" w:rsidP="00647E20">
            <w:pPr>
              <w:pStyle w:val="BodyText"/>
            </w:pPr>
            <w:r w:rsidRPr="00647E20">
              <w:t>Competent performance with inherent safe working practices is expected in the industry to which this unit applies. This requires assessment in a structured environment which is primarily intended for learning/assessment and incorporates all necessary equip</w:t>
            </w:r>
            <w:r w:rsidRPr="00647E20">
              <w:t>ment and facilities for learners to develop and demonstrate the essential knowledge and skills described in this unit.</w:t>
            </w:r>
          </w:p>
        </w:tc>
      </w:tr>
    </w:tbl>
    <w:p w:rsidR="00000000" w:rsidRPr="00647E20" w:rsidP="00647E20">
      <w:pPr>
        <w:pStyle w:val="BodyText"/>
      </w:pPr>
    </w:p>
    <w:tbl>
      <w:tblPr>
        <w:tblW w:w="0" w:type="auto"/>
        <w:tblLayout w:type="fixed"/>
        <w:tblCellMar>
          <w:left w:w="62" w:type="dxa"/>
          <w:right w:w="62" w:type="dxa"/>
        </w:tblCellMar>
        <w:tblLook w:val="0000"/>
      </w:tblPr>
      <w:tblGrid>
        <w:gridCol w:w="1890"/>
        <w:gridCol w:w="1530"/>
        <w:gridCol w:w="5040"/>
      </w:tblGrid>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9.5)</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For optimisation of training and assessment effort, competency developm</w:t>
            </w:r>
            <w:r w:rsidRPr="00647E20">
              <w:t>ent in this unit may be arranged concurrently with unit:</w:t>
            </w:r>
          </w:p>
        </w:tc>
      </w:tr>
      <w:tr w:rsidTr="0033649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t>UEENEED101A</w:t>
            </w:r>
          </w:p>
        </w:tc>
        <w:tc>
          <w:tcPr>
            <w:tcW w:w="504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Use computer applications relevant to a workplace</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11" w:name="O_585442"/>
      <w:bookmarkEnd w:id="11"/>
      <w:r w:rsidRPr="00647E20">
        <w:t>Range Statement</w:t>
      </w:r>
    </w:p>
    <w:tbl>
      <w:tblPr>
        <w:tblW w:w="0" w:type="auto"/>
        <w:tblLayout w:type="fixed"/>
        <w:tblCellMar>
          <w:left w:w="62" w:type="dxa"/>
          <w:right w:w="62" w:type="dxa"/>
        </w:tblCellMar>
        <w:tblLook w:val="0000"/>
      </w:tblPr>
      <w:tblGrid>
        <w:gridCol w:w="8460"/>
      </w:tblGrid>
      <w:tr w:rsidTr="0033649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RANGE STATEMENT</w:t>
            </w:r>
          </w:p>
        </w:tc>
      </w:tr>
      <w:tr w:rsidTr="0033649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10)</w:t>
            </w:r>
            <w:r w:rsidRPr="00647E20">
              <w:t xml:space="preserve"> This relates to the unit as a whole providing the range of contexts and conditions to which the performance criteria apply. It allows for different work environments and situations that will affect performance.</w:t>
            </w:r>
          </w:p>
          <w:p w:rsidR="00000000" w:rsidRPr="00647E20" w:rsidP="00647E20">
            <w:pPr>
              <w:pStyle w:val="BodyText"/>
            </w:pPr>
            <w:r w:rsidRPr="00647E20">
              <w:t xml:space="preserve">This unit shall be demonstrated in relation </w:t>
            </w:r>
            <w:r w:rsidRPr="00647E20">
              <w:t>to designing electrical installations with a LV demand in excess of 400 A per phase. The installation shall comprise main switchboard, multiple tenancies, distribution boards and single and three-phase final sub circuits.</w:t>
            </w:r>
          </w:p>
          <w:p w:rsidR="00000000" w:rsidRPr="00647E20" w:rsidP="00647E20">
            <w:pPr>
              <w:pStyle w:val="BodyText"/>
            </w:pPr>
            <w:r w:rsidRPr="00647E20">
              <w:t>Generic terms used throughout this</w:t>
            </w:r>
            <w:r w:rsidRPr="00647E20">
              <w:t xml:space="preserve"> Vocational Standard shall be regarded as part of the Range Statement in which competency is demonstrated. The definition of these and other terms that apply are given in Volume 2, Part 2.1.</w:t>
            </w:r>
          </w:p>
        </w:tc>
      </w:tr>
    </w:tbl>
    <w:p w:rsidR="00000000" w:rsidRPr="00647E20" w:rsidP="00647E20">
      <w:pPr>
        <w:pStyle w:val="BodyText"/>
      </w:pPr>
    </w:p>
    <w:p w:rsidR="00000000" w:rsidRPr="00647E20" w:rsidP="00647E20">
      <w:pPr>
        <w:pStyle w:val="AllowPageBreak"/>
      </w:pPr>
    </w:p>
    <w:p w:rsidR="00000000" w:rsidRPr="00647E20" w:rsidP="00647E20">
      <w:pPr>
        <w:pStyle w:val="Heading1"/>
      </w:pPr>
      <w:bookmarkStart w:id="12" w:name="O_585441"/>
      <w:bookmarkEnd w:id="12"/>
      <w:r w:rsidRPr="00647E20">
        <w:t>Unit Sector(s)</w:t>
      </w:r>
    </w:p>
    <w:p w:rsidR="00000000" w:rsidRPr="00647E20" w:rsidP="00647E20">
      <w:pPr>
        <w:pStyle w:val="BodyText"/>
      </w:pPr>
      <w:r w:rsidRPr="00647E20">
        <w:t>Not applicable.</w:t>
      </w:r>
    </w:p>
    <w:p w:rsidR="00000000" w:rsidRPr="00647E20" w:rsidP="00647E20">
      <w:pPr>
        <w:pStyle w:val="AllowPageBreak"/>
      </w:pPr>
    </w:p>
    <w:p w:rsidR="00000000" w:rsidRPr="00647E20" w:rsidP="00647E20">
      <w:pPr>
        <w:pStyle w:val="Heading1"/>
      </w:pPr>
      <w:bookmarkStart w:id="13" w:name="O_585440"/>
      <w:bookmarkEnd w:id="13"/>
      <w:r w:rsidRPr="00647E20">
        <w:t>Competency Field</w:t>
      </w:r>
    </w:p>
    <w:tbl>
      <w:tblPr>
        <w:tblW w:w="0" w:type="auto"/>
        <w:tblLayout w:type="fixed"/>
        <w:tblCellMar>
          <w:left w:w="62" w:type="dxa"/>
          <w:right w:w="62" w:type="dxa"/>
        </w:tblCellMar>
        <w:tblLook w:val="0000"/>
      </w:tblPr>
      <w:tblGrid>
        <w:gridCol w:w="2700"/>
        <w:gridCol w:w="5760"/>
      </w:tblGrid>
      <w:tr w:rsidTr="0033649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47E20">
            <w:pPr>
              <w:pStyle w:val="BodyText"/>
              <w:rPr>
                <w:lang w:val="en-NZ"/>
              </w:rPr>
            </w:pPr>
            <w:r w:rsidRPr="00647E20">
              <w:rPr>
                <w:rStyle w:val="SpecialBold"/>
              </w:rPr>
              <w:t xml:space="preserve">11) </w:t>
            </w:r>
          </w:p>
        </w:tc>
      </w:tr>
      <w:tr w:rsidTr="0033649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47E20" w:rsidP="00647E20">
            <w:pPr>
              <w:pStyle w:val="BodyText"/>
            </w:pPr>
            <w:r w:rsidRPr="00647E20">
              <w:t>Electrical</w:t>
            </w:r>
          </w:p>
        </w:tc>
      </w:tr>
    </w:tbl>
    <w:p w:rsidR="00000000" w:rsidRPr="00647E20" w:rsidP="00647E20">
      <w:pPr>
        <w:pStyle w:val="BodyText"/>
      </w:pPr>
    </w:p>
    <w:p w:rsidR="00000000" w:rsidRPr="00647E20" w:rsidP="00647E20"/>
    <w:sectPr w:rsidSect="00647E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rsidRPr="00336497" w:rsidP="00336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97" w:rsidP="00647E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36497" w:rsidP="00647E2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36497" w:rsidP="00647E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rsidRPr="00336497" w:rsidP="003364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E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497" w:rsidRPr="002D2AF8" w:rsidP="00647E20">
    <w:pPr>
      <w:pStyle w:val="Header"/>
      <w:framePr w:wrap="around"/>
    </w:pPr>
    <w:r>
      <w:fldChar w:fldCharType="begin"/>
    </w:r>
    <w:r>
      <w:instrText xml:space="preserve"> TITLE   \* MERGEFORMAT </w:instrText>
    </w:r>
    <w:r>
      <w:fldChar w:fldCharType="separate"/>
    </w:r>
    <w:r>
      <w:t>UEENEEG127A Design electrical installations with a low voltage demand greater than 400 A per phase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36497" w:rsidP="00647E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3C1C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7EA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9695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E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E20"/>
    <w:pPr>
      <w:spacing w:before="360" w:after="60"/>
      <w:outlineLvl w:val="0"/>
    </w:pPr>
    <w:rPr>
      <w:sz w:val="32"/>
    </w:rPr>
  </w:style>
  <w:style w:type="paragraph" w:styleId="Heading2">
    <w:name w:val="heading 2"/>
    <w:basedOn w:val="HeadingBase"/>
    <w:next w:val="BodyText"/>
    <w:link w:val="Heading2Char"/>
    <w:qFormat/>
    <w:rsid w:val="00647E20"/>
    <w:pPr>
      <w:keepLines/>
      <w:spacing w:before="240" w:after="120"/>
      <w:outlineLvl w:val="1"/>
    </w:pPr>
    <w:rPr>
      <w:sz w:val="28"/>
      <w:szCs w:val="40"/>
    </w:rPr>
  </w:style>
  <w:style w:type="paragraph" w:styleId="Heading3">
    <w:name w:val="heading 3"/>
    <w:basedOn w:val="HeadingBase"/>
    <w:next w:val="BodyText"/>
    <w:link w:val="Heading3Char"/>
    <w:qFormat/>
    <w:rsid w:val="00647E20"/>
    <w:pPr>
      <w:spacing w:before="180" w:after="120"/>
      <w:outlineLvl w:val="2"/>
    </w:pPr>
    <w:rPr>
      <w:spacing w:val="-10"/>
      <w:kern w:val="32"/>
    </w:rPr>
  </w:style>
  <w:style w:type="paragraph" w:styleId="Heading4">
    <w:name w:val="heading 4"/>
    <w:basedOn w:val="HeadingBase"/>
    <w:next w:val="BodyText"/>
    <w:link w:val="Heading4Char"/>
    <w:qFormat/>
    <w:rsid w:val="00647E20"/>
    <w:pPr>
      <w:spacing w:before="160" w:after="120"/>
      <w:outlineLvl w:val="3"/>
    </w:pPr>
    <w:rPr>
      <w:sz w:val="22"/>
    </w:rPr>
  </w:style>
  <w:style w:type="paragraph" w:styleId="Heading5">
    <w:name w:val="heading 5"/>
    <w:basedOn w:val="HeadingBase"/>
    <w:next w:val="Normal"/>
    <w:link w:val="Heading5Char"/>
    <w:qFormat/>
    <w:rsid w:val="00647E20"/>
    <w:pPr>
      <w:spacing w:before="80"/>
      <w:outlineLvl w:val="4"/>
    </w:pPr>
    <w:rPr>
      <w:color w:val="918585"/>
      <w:sz w:val="20"/>
    </w:rPr>
  </w:style>
  <w:style w:type="paragraph" w:styleId="Heading6">
    <w:name w:val="heading 6"/>
    <w:basedOn w:val="HeadingBase"/>
    <w:next w:val="Normal"/>
    <w:link w:val="Heading6Char"/>
    <w:qFormat/>
    <w:rsid w:val="00647E20"/>
    <w:pPr>
      <w:spacing w:before="60"/>
      <w:outlineLvl w:val="5"/>
    </w:pPr>
    <w:rPr>
      <w:color w:val="918585"/>
      <w:sz w:val="20"/>
    </w:rPr>
  </w:style>
  <w:style w:type="paragraph" w:styleId="Heading7">
    <w:name w:val="heading 7"/>
    <w:basedOn w:val="Normal"/>
    <w:next w:val="Normal"/>
    <w:link w:val="Heading7Char"/>
    <w:qFormat/>
    <w:rsid w:val="00647E20"/>
    <w:pPr>
      <w:ind w:left="720"/>
      <w:outlineLvl w:val="6"/>
    </w:pPr>
    <w:rPr>
      <w:i/>
    </w:rPr>
  </w:style>
  <w:style w:type="paragraph" w:styleId="Heading8">
    <w:name w:val="heading 8"/>
    <w:basedOn w:val="Normal"/>
    <w:next w:val="Normal"/>
    <w:link w:val="Heading8Char"/>
    <w:qFormat/>
    <w:rsid w:val="00647E20"/>
    <w:pPr>
      <w:ind w:left="720"/>
      <w:outlineLvl w:val="7"/>
    </w:pPr>
    <w:rPr>
      <w:i/>
    </w:rPr>
  </w:style>
  <w:style w:type="paragraph" w:styleId="Heading9">
    <w:name w:val="heading 9"/>
    <w:basedOn w:val="Normal"/>
    <w:next w:val="Normal"/>
    <w:link w:val="Heading9Char"/>
    <w:qFormat/>
    <w:rsid w:val="00647E20"/>
    <w:pPr>
      <w:ind w:left="720"/>
      <w:outlineLvl w:val="8"/>
    </w:pPr>
    <w:rPr>
      <w:i/>
    </w:rPr>
  </w:style>
  <w:style w:type="character" w:default="1" w:styleId="DefaultParagraphFont">
    <w:name w:val="Default Paragraph Font"/>
    <w:uiPriority w:val="1"/>
    <w:unhideWhenUsed/>
    <w:rsid w:val="00647E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E20"/>
  </w:style>
  <w:style w:type="character" w:customStyle="1" w:styleId="Heading1Char">
    <w:name w:val="Heading 1 Char"/>
    <w:basedOn w:val="DefaultParagraphFont"/>
    <w:link w:val="Heading1"/>
    <w:rsid w:val="00647E20"/>
    <w:rPr>
      <w:rFonts w:ascii="Times New Roman" w:eastAsia="Times New Roman" w:hAnsi="Times New Roman" w:cs="Times New Roman"/>
      <w:b/>
      <w:sz w:val="32"/>
      <w:szCs w:val="20"/>
      <w:lang w:eastAsia="en-US"/>
    </w:rPr>
  </w:style>
  <w:style w:type="paragraph" w:styleId="BodyText">
    <w:name w:val="Body Text"/>
    <w:basedOn w:val="Normal"/>
    <w:link w:val="BodyTextChar"/>
    <w:rsid w:val="00647E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E20"/>
    <w:rPr>
      <w:rFonts w:ascii="Times New Roman" w:eastAsia="Times New Roman" w:hAnsi="Times New Roman" w:cs="Times New Roman"/>
      <w:sz w:val="24"/>
      <w:lang w:eastAsia="en-US"/>
    </w:rPr>
  </w:style>
  <w:style w:type="paragraph" w:styleId="ListBullet">
    <w:name w:val="List Bullet"/>
    <w:basedOn w:val="List"/>
    <w:rsid w:val="00647E20"/>
    <w:pPr>
      <w:numPr>
        <w:numId w:val="13"/>
      </w:numPr>
      <w:tabs>
        <w:tab w:val="clear" w:pos="340"/>
      </w:tabs>
      <w:spacing w:before="40" w:after="40"/>
    </w:pPr>
  </w:style>
  <w:style w:type="character" w:customStyle="1" w:styleId="SpecialBold">
    <w:name w:val="Special Bold"/>
    <w:basedOn w:val="DefaultParagraphFont"/>
    <w:rsid w:val="00647E20"/>
    <w:rPr>
      <w:b/>
      <w:spacing w:val="0"/>
    </w:rPr>
  </w:style>
  <w:style w:type="paragraph" w:styleId="ListBullet2">
    <w:name w:val="List Bullet 2"/>
    <w:basedOn w:val="List2"/>
    <w:rsid w:val="00647E20"/>
    <w:pPr>
      <w:numPr>
        <w:numId w:val="14"/>
      </w:numPr>
      <w:tabs>
        <w:tab w:val="clear" w:pos="680"/>
      </w:tabs>
    </w:pPr>
  </w:style>
  <w:style w:type="paragraph" w:customStyle="1" w:styleId="SuperHeading">
    <w:name w:val="SuperHeading"/>
    <w:basedOn w:val="Normal"/>
    <w:rsid w:val="00647E20"/>
    <w:pPr>
      <w:spacing w:before="240" w:after="120"/>
      <w:outlineLvl w:val="0"/>
    </w:pPr>
    <w:rPr>
      <w:rFonts w:ascii="Times New Roman" w:hAnsi="Times New Roman"/>
      <w:b/>
      <w:sz w:val="32"/>
    </w:rPr>
  </w:style>
  <w:style w:type="paragraph" w:customStyle="1" w:styleId="AllowPageBreak">
    <w:name w:val="AllowPageBreak"/>
    <w:rsid w:val="00647E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E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E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E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E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E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E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E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E20"/>
    <w:rPr>
      <w:rFonts w:ascii="Courier New" w:eastAsia="Times New Roman" w:hAnsi="Courier New" w:cs="Times New Roman"/>
      <w:i/>
      <w:szCs w:val="20"/>
      <w:lang w:eastAsia="en-US"/>
    </w:rPr>
  </w:style>
  <w:style w:type="paragraph" w:customStyle="1" w:styleId="HeadingBase">
    <w:name w:val="Heading Base"/>
    <w:rsid w:val="00647E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E20"/>
    <w:pPr>
      <w:tabs>
        <w:tab w:val="right" w:leader="dot" w:pos="9072"/>
      </w:tabs>
      <w:ind w:left="567"/>
    </w:pPr>
    <w:rPr>
      <w:szCs w:val="22"/>
    </w:rPr>
  </w:style>
  <w:style w:type="paragraph" w:customStyle="1" w:styleId="TOCBase">
    <w:name w:val="TOC Base"/>
    <w:rsid w:val="00647E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E20"/>
    <w:pPr>
      <w:tabs>
        <w:tab w:val="right" w:leader="dot" w:pos="9072"/>
      </w:tabs>
      <w:spacing w:before="40" w:after="40"/>
      <w:ind w:left="284"/>
    </w:pPr>
    <w:rPr>
      <w:rFonts w:ascii="Times New Roman" w:hAnsi="Times New Roman"/>
    </w:rPr>
  </w:style>
  <w:style w:type="paragraph" w:styleId="TOC1">
    <w:name w:val="toc 1"/>
    <w:basedOn w:val="TOCBase"/>
    <w:next w:val="Normal"/>
    <w:rsid w:val="00647E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E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E20"/>
    <w:rPr>
      <w:rFonts w:ascii="Times New Roman" w:eastAsia="Times New Roman" w:hAnsi="Times New Roman" w:cs="Times New Roman"/>
      <w:sz w:val="16"/>
      <w:lang w:eastAsia="en-US"/>
    </w:rPr>
  </w:style>
  <w:style w:type="paragraph" w:styleId="Title">
    <w:name w:val="Title"/>
    <w:basedOn w:val="HeadingBase"/>
    <w:link w:val="TitleChar"/>
    <w:qFormat/>
    <w:rsid w:val="00647E20"/>
    <w:pPr>
      <w:spacing w:before="5040"/>
      <w:jc w:val="center"/>
    </w:pPr>
    <w:rPr>
      <w:sz w:val="48"/>
      <w:szCs w:val="72"/>
      <w:lang w:val="en-US"/>
    </w:rPr>
  </w:style>
  <w:style w:type="character" w:customStyle="1" w:styleId="TitleChar">
    <w:name w:val="Title Char"/>
    <w:basedOn w:val="DefaultParagraphFont"/>
    <w:link w:val="Title"/>
    <w:rsid w:val="00647E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E20"/>
    <w:pPr>
      <w:tabs>
        <w:tab w:val="left" w:pos="3600"/>
        <w:tab w:val="left" w:pos="3958"/>
      </w:tabs>
    </w:pPr>
  </w:style>
  <w:style w:type="paragraph" w:styleId="List">
    <w:name w:val="List"/>
    <w:basedOn w:val="BodyText"/>
    <w:next w:val="BodyText"/>
    <w:rsid w:val="00647E20"/>
    <w:pPr>
      <w:tabs>
        <w:tab w:val="left" w:pos="340"/>
      </w:tabs>
      <w:spacing w:before="60" w:after="60"/>
      <w:ind w:left="340" w:hanging="340"/>
    </w:pPr>
  </w:style>
  <w:style w:type="paragraph" w:customStyle="1" w:styleId="Note">
    <w:name w:val="Note"/>
    <w:basedOn w:val="BodyText"/>
    <w:rsid w:val="00647E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E20"/>
    <w:pPr>
      <w:framePr w:wrap="auto" w:hAnchor="text" w:y="6049"/>
    </w:pPr>
    <w:rPr>
      <w:color w:val="000000"/>
      <w:sz w:val="40"/>
    </w:rPr>
  </w:style>
  <w:style w:type="paragraph" w:customStyle="1" w:styleId="TOCTitle">
    <w:name w:val="TOCTitle"/>
    <w:basedOn w:val="Heading1"/>
    <w:rsid w:val="00647E20"/>
    <w:pPr>
      <w:spacing w:after="240"/>
      <w:jc w:val="center"/>
      <w:outlineLvl w:val="9"/>
    </w:pPr>
    <w:rPr>
      <w:caps/>
    </w:rPr>
  </w:style>
  <w:style w:type="paragraph" w:customStyle="1" w:styleId="Version">
    <w:name w:val="Version"/>
    <w:rsid w:val="00647E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E20"/>
    <w:pPr>
      <w:keepNext w:val="0"/>
      <w:tabs>
        <w:tab w:val="right" w:pos="4176"/>
      </w:tabs>
      <w:ind w:left="198" w:hanging="198"/>
    </w:pPr>
    <w:rPr>
      <w:rFonts w:ascii="Garamond" w:hAnsi="Garamond"/>
    </w:rPr>
  </w:style>
  <w:style w:type="paragraph" w:styleId="IndexHeading">
    <w:name w:val="index heading"/>
    <w:basedOn w:val="Normal"/>
    <w:next w:val="Index1"/>
    <w:semiHidden/>
    <w:rsid w:val="00647E20"/>
    <w:pPr>
      <w:spacing w:before="120" w:after="120"/>
    </w:pPr>
    <w:rPr>
      <w:rFonts w:ascii="Arial" w:hAnsi="Arial"/>
      <w:b/>
      <w:color w:val="918585"/>
      <w:sz w:val="24"/>
    </w:rPr>
  </w:style>
  <w:style w:type="paragraph" w:styleId="Header">
    <w:name w:val="header"/>
    <w:basedOn w:val="Normal"/>
    <w:link w:val="HeaderChar"/>
    <w:rsid w:val="00647E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E20"/>
    <w:rPr>
      <w:rFonts w:ascii="Times New Roman" w:eastAsia="Times New Roman" w:hAnsi="Times New Roman" w:cs="Times New Roman"/>
      <w:sz w:val="16"/>
      <w:szCs w:val="20"/>
      <w:lang w:val="en-GB" w:eastAsia="en-US"/>
    </w:rPr>
  </w:style>
  <w:style w:type="paragraph" w:customStyle="1" w:styleId="Chapter">
    <w:name w:val="Chapter"/>
    <w:basedOn w:val="Normal"/>
    <w:rsid w:val="00647E20"/>
    <w:pPr>
      <w:spacing w:before="240"/>
    </w:pPr>
    <w:rPr>
      <w:rFonts w:ascii="Times New Roman" w:hAnsi="Times New Roman"/>
      <w:smallCaps/>
      <w:spacing w:val="80"/>
      <w:sz w:val="28"/>
    </w:rPr>
  </w:style>
  <w:style w:type="paragraph" w:customStyle="1" w:styleId="InChapter">
    <w:name w:val="InChapter"/>
    <w:basedOn w:val="Heading3"/>
    <w:rsid w:val="00647E20"/>
    <w:pPr>
      <w:spacing w:after="240"/>
      <w:outlineLvl w:val="9"/>
    </w:pPr>
    <w:rPr>
      <w:noProof/>
    </w:rPr>
  </w:style>
  <w:style w:type="paragraph" w:styleId="Index2">
    <w:name w:val="index 2"/>
    <w:basedOn w:val="Normal"/>
    <w:next w:val="Normal"/>
    <w:semiHidden/>
    <w:rsid w:val="00647E20"/>
    <w:pPr>
      <w:tabs>
        <w:tab w:val="right" w:pos="4176"/>
      </w:tabs>
      <w:ind w:left="568" w:hanging="284"/>
    </w:pPr>
    <w:rPr>
      <w:rFonts w:ascii="Garamond" w:hAnsi="Garamond"/>
    </w:rPr>
  </w:style>
  <w:style w:type="paragraph" w:customStyle="1" w:styleId="Byline">
    <w:name w:val="Byline"/>
    <w:rsid w:val="00647E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E20"/>
    <w:pPr>
      <w:tabs>
        <w:tab w:val="clear" w:pos="3600"/>
        <w:tab w:val="clear" w:pos="3958"/>
      </w:tabs>
      <w:jc w:val="right"/>
    </w:pPr>
  </w:style>
  <w:style w:type="character" w:styleId="Emphasis">
    <w:name w:val="Emphasis"/>
    <w:basedOn w:val="DefaultParagraphFont"/>
    <w:qFormat/>
    <w:rsid w:val="00647E20"/>
    <w:rPr>
      <w:i/>
    </w:rPr>
  </w:style>
  <w:style w:type="paragraph" w:styleId="Caption">
    <w:name w:val="caption"/>
    <w:basedOn w:val="BodyText"/>
    <w:next w:val="Normal"/>
    <w:qFormat/>
    <w:rsid w:val="00647E20"/>
    <w:pPr>
      <w:framePr w:w="2268" w:hSpace="181" w:vSpace="181" w:wrap="around" w:vAnchor="text" w:hAnchor="page" w:x="1135" w:y="285" w:anchorLock="1"/>
    </w:pPr>
    <w:rPr>
      <w:i/>
    </w:rPr>
  </w:style>
  <w:style w:type="paragraph" w:customStyle="1" w:styleId="MiniTOCTitle">
    <w:name w:val="MiniTOCTitle"/>
    <w:basedOn w:val="Heading4"/>
    <w:rsid w:val="00647E20"/>
    <w:pPr>
      <w:spacing w:before="240"/>
      <w:outlineLvl w:val="9"/>
    </w:pPr>
    <w:rPr>
      <w:noProof/>
      <w:sz w:val="24"/>
    </w:rPr>
  </w:style>
  <w:style w:type="paragraph" w:customStyle="1" w:styleId="MiniTOCItem">
    <w:name w:val="MiniTOCItem"/>
    <w:basedOn w:val="ListBullet"/>
    <w:rsid w:val="00647E20"/>
    <w:pPr>
      <w:numPr>
        <w:numId w:val="0"/>
      </w:numPr>
      <w:tabs>
        <w:tab w:val="right" w:leader="dot" w:pos="6521"/>
      </w:tabs>
      <w:spacing w:before="0" w:after="0"/>
    </w:pPr>
  </w:style>
  <w:style w:type="paragraph" w:customStyle="1" w:styleId="TOFTitle">
    <w:name w:val="TOFTitle"/>
    <w:basedOn w:val="TOCTitle"/>
    <w:rsid w:val="00647E20"/>
  </w:style>
  <w:style w:type="paragraph" w:styleId="TableofFigures">
    <w:name w:val="table of figures"/>
    <w:basedOn w:val="Normal"/>
    <w:next w:val="Normal"/>
    <w:semiHidden/>
    <w:rsid w:val="00647E20"/>
    <w:pPr>
      <w:tabs>
        <w:tab w:val="right" w:leader="dot" w:pos="9072"/>
      </w:tabs>
      <w:ind w:left="970" w:hanging="403"/>
    </w:pPr>
    <w:rPr>
      <w:rFonts w:ascii="Times New Roman" w:hAnsi="Times New Roman"/>
      <w:b/>
    </w:rPr>
  </w:style>
  <w:style w:type="paragraph" w:styleId="ListNumber">
    <w:name w:val="List Number"/>
    <w:basedOn w:val="List"/>
    <w:rsid w:val="00647E20"/>
    <w:pPr>
      <w:numPr>
        <w:numId w:val="11"/>
      </w:numPr>
    </w:pPr>
  </w:style>
  <w:style w:type="character" w:customStyle="1" w:styleId="WingdingSymbols">
    <w:name w:val="Wingding Symbols"/>
    <w:rsid w:val="00647E20"/>
    <w:rPr>
      <w:rFonts w:ascii="Wingdings" w:hAnsi="Wingdings"/>
    </w:rPr>
  </w:style>
  <w:style w:type="paragraph" w:customStyle="1" w:styleId="TableHeading">
    <w:name w:val="Table Heading"/>
    <w:basedOn w:val="HeadingBase"/>
    <w:rsid w:val="00647E20"/>
    <w:pPr>
      <w:keepLines/>
      <w:pBdr>
        <w:bottom w:val="single" w:sz="6" w:space="1" w:color="918585"/>
      </w:pBdr>
      <w:spacing w:before="240"/>
    </w:pPr>
  </w:style>
  <w:style w:type="character" w:customStyle="1" w:styleId="HotSpot">
    <w:name w:val="HotSpot"/>
    <w:rsid w:val="00647E20"/>
    <w:rPr>
      <w:color w:val="0033CC"/>
      <w:u w:val="none"/>
    </w:rPr>
  </w:style>
  <w:style w:type="paragraph" w:customStyle="1" w:styleId="BodyTextRight">
    <w:name w:val="Body Text Right"/>
    <w:basedOn w:val="BodyText"/>
    <w:rsid w:val="00647E20"/>
    <w:pPr>
      <w:spacing w:before="0" w:after="0"/>
      <w:jc w:val="right"/>
    </w:pPr>
  </w:style>
  <w:style w:type="paragraph" w:styleId="Index3">
    <w:name w:val="index 3"/>
    <w:basedOn w:val="ListNumber2"/>
    <w:next w:val="Normal"/>
    <w:semiHidden/>
    <w:rsid w:val="00647E20"/>
    <w:pPr>
      <w:numPr>
        <w:numId w:val="0"/>
      </w:numPr>
      <w:tabs>
        <w:tab w:val="right" w:leader="dot" w:pos="4176"/>
      </w:tabs>
    </w:pPr>
  </w:style>
  <w:style w:type="paragraph" w:styleId="ListNumber2">
    <w:name w:val="List Number 2"/>
    <w:basedOn w:val="List2"/>
    <w:rsid w:val="00647E20"/>
    <w:pPr>
      <w:numPr>
        <w:numId w:val="10"/>
      </w:numPr>
      <w:tabs>
        <w:tab w:val="clear" w:pos="1060"/>
      </w:tabs>
    </w:pPr>
  </w:style>
  <w:style w:type="paragraph" w:customStyle="1" w:styleId="MarginNote">
    <w:name w:val="Margin Note"/>
    <w:basedOn w:val="BodyText"/>
    <w:rsid w:val="00647E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E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E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E20"/>
    <w:rPr>
      <w:sz w:val="32"/>
    </w:rPr>
  </w:style>
  <w:style w:type="paragraph" w:customStyle="1" w:styleId="HeadingProcedure">
    <w:name w:val="Heading Procedure"/>
    <w:basedOn w:val="HeadingBase"/>
    <w:next w:val="Normal"/>
    <w:rsid w:val="00647E20"/>
    <w:pPr>
      <w:tabs>
        <w:tab w:val="left" w:pos="0"/>
      </w:tabs>
      <w:spacing w:before="120" w:after="60"/>
    </w:pPr>
    <w:rPr>
      <w:i/>
      <w:color w:val="918585"/>
      <w:sz w:val="22"/>
    </w:rPr>
  </w:style>
  <w:style w:type="paragraph" w:customStyle="1" w:styleId="TableBodyText">
    <w:name w:val="Table Body Text"/>
    <w:basedOn w:val="BodyText"/>
    <w:rsid w:val="00647E20"/>
    <w:pPr>
      <w:spacing w:before="60" w:after="60"/>
    </w:pPr>
  </w:style>
  <w:style w:type="paragraph" w:styleId="ListContinue">
    <w:name w:val="List Continue"/>
    <w:basedOn w:val="List"/>
    <w:rsid w:val="00647E20"/>
    <w:pPr>
      <w:ind w:firstLine="0"/>
    </w:pPr>
  </w:style>
  <w:style w:type="paragraph" w:customStyle="1" w:styleId="ListNote">
    <w:name w:val="List Note"/>
    <w:basedOn w:val="List"/>
    <w:rsid w:val="00647E20"/>
    <w:pPr>
      <w:pBdr>
        <w:top w:val="single" w:sz="6" w:space="2" w:color="918585"/>
        <w:bottom w:val="single" w:sz="6" w:space="2" w:color="918585"/>
      </w:pBdr>
      <w:tabs>
        <w:tab w:val="left" w:pos="1021"/>
      </w:tabs>
      <w:ind w:firstLine="0"/>
    </w:pPr>
  </w:style>
  <w:style w:type="paragraph" w:customStyle="1" w:styleId="Warning">
    <w:name w:val="Warning"/>
    <w:basedOn w:val="BodyText"/>
    <w:rsid w:val="00647E20"/>
    <w:pPr>
      <w:shd w:val="clear" w:color="auto" w:fill="D9D9D9"/>
      <w:tabs>
        <w:tab w:val="left" w:pos="992"/>
      </w:tabs>
      <w:ind w:left="119" w:right="119"/>
    </w:pPr>
    <w:rPr>
      <w:sz w:val="20"/>
    </w:rPr>
  </w:style>
  <w:style w:type="paragraph" w:customStyle="1" w:styleId="MarginIcons">
    <w:name w:val="Margin Icons"/>
    <w:basedOn w:val="BodyText"/>
    <w:rsid w:val="00647E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E20"/>
    <w:rPr>
      <w:rFonts w:ascii="Courier New" w:hAnsi="Courier New"/>
    </w:rPr>
  </w:style>
  <w:style w:type="paragraph" w:customStyle="1" w:styleId="NoteBullet">
    <w:name w:val="Note Bullet"/>
    <w:basedOn w:val="Note"/>
    <w:rsid w:val="00647E20"/>
    <w:pPr>
      <w:tabs>
        <w:tab w:val="clear" w:pos="680"/>
      </w:tabs>
      <w:spacing w:before="60" w:after="60"/>
    </w:pPr>
  </w:style>
  <w:style w:type="paragraph" w:customStyle="1" w:styleId="SubHeading2">
    <w:name w:val="SubHeading2"/>
    <w:basedOn w:val="HeadingBase"/>
    <w:rsid w:val="00647E20"/>
    <w:pPr>
      <w:spacing w:before="240" w:after="60"/>
    </w:pPr>
    <w:rPr>
      <w:sz w:val="20"/>
    </w:rPr>
  </w:style>
  <w:style w:type="paragraph" w:customStyle="1" w:styleId="SubHeading1">
    <w:name w:val="SubHeading1"/>
    <w:basedOn w:val="HeadingBase"/>
    <w:rsid w:val="00647E20"/>
    <w:pPr>
      <w:spacing w:before="240" w:after="60"/>
    </w:pPr>
    <w:rPr>
      <w:color w:val="918585"/>
      <w:sz w:val="22"/>
    </w:rPr>
  </w:style>
  <w:style w:type="paragraph" w:customStyle="1" w:styleId="SideHeading">
    <w:name w:val="Side Heading"/>
    <w:basedOn w:val="HeadingBase"/>
    <w:rsid w:val="00647E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E20"/>
    <w:pPr>
      <w:numPr>
        <w:numId w:val="12"/>
      </w:numPr>
    </w:pPr>
  </w:style>
  <w:style w:type="paragraph" w:styleId="PlainText">
    <w:name w:val="Plain Text"/>
    <w:basedOn w:val="Normal"/>
    <w:link w:val="PlainTextChar"/>
    <w:rsid w:val="00647E20"/>
    <w:rPr>
      <w:sz w:val="20"/>
    </w:rPr>
  </w:style>
  <w:style w:type="character" w:customStyle="1" w:styleId="PlainTextChar">
    <w:name w:val="Plain Text Char"/>
    <w:basedOn w:val="DefaultParagraphFont"/>
    <w:link w:val="PlainText"/>
    <w:rsid w:val="00647E20"/>
    <w:rPr>
      <w:rFonts w:ascii="Courier New" w:eastAsia="Times New Roman" w:hAnsi="Courier New" w:cs="Times New Roman"/>
      <w:sz w:val="20"/>
      <w:szCs w:val="20"/>
      <w:lang w:eastAsia="en-US"/>
    </w:rPr>
  </w:style>
  <w:style w:type="character" w:customStyle="1" w:styleId="MenuOption">
    <w:name w:val="Menu Option"/>
    <w:basedOn w:val="DefaultParagraphFont"/>
    <w:rsid w:val="00647E20"/>
    <w:rPr>
      <w:b/>
      <w:smallCaps/>
    </w:rPr>
  </w:style>
  <w:style w:type="paragraph" w:customStyle="1" w:styleId="TableListNumber">
    <w:name w:val="Table List Number"/>
    <w:basedOn w:val="ListNumber"/>
    <w:rsid w:val="00647E20"/>
    <w:pPr>
      <w:numPr>
        <w:numId w:val="0"/>
      </w:numPr>
    </w:pPr>
  </w:style>
  <w:style w:type="paragraph" w:styleId="TOC4">
    <w:name w:val="toc 4"/>
    <w:basedOn w:val="TOCBase"/>
    <w:next w:val="Normal"/>
    <w:semiHidden/>
    <w:rsid w:val="00647E20"/>
    <w:pPr>
      <w:tabs>
        <w:tab w:val="right" w:leader="dot" w:pos="9071"/>
      </w:tabs>
      <w:ind w:left="1701"/>
    </w:pPr>
  </w:style>
  <w:style w:type="paragraph" w:customStyle="1" w:styleId="ListAlpha">
    <w:name w:val="List Alpha"/>
    <w:basedOn w:val="List"/>
    <w:rsid w:val="00647E20"/>
    <w:pPr>
      <w:numPr>
        <w:numId w:val="9"/>
      </w:numPr>
    </w:pPr>
  </w:style>
  <w:style w:type="paragraph" w:customStyle="1" w:styleId="ListAlpha2">
    <w:name w:val="List Alpha 2"/>
    <w:basedOn w:val="List2"/>
    <w:rsid w:val="00647E20"/>
    <w:pPr>
      <w:numPr>
        <w:numId w:val="8"/>
      </w:numPr>
    </w:pPr>
  </w:style>
  <w:style w:type="paragraph" w:styleId="List2">
    <w:name w:val="List 2"/>
    <w:basedOn w:val="BodyText"/>
    <w:rsid w:val="00647E20"/>
    <w:pPr>
      <w:tabs>
        <w:tab w:val="left" w:pos="680"/>
      </w:tabs>
      <w:spacing w:before="60" w:after="60"/>
      <w:ind w:left="680" w:hanging="340"/>
    </w:pPr>
  </w:style>
  <w:style w:type="paragraph" w:styleId="List3">
    <w:name w:val="List 3"/>
    <w:basedOn w:val="BodyText"/>
    <w:rsid w:val="00647E20"/>
    <w:pPr>
      <w:tabs>
        <w:tab w:val="left" w:pos="1021"/>
      </w:tabs>
      <w:spacing w:before="60" w:after="60"/>
      <w:ind w:left="1020" w:hanging="340"/>
    </w:pPr>
  </w:style>
  <w:style w:type="paragraph" w:styleId="List4">
    <w:name w:val="List 4"/>
    <w:basedOn w:val="BodyText"/>
    <w:rsid w:val="00647E20"/>
    <w:pPr>
      <w:tabs>
        <w:tab w:val="left" w:pos="1361"/>
      </w:tabs>
      <w:spacing w:before="60" w:after="60"/>
      <w:ind w:left="1361" w:hanging="340"/>
    </w:pPr>
  </w:style>
  <w:style w:type="paragraph" w:styleId="List5">
    <w:name w:val="List 5"/>
    <w:basedOn w:val="BodyText"/>
    <w:rsid w:val="00647E20"/>
    <w:pPr>
      <w:tabs>
        <w:tab w:val="left" w:pos="1701"/>
      </w:tabs>
      <w:spacing w:before="60" w:after="60"/>
      <w:ind w:left="1701" w:hanging="340"/>
    </w:pPr>
  </w:style>
  <w:style w:type="paragraph" w:styleId="ListBullet3">
    <w:name w:val="List Bullet 3"/>
    <w:basedOn w:val="List3"/>
    <w:rsid w:val="00647E20"/>
    <w:pPr>
      <w:numPr>
        <w:numId w:val="15"/>
      </w:numPr>
      <w:tabs>
        <w:tab w:val="clear" w:pos="1021"/>
      </w:tabs>
      <w:ind w:left="1037" w:hanging="357"/>
    </w:pPr>
  </w:style>
  <w:style w:type="paragraph" w:styleId="ListBullet4">
    <w:name w:val="List Bullet 4"/>
    <w:basedOn w:val="List4"/>
    <w:rsid w:val="00647E20"/>
    <w:pPr>
      <w:numPr>
        <w:numId w:val="3"/>
      </w:numPr>
    </w:pPr>
  </w:style>
  <w:style w:type="paragraph" w:styleId="ListBullet5">
    <w:name w:val="List Bullet 5"/>
    <w:basedOn w:val="List5"/>
    <w:rsid w:val="00647E20"/>
    <w:pPr>
      <w:numPr>
        <w:numId w:val="4"/>
      </w:numPr>
    </w:pPr>
  </w:style>
  <w:style w:type="paragraph" w:styleId="ListContinue2">
    <w:name w:val="List Continue 2"/>
    <w:basedOn w:val="List2"/>
    <w:rsid w:val="00647E20"/>
    <w:pPr>
      <w:ind w:firstLine="0"/>
    </w:pPr>
  </w:style>
  <w:style w:type="paragraph" w:styleId="ListContinue3">
    <w:name w:val="List Continue 3"/>
    <w:basedOn w:val="List3"/>
    <w:rsid w:val="00647E20"/>
    <w:pPr>
      <w:ind w:left="1021" w:firstLine="0"/>
    </w:pPr>
  </w:style>
  <w:style w:type="paragraph" w:styleId="ListContinue4">
    <w:name w:val="List Continue 4"/>
    <w:basedOn w:val="List4"/>
    <w:rsid w:val="00647E20"/>
    <w:pPr>
      <w:ind w:firstLine="0"/>
    </w:pPr>
  </w:style>
  <w:style w:type="paragraph" w:styleId="ListContinue5">
    <w:name w:val="List Continue 5"/>
    <w:basedOn w:val="List5"/>
    <w:rsid w:val="00647E20"/>
    <w:pPr>
      <w:ind w:firstLine="0"/>
    </w:pPr>
  </w:style>
  <w:style w:type="paragraph" w:styleId="ListNumber3">
    <w:name w:val="List Number 3"/>
    <w:basedOn w:val="List3"/>
    <w:rsid w:val="00647E20"/>
    <w:pPr>
      <w:numPr>
        <w:numId w:val="5"/>
      </w:numPr>
    </w:pPr>
  </w:style>
  <w:style w:type="paragraph" w:styleId="ListNumber4">
    <w:name w:val="List Number 4"/>
    <w:basedOn w:val="List4"/>
    <w:rsid w:val="00647E20"/>
    <w:pPr>
      <w:numPr>
        <w:numId w:val="6"/>
      </w:numPr>
    </w:pPr>
  </w:style>
  <w:style w:type="paragraph" w:styleId="ListNumber5">
    <w:name w:val="List Number 5"/>
    <w:basedOn w:val="List5"/>
    <w:rsid w:val="00647E20"/>
    <w:pPr>
      <w:numPr>
        <w:numId w:val="7"/>
      </w:numPr>
    </w:pPr>
  </w:style>
  <w:style w:type="paragraph" w:styleId="BlockText">
    <w:name w:val="Block Text"/>
    <w:basedOn w:val="Normal"/>
    <w:rsid w:val="00647E20"/>
    <w:pPr>
      <w:spacing w:after="120"/>
      <w:ind w:left="1440" w:right="1440"/>
    </w:pPr>
  </w:style>
  <w:style w:type="character" w:customStyle="1" w:styleId="Subscript">
    <w:name w:val="Subscript"/>
    <w:basedOn w:val="DefaultParagraphFont"/>
    <w:rsid w:val="00647E20"/>
    <w:rPr>
      <w:sz w:val="16"/>
      <w:vertAlign w:val="subscript"/>
    </w:rPr>
  </w:style>
  <w:style w:type="character" w:customStyle="1" w:styleId="Superscript">
    <w:name w:val="Superscript"/>
    <w:basedOn w:val="DefaultParagraphFont"/>
    <w:rsid w:val="00647E20"/>
    <w:rPr>
      <w:sz w:val="16"/>
      <w:vertAlign w:val="superscript"/>
    </w:rPr>
  </w:style>
  <w:style w:type="character" w:customStyle="1" w:styleId="Symbols">
    <w:name w:val="Symbols"/>
    <w:basedOn w:val="DefaultParagraphFont"/>
    <w:rsid w:val="00647E20"/>
    <w:rPr>
      <w:rFonts w:ascii="Symbol" w:hAnsi="Symbol"/>
    </w:rPr>
  </w:style>
  <w:style w:type="character" w:customStyle="1" w:styleId="MenuOptions">
    <w:name w:val="Menu Options"/>
    <w:basedOn w:val="DefaultParagraphFont"/>
    <w:rsid w:val="00647E20"/>
    <w:rPr>
      <w:rFonts w:ascii="Arial Narrow" w:hAnsi="Arial Narrow"/>
      <w:smallCaps/>
    </w:rPr>
  </w:style>
  <w:style w:type="character" w:customStyle="1" w:styleId="Buttons">
    <w:name w:val="Buttons"/>
    <w:basedOn w:val="DefaultParagraphFont"/>
    <w:rsid w:val="00647E20"/>
    <w:rPr>
      <w:b/>
    </w:rPr>
  </w:style>
  <w:style w:type="character" w:customStyle="1" w:styleId="Underlined">
    <w:name w:val="Underlined"/>
    <w:basedOn w:val="DefaultParagraphFont"/>
    <w:rsid w:val="00647E20"/>
    <w:rPr>
      <w:u w:val="single"/>
    </w:rPr>
  </w:style>
  <w:style w:type="paragraph" w:customStyle="1" w:styleId="TableBodyTextRight">
    <w:name w:val="Table Body Text Right"/>
    <w:basedOn w:val="TableBodyText"/>
    <w:rsid w:val="00647E20"/>
    <w:pPr>
      <w:widowControl w:val="0"/>
      <w:autoSpaceDE w:val="0"/>
      <w:autoSpaceDN w:val="0"/>
      <w:adjustRightInd w:val="0"/>
      <w:jc w:val="right"/>
    </w:pPr>
    <w:rPr>
      <w:rFonts w:cs="Arial"/>
      <w:szCs w:val="18"/>
    </w:rPr>
  </w:style>
  <w:style w:type="paragraph" w:customStyle="1" w:styleId="CopyrightText">
    <w:name w:val="Copyright Text"/>
    <w:basedOn w:val="BodyText"/>
    <w:rsid w:val="00647E20"/>
    <w:rPr>
      <w:sz w:val="18"/>
    </w:rPr>
  </w:style>
  <w:style w:type="paragraph" w:customStyle="1" w:styleId="BodySmallRight">
    <w:name w:val="Body Small Right"/>
    <w:basedOn w:val="BodyTextRight"/>
    <w:rsid w:val="00647E20"/>
    <w:rPr>
      <w:sz w:val="18"/>
      <w:szCs w:val="18"/>
    </w:rPr>
  </w:style>
  <w:style w:type="paragraph" w:customStyle="1" w:styleId="MarginEdition">
    <w:name w:val="Margin Edition"/>
    <w:basedOn w:val="MarginNote"/>
    <w:rsid w:val="00647E20"/>
    <w:pPr>
      <w:spacing w:before="0" w:after="0"/>
    </w:pPr>
    <w:rPr>
      <w:rFonts w:ascii="Times New Roman" w:hAnsi="Times New Roman"/>
      <w:color w:val="999999"/>
    </w:rPr>
  </w:style>
  <w:style w:type="paragraph" w:customStyle="1" w:styleId="Spacer">
    <w:name w:val="Spacer"/>
    <w:basedOn w:val="Normal"/>
    <w:rsid w:val="00647E20"/>
    <w:rPr>
      <w:sz w:val="2"/>
      <w:szCs w:val="2"/>
    </w:rPr>
  </w:style>
  <w:style w:type="character" w:customStyle="1" w:styleId="Small">
    <w:name w:val="Small"/>
    <w:basedOn w:val="DefaultParagraphFont"/>
    <w:rsid w:val="00647E20"/>
    <w:rPr>
      <w:sz w:val="16"/>
    </w:rPr>
  </w:style>
  <w:style w:type="paragraph" w:customStyle="1" w:styleId="WideTable">
    <w:name w:val="Wide Table"/>
    <w:basedOn w:val="Normal"/>
    <w:rsid w:val="00647E20"/>
    <w:pPr>
      <w:ind w:left="-1418"/>
    </w:pPr>
    <w:rPr>
      <w:sz w:val="2"/>
      <w:szCs w:val="2"/>
    </w:rPr>
  </w:style>
  <w:style w:type="character" w:styleId="PageNumber">
    <w:name w:val="page number"/>
    <w:basedOn w:val="DefaultParagraphFont"/>
    <w:rsid w:val="00647E20"/>
  </w:style>
  <w:style w:type="paragraph" w:styleId="Quote">
    <w:name w:val="Quote"/>
    <w:basedOn w:val="Heading1"/>
    <w:link w:val="QuoteChar"/>
    <w:qFormat/>
    <w:rsid w:val="00647E20"/>
    <w:rPr>
      <w:b w:val="0"/>
      <w:sz w:val="72"/>
      <w:szCs w:val="72"/>
      <w:lang w:val="en-NZ"/>
    </w:rPr>
  </w:style>
  <w:style w:type="character" w:customStyle="1" w:styleId="QuoteChar">
    <w:name w:val="Quote Char"/>
    <w:basedOn w:val="DefaultParagraphFont"/>
    <w:link w:val="Quote"/>
    <w:rsid w:val="00647E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E20"/>
    <w:pPr>
      <w:pageBreakBefore/>
    </w:pPr>
  </w:style>
  <w:style w:type="paragraph" w:customStyle="1" w:styleId="Border">
    <w:name w:val="Border"/>
    <w:basedOn w:val="Normal"/>
    <w:qFormat/>
    <w:rsid w:val="00647E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E20"/>
    <w:rPr>
      <w:b/>
      <w:bCs/>
      <w:i/>
      <w:iCs/>
      <w:color w:val="auto"/>
    </w:rPr>
  </w:style>
  <w:style w:type="paragraph" w:styleId="IntenseQuote">
    <w:name w:val="Intense Quote"/>
    <w:basedOn w:val="Normal"/>
    <w:next w:val="Normal"/>
    <w:link w:val="IntenseQuoteChar"/>
    <w:uiPriority w:val="30"/>
    <w:qFormat/>
    <w:rsid w:val="00647E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E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E20"/>
    <w:rPr>
      <w:smallCaps/>
      <w:color w:val="auto"/>
      <w:u w:val="single"/>
    </w:rPr>
  </w:style>
  <w:style w:type="character" w:styleId="IntenseReference">
    <w:name w:val="Intense Reference"/>
    <w:basedOn w:val="DefaultParagraphFont"/>
    <w:uiPriority w:val="32"/>
    <w:qFormat/>
    <w:rsid w:val="00647E20"/>
    <w:rPr>
      <w:b/>
      <w:bCs/>
      <w:smallCaps/>
      <w:color w:val="auto"/>
      <w:spacing w:val="5"/>
      <w:u w:val="single"/>
    </w:rPr>
  </w:style>
  <w:style w:type="paragraph" w:customStyle="1" w:styleId="2ColumnHeading">
    <w:name w:val="2Column Heading"/>
    <w:basedOn w:val="BodyText"/>
    <w:qFormat/>
    <w:rsid w:val="00647E20"/>
    <w:pPr>
      <w:spacing w:after="60"/>
      <w:ind w:left="-2268"/>
    </w:pPr>
    <w:rPr>
      <w:b/>
    </w:rPr>
  </w:style>
  <w:style w:type="paragraph" w:customStyle="1" w:styleId="Heading1TOC">
    <w:name w:val="Heading1 TOC"/>
    <w:basedOn w:val="Normal"/>
    <w:qFormat/>
    <w:rsid w:val="00647E20"/>
    <w:pPr>
      <w:spacing w:before="240" w:after="120"/>
    </w:pPr>
    <w:rPr>
      <w:rFonts w:ascii="Times New Roman" w:hAnsi="Times New Roman"/>
      <w:b/>
      <w:sz w:val="32"/>
    </w:rPr>
  </w:style>
  <w:style w:type="paragraph" w:customStyle="1" w:styleId="Heading2TOC">
    <w:name w:val="Heading2 TOC"/>
    <w:basedOn w:val="Normal"/>
    <w:qFormat/>
    <w:rsid w:val="00647E20"/>
    <w:pPr>
      <w:spacing w:before="240" w:after="60"/>
    </w:pPr>
    <w:rPr>
      <w:rFonts w:ascii="Times New Roman" w:hAnsi="Times New Roman"/>
      <w:b/>
      <w:sz w:val="28"/>
    </w:rPr>
  </w:style>
  <w:style w:type="character" w:customStyle="1" w:styleId="Underline">
    <w:name w:val="Underline"/>
    <w:basedOn w:val="DefaultParagraphFont"/>
    <w:qFormat/>
    <w:rsid w:val="00647E20"/>
    <w:rPr>
      <w:u w:val="single"/>
    </w:rPr>
  </w:style>
  <w:style w:type="character" w:customStyle="1" w:styleId="BoldandItalics">
    <w:name w:val="Bold and Italics"/>
    <w:qFormat/>
    <w:rsid w:val="00647E20"/>
    <w:rPr>
      <w:b/>
      <w:i/>
      <w:u w:val="none"/>
    </w:rPr>
  </w:style>
  <w:style w:type="paragraph" w:styleId="BalloonText">
    <w:name w:val="Balloon Text"/>
    <w:basedOn w:val="Normal"/>
    <w:link w:val="BalloonTextChar"/>
    <w:rsid w:val="00647E20"/>
    <w:rPr>
      <w:rFonts w:ascii="Tahoma" w:hAnsi="Tahoma" w:cs="Tahoma"/>
      <w:sz w:val="16"/>
      <w:szCs w:val="16"/>
    </w:rPr>
  </w:style>
  <w:style w:type="character" w:customStyle="1" w:styleId="BalloonTextChar">
    <w:name w:val="Balloon Text Char"/>
    <w:basedOn w:val="DefaultParagraphFont"/>
    <w:link w:val="BalloonText"/>
    <w:rsid w:val="00647E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E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E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E20"/>
    <w:rPr>
      <w:b/>
      <w:color w:val="660033"/>
      <w:spacing w:val="0"/>
    </w:rPr>
  </w:style>
  <w:style w:type="paragraph" w:customStyle="1" w:styleId="Nameditemlist">
    <w:name w:val="Named item list"/>
    <w:basedOn w:val="BodyText"/>
    <w:qFormat/>
    <w:rsid w:val="00647E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1938</Words>
  <Characters>11831</Characters>
  <Application>Microsoft Office Word</Application>
  <DocSecurity>0</DocSecurity>
  <Lines>469</Lines>
  <Paragraphs>185</Paragraphs>
  <ScaleCrop>false</ScaleCrop>
  <Company>Author-it Software Corporation Ltd.</Company>
  <LinksUpToDate>false</LinksUpToDate>
  <CharactersWithSpaces>13639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UEENEEG127A Design electrical installations with a low voltage demand greater than 400 A per phase</dc:title>
  <dc:subject>Approved</dc:subject>
  <dc:creator>E-OZ Training Standards</dc:creator>
  <cp:keywords>Release 2</cp:keywords>
  <dc:description>Review Date: 12 April 2008</dc:description>
  <cp:lastModifiedBy>HSD_TPCMSd.prod</cp:lastModifiedBy>
  <cp:revision>3</cp:revision>
  <dcterms:created xsi:type="dcterms:W3CDTF">2013-08-14T01:03:00Z</dcterms:created>
  <dcterms:modified xsi:type="dcterms:W3CDTF">2013-08-14T01:03:00Z</dcterms:modified>
</cp:coreProperties>
</file>