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E5D" w:rsidP="00635E5D">
      <w:pPr>
        <w:pStyle w:val="Title"/>
      </w:pPr>
      <w:bookmarkStart w:id="0" w:name="_GoBack"/>
      <w:bookmarkEnd w:id="0"/>
      <w:r>
        <w:fldChar w:fldCharType="begin"/>
      </w:r>
      <w:r>
        <w:instrText xml:space="preserve"> TITLE   \* MERGEFORMAT </w:instrText>
      </w:r>
      <w:r>
        <w:fldChar w:fldCharType="separate"/>
      </w:r>
      <w:r>
        <w:t>UEENEEG120A Select and arrange equipment for special LV electrical installations</w:t>
      </w:r>
      <w:r>
        <w:fldChar w:fldCharType="end"/>
      </w:r>
    </w:p>
    <w:p w:rsidR="00635E5D" w:rsidP="00635E5D">
      <w:pPr>
        <w:pStyle w:val="Version"/>
        <w:sectPr w:rsidSect="00785B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BAF" w:rsidP="00785BAF">
      <w:pPr>
        <w:pStyle w:val="SuperHeading"/>
      </w:pPr>
      <w:r w:rsidRPr="00785BAF">
        <w:t>UEENEEG120A Select and arrange equipment for special LV electrical installations</w:t>
      </w:r>
    </w:p>
    <w:p w:rsidR="00000000" w:rsidRPr="00785BAF" w:rsidP="00785BAF">
      <w:pPr>
        <w:pStyle w:val="Heading1"/>
      </w:pPr>
      <w:bookmarkStart w:id="1" w:name="O_418970"/>
      <w:bookmarkEnd w:id="1"/>
      <w:r w:rsidRPr="00785BAF">
        <w:t>Modification History</w:t>
      </w:r>
    </w:p>
    <w:p w:rsidR="00000000" w:rsidRPr="00785BAF" w:rsidP="00785BAF">
      <w:pPr>
        <w:pStyle w:val="BodyText"/>
      </w:pPr>
      <w:r w:rsidRPr="00785BAF">
        <w:t>Not applicable.</w:t>
      </w:r>
    </w:p>
    <w:p w:rsidR="00000000" w:rsidRPr="00785BAF" w:rsidP="00785BAF">
      <w:pPr>
        <w:pStyle w:val="AllowPageBreak"/>
      </w:pPr>
    </w:p>
    <w:p w:rsidR="00000000" w:rsidRPr="00785BAF" w:rsidP="00785BAF">
      <w:pPr>
        <w:pStyle w:val="Heading1"/>
      </w:pPr>
      <w:bookmarkStart w:id="2" w:name="O_418968"/>
      <w:bookmarkEnd w:id="2"/>
      <w:r w:rsidRPr="00785BAF">
        <w:t>Unit Descriptor</w:t>
      </w:r>
    </w:p>
    <w:tbl>
      <w:tblPr>
        <w:tblW w:w="0" w:type="auto"/>
        <w:tblLayout w:type="fixed"/>
        <w:tblCellMar>
          <w:left w:w="62" w:type="dxa"/>
          <w:right w:w="62" w:type="dxa"/>
        </w:tblCellMar>
        <w:tblLook w:val="0000"/>
      </w:tblPr>
      <w:tblGrid>
        <w:gridCol w:w="2700"/>
        <w:gridCol w:w="5760"/>
      </w:tblGrid>
      <w:tr w:rsidTr="00635E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rPr>
                <w:rStyle w:val="SpecialBold"/>
              </w:rPr>
              <w:t>1)</w:t>
            </w:r>
            <w:r w:rsidRPr="00785BAF">
              <w:t xml:space="preserve"> </w:t>
            </w:r>
            <w:r w:rsidRPr="00785BAF">
              <w:rPr>
                <w:rStyle w:val="SpecialBold"/>
              </w:rPr>
              <w:t>Scope:</w:t>
            </w:r>
          </w:p>
        </w:tc>
      </w:tr>
      <w:tr w:rsidTr="00635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85BA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rPr>
                <w:rStyle w:val="SpecialBold"/>
              </w:rPr>
              <w:t>1.1) Descriptor</w:t>
            </w:r>
          </w:p>
        </w:tc>
      </w:tr>
      <w:tr w:rsidTr="00635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t>This unit covers selecting and arranging electrical equipment into distribution circuits for installations in caravan parks, construction and demolition sites, marinas, medical treatment areas and moveable premises operating at voltages up to 1,000V a.c. o</w:t>
            </w:r>
            <w:r w:rsidRPr="00785BAF">
              <w:t xml:space="preserve">r 1,500 V d.c. The unit encompasses schemes for protection of persons and property, correct functioning, compatibility with the supply, arrangement of circuits and selection of switchgear, controlgear, protection devices and wiring based on calculated and </w:t>
            </w:r>
            <w:r w:rsidRPr="00785BAF">
              <w:t>deemed-to-comply solutions.</w:t>
            </w:r>
          </w:p>
        </w:tc>
      </w:tr>
    </w:tbl>
    <w:p w:rsidR="00000000" w:rsidRPr="00785BAF" w:rsidP="00785BAF">
      <w:pPr>
        <w:pStyle w:val="BodyText"/>
      </w:pPr>
    </w:p>
    <w:p w:rsidR="00000000" w:rsidRPr="00785BAF" w:rsidP="00785BAF">
      <w:pPr>
        <w:pStyle w:val="AllowPageBreak"/>
      </w:pPr>
    </w:p>
    <w:p w:rsidR="00000000" w:rsidRPr="00785BAF" w:rsidP="00785BAF">
      <w:pPr>
        <w:pStyle w:val="Heading1"/>
      </w:pPr>
      <w:bookmarkStart w:id="3" w:name="O_418957"/>
      <w:bookmarkEnd w:id="3"/>
      <w:r w:rsidRPr="00785BAF">
        <w:t>Application of the Unit</w:t>
      </w:r>
    </w:p>
    <w:tbl>
      <w:tblPr>
        <w:tblW w:w="0" w:type="auto"/>
        <w:tblLayout w:type="fixed"/>
        <w:tblCellMar>
          <w:left w:w="62" w:type="dxa"/>
          <w:right w:w="62" w:type="dxa"/>
        </w:tblCellMar>
        <w:tblLook w:val="0000"/>
      </w:tblPr>
      <w:tblGrid>
        <w:gridCol w:w="2672"/>
        <w:gridCol w:w="5699"/>
      </w:tblGrid>
      <w:tr w:rsidTr="00635E5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rPr>
                <w:rStyle w:val="SpecialBold"/>
              </w:rPr>
              <w:t>2)</w:t>
            </w:r>
          </w:p>
        </w:tc>
      </w:tr>
      <w:tr w:rsidTr="00635E5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t>This unit is intended as an additional competency to relevant competencies previously acquired and is therefore not applicable to those entering work.</w:t>
            </w:r>
          </w:p>
        </w:tc>
      </w:tr>
    </w:tbl>
    <w:p w:rsidR="00000000" w:rsidRPr="00785BAF" w:rsidP="00785BAF">
      <w:pPr>
        <w:pStyle w:val="BodyText"/>
      </w:pPr>
    </w:p>
    <w:p w:rsidR="00000000" w:rsidRPr="00785BAF" w:rsidP="00785BAF">
      <w:pPr>
        <w:pStyle w:val="AllowPageBreak"/>
      </w:pPr>
    </w:p>
    <w:p w:rsidR="00000000" w:rsidRPr="00785BAF" w:rsidP="00785BAF">
      <w:pPr>
        <w:pStyle w:val="Heading1"/>
      </w:pPr>
      <w:bookmarkStart w:id="4" w:name="O_418964"/>
      <w:bookmarkEnd w:id="4"/>
      <w:r w:rsidRPr="00785BAF">
        <w:t>Licensing/Regulatory Information</w:t>
      </w:r>
    </w:p>
    <w:tbl>
      <w:tblPr>
        <w:tblW w:w="0" w:type="auto"/>
        <w:tblLayout w:type="fixed"/>
        <w:tblCellMar>
          <w:left w:w="62" w:type="dxa"/>
          <w:right w:w="62" w:type="dxa"/>
        </w:tblCellMar>
        <w:tblLook w:val="0000"/>
      </w:tblPr>
      <w:tblGrid>
        <w:gridCol w:w="2700"/>
        <w:gridCol w:w="5760"/>
      </w:tblGrid>
      <w:tr w:rsidTr="00635E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rPr>
                <w:rStyle w:val="SpecialBold"/>
              </w:rPr>
              <w:t xml:space="preserve">3) </w:t>
            </w:r>
          </w:p>
        </w:tc>
      </w:tr>
      <w:tr w:rsidTr="00635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t>The skills and knowledge described in this unit do not require a license to practice in the work place. However practice in this unit is subject to regulations directly related to o</w:t>
            </w:r>
            <w:r w:rsidRPr="00785BAF">
              <w:t>ccupational health and safe and contracts of training such as new apprenticeships.</w:t>
            </w:r>
          </w:p>
        </w:tc>
      </w:tr>
    </w:tbl>
    <w:p w:rsidR="00000000" w:rsidRPr="00785BAF" w:rsidP="00785BAF">
      <w:pPr>
        <w:pStyle w:val="BodyText"/>
      </w:pPr>
    </w:p>
    <w:p w:rsidR="00000000" w:rsidRPr="00785BAF" w:rsidP="00785BAF">
      <w:pPr>
        <w:pStyle w:val="AllowPageBreak"/>
      </w:pPr>
    </w:p>
    <w:p w:rsidR="00000000" w:rsidRPr="00785BAF" w:rsidP="00785BAF">
      <w:pPr>
        <w:pStyle w:val="Heading1"/>
      </w:pPr>
      <w:bookmarkStart w:id="5" w:name="O_418965"/>
      <w:bookmarkEnd w:id="5"/>
      <w:r w:rsidRPr="00785BAF">
        <w:t>Pre-Requisites</w:t>
      </w:r>
    </w:p>
    <w:tbl>
      <w:tblPr>
        <w:tblW w:w="0" w:type="auto"/>
        <w:tblLayout w:type="fixed"/>
        <w:tblCellMar>
          <w:left w:w="62" w:type="dxa"/>
          <w:right w:w="62" w:type="dxa"/>
        </w:tblCellMar>
        <w:tblLook w:val="0000"/>
      </w:tblPr>
      <w:tblGrid>
        <w:gridCol w:w="2700"/>
        <w:gridCol w:w="1440"/>
        <w:gridCol w:w="4320"/>
      </w:tblGrid>
      <w:tr w:rsidTr="00635E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rPr>
                <w:rStyle w:val="SpecialBold"/>
              </w:rPr>
              <w:t xml:space="preserve">4) </w:t>
            </w:r>
          </w:p>
        </w:tc>
      </w:tr>
      <w:tr w:rsidTr="00635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rPr>
                <w:rStyle w:val="SpecialBold"/>
              </w:rPr>
              <w:t>4.1)</w:t>
            </w:r>
          </w:p>
        </w:tc>
      </w:tr>
      <w:tr w:rsidTr="00635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Granting competency in this unit shall be made only after competency in the following unit(s) has/have been confirmed.</w:t>
            </w:r>
          </w:p>
        </w:tc>
      </w:tr>
      <w:tr w:rsidTr="00635E5D">
        <w:tblPrEx>
          <w:tblW w:w="0" w:type="auto"/>
          <w:tblLayout w:type="fixed"/>
          <w:tblCellMar>
            <w:left w:w="62" w:type="dxa"/>
            <w:right w:w="62" w:type="dxa"/>
          </w:tblCellMar>
          <w:tblLook w:val="0000"/>
        </w:tblPrEx>
        <w:trPr>
          <w:trHeight w:val="843"/>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UEENEEE101A</w:t>
            </w:r>
          </w:p>
        </w:tc>
        <w:tc>
          <w:tcPr>
            <w:tcW w:w="432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Apply Occupational Health and Safety regulations, codes and practices in the workplace</w:t>
            </w:r>
          </w:p>
        </w:tc>
      </w:tr>
      <w:tr w:rsidTr="00635E5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UEENEEE102A</w:t>
            </w:r>
          </w:p>
        </w:tc>
        <w:tc>
          <w:tcPr>
            <w:tcW w:w="432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Fabricate, dismantle,</w:t>
            </w:r>
            <w:r w:rsidRPr="00785BAF">
              <w:t xml:space="preserve"> assemble of utilities components</w:t>
            </w:r>
          </w:p>
        </w:tc>
      </w:tr>
      <w:tr w:rsidTr="00635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UEENEEE104A</w:t>
            </w:r>
          </w:p>
        </w:tc>
        <w:tc>
          <w:tcPr>
            <w:tcW w:w="432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Solve problems in d.c circuits</w:t>
            </w:r>
          </w:p>
        </w:tc>
      </w:tr>
      <w:tr w:rsidTr="00635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UEENEEE105A</w:t>
            </w:r>
          </w:p>
        </w:tc>
        <w:tc>
          <w:tcPr>
            <w:tcW w:w="432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Fix and secure electrotechnology equipment</w:t>
            </w:r>
          </w:p>
        </w:tc>
      </w:tr>
      <w:tr w:rsidTr="00635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UEENEEE107A</w:t>
            </w:r>
          </w:p>
        </w:tc>
        <w:tc>
          <w:tcPr>
            <w:tcW w:w="432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Use drawings, diagrams, schedules, standards, codes and specifications</w:t>
            </w:r>
          </w:p>
        </w:tc>
      </w:tr>
      <w:tr w:rsidTr="00635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UEENEEG006A</w:t>
            </w:r>
          </w:p>
        </w:tc>
        <w:tc>
          <w:tcPr>
            <w:tcW w:w="432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Solve problems in single and three phase low voltage machines</w:t>
            </w:r>
          </w:p>
        </w:tc>
      </w:tr>
      <w:tr w:rsidTr="00635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UEENEEG033A</w:t>
            </w:r>
          </w:p>
        </w:tc>
        <w:tc>
          <w:tcPr>
            <w:tcW w:w="432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Solve problems in single and three phase electrical apparatus and circuits</w:t>
            </w:r>
          </w:p>
        </w:tc>
      </w:tr>
      <w:tr w:rsidTr="00635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 xml:space="preserve">UEENEEG063A </w:t>
            </w:r>
          </w:p>
        </w:tc>
        <w:tc>
          <w:tcPr>
            <w:tcW w:w="432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Arrange circuits, control and protection for general electrical installations</w:t>
            </w:r>
          </w:p>
        </w:tc>
      </w:tr>
      <w:tr w:rsidTr="00635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UEENEEG101A</w:t>
            </w:r>
          </w:p>
        </w:tc>
        <w:tc>
          <w:tcPr>
            <w:tcW w:w="432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Solve problems in electromagnetic devices and related circuits</w:t>
            </w:r>
          </w:p>
        </w:tc>
      </w:tr>
      <w:tr w:rsidTr="00635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UEENEEG102A</w:t>
            </w:r>
          </w:p>
        </w:tc>
        <w:tc>
          <w:tcPr>
            <w:tcW w:w="432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Solve problems in low voltage a.c. circuit</w:t>
            </w:r>
          </w:p>
        </w:tc>
      </w:tr>
      <w:tr w:rsidTr="00635E5D">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UEENEEG106A</w:t>
            </w:r>
          </w:p>
        </w:tc>
        <w:tc>
          <w:tcPr>
            <w:tcW w:w="432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Terminate cables, cords and accessories for low voltage circuits</w:t>
            </w:r>
          </w:p>
        </w:tc>
      </w:tr>
      <w:tr w:rsidTr="00635E5D">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UEENEEG107A</w:t>
            </w:r>
          </w:p>
        </w:tc>
        <w:tc>
          <w:tcPr>
            <w:tcW w:w="432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t>Select wiring systems and cables for low voltage general electrical installations</w:t>
            </w:r>
          </w:p>
        </w:tc>
      </w:tr>
    </w:tbl>
    <w:p w:rsidR="00000000" w:rsidRPr="00785BAF" w:rsidP="00785BA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35E5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rPr>
                <w:rStyle w:val="SpecialBold"/>
              </w:rPr>
              <w:t xml:space="preserve">4.2) </w:t>
            </w:r>
          </w:p>
        </w:tc>
      </w:tr>
      <w:tr w:rsidTr="00635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Participants are best equipped to achieve competency in this unit if they have reading, writing and numeracy skills indicated by the following scales. Description of each scale is given in Volume 2, Part 3 ‘Literacy and Numeracy’</w:t>
            </w:r>
          </w:p>
        </w:tc>
      </w:tr>
      <w:tr w:rsidTr="00635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Reading</w:t>
            </w:r>
          </w:p>
        </w:tc>
        <w:tc>
          <w:tcPr>
            <w:tcW w:w="81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4</w:t>
            </w:r>
          </w:p>
        </w:tc>
        <w:tc>
          <w:tcPr>
            <w:tcW w:w="99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Writing</w:t>
            </w:r>
          </w:p>
        </w:tc>
        <w:tc>
          <w:tcPr>
            <w:tcW w:w="90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4</w:t>
            </w:r>
          </w:p>
        </w:tc>
        <w:tc>
          <w:tcPr>
            <w:tcW w:w="126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Numeracy</w:t>
            </w:r>
          </w:p>
        </w:tc>
        <w:tc>
          <w:tcPr>
            <w:tcW w:w="72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t>4</w:t>
            </w:r>
          </w:p>
        </w:tc>
      </w:tr>
    </w:tbl>
    <w:p w:rsidR="00000000" w:rsidRPr="00785BAF" w:rsidP="00785BAF">
      <w:pPr>
        <w:pStyle w:val="BodyText"/>
      </w:pPr>
    </w:p>
    <w:p w:rsidR="00000000" w:rsidRPr="00785BAF" w:rsidP="00785BAF">
      <w:pPr>
        <w:pStyle w:val="AllowPageBreak"/>
      </w:pPr>
    </w:p>
    <w:p w:rsidR="00000000" w:rsidRPr="00785BAF" w:rsidP="00785BAF">
      <w:pPr>
        <w:pStyle w:val="Heading1"/>
      </w:pPr>
      <w:bookmarkStart w:id="6" w:name="O_418961"/>
      <w:bookmarkEnd w:id="6"/>
      <w:r w:rsidRPr="00785BAF">
        <w:t>Employability Skills Information</w:t>
      </w:r>
    </w:p>
    <w:tbl>
      <w:tblPr>
        <w:tblW w:w="0" w:type="auto"/>
        <w:tblLayout w:type="fixed"/>
        <w:tblCellMar>
          <w:left w:w="62" w:type="dxa"/>
          <w:right w:w="62" w:type="dxa"/>
        </w:tblCellMar>
        <w:tblLook w:val="0000"/>
      </w:tblPr>
      <w:tblGrid>
        <w:gridCol w:w="2700"/>
        <w:gridCol w:w="5760"/>
      </w:tblGrid>
      <w:tr w:rsidTr="00635E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rPr>
                <w:rStyle w:val="SpecialBold"/>
              </w:rPr>
              <w:t xml:space="preserve">5) </w:t>
            </w:r>
          </w:p>
        </w:tc>
      </w:tr>
      <w:tr w:rsidTr="00635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t>This unit contains Employability Skills</w:t>
            </w:r>
          </w:p>
          <w:p w:rsidR="00000000" w:rsidRPr="00785BAF" w:rsidP="00785BAF">
            <w:pPr>
              <w:pStyle w:val="BodyText"/>
            </w:pPr>
            <w:r w:rsidRPr="00785BA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85BAF">
              <w:t>requirements.</w:t>
            </w:r>
          </w:p>
        </w:tc>
      </w:tr>
    </w:tbl>
    <w:p w:rsidR="00000000" w:rsidRPr="00785BAF" w:rsidP="00785BAF">
      <w:pPr>
        <w:pStyle w:val="BodyText"/>
      </w:pPr>
    </w:p>
    <w:p w:rsidR="00000000" w:rsidRPr="00785BAF" w:rsidP="00785BAF">
      <w:pPr>
        <w:pStyle w:val="AllowPageBreak"/>
      </w:pPr>
    </w:p>
    <w:p w:rsidR="00000000" w:rsidRPr="00785BAF" w:rsidP="00785BAF">
      <w:pPr>
        <w:pStyle w:val="Heading1"/>
      </w:pPr>
      <w:bookmarkStart w:id="7" w:name="O_418960"/>
      <w:bookmarkEnd w:id="7"/>
      <w:r w:rsidRPr="00785BAF">
        <w:t>Elements and Performance Criteria Pre-Content</w:t>
      </w:r>
    </w:p>
    <w:tbl>
      <w:tblPr>
        <w:tblW w:w="0" w:type="auto"/>
        <w:tblLayout w:type="fixed"/>
        <w:tblCellMar>
          <w:left w:w="62" w:type="dxa"/>
          <w:right w:w="62" w:type="dxa"/>
        </w:tblCellMar>
        <w:tblLook w:val="0000"/>
      </w:tblPr>
      <w:tblGrid>
        <w:gridCol w:w="2700"/>
        <w:gridCol w:w="5760"/>
      </w:tblGrid>
      <w:tr w:rsidTr="00635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rPr>
                <w:rStyle w:val="SpecialBold"/>
              </w:rPr>
              <w:t>6)</w:t>
            </w:r>
            <w:r w:rsidRPr="00785BA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t>Performance Criteria describe the required performance needed to demonstrate achievement of the element. Assessment of performance is to be consistent with the Evidence Guide.</w:t>
            </w:r>
          </w:p>
        </w:tc>
      </w:tr>
    </w:tbl>
    <w:p w:rsidR="00000000" w:rsidRPr="00785BAF" w:rsidP="00785BAF">
      <w:pPr>
        <w:pStyle w:val="BodyText"/>
      </w:pPr>
    </w:p>
    <w:p w:rsidR="00000000" w:rsidRPr="00785BAF" w:rsidP="00785BAF">
      <w:pPr>
        <w:pStyle w:val="AllowPageBreak"/>
      </w:pPr>
    </w:p>
    <w:p w:rsidR="00000000" w:rsidRPr="00785BAF" w:rsidP="00785BAF">
      <w:pPr>
        <w:pStyle w:val="Heading1"/>
      </w:pPr>
      <w:bookmarkStart w:id="8" w:name="O_418959"/>
      <w:bookmarkEnd w:id="8"/>
      <w:r w:rsidRPr="00785BA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35E5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rPr>
                <w:rStyle w:val="SpecialBold"/>
              </w:rPr>
              <w:t>PERFORMANCE CRITER</w:t>
            </w:r>
            <w:r w:rsidRPr="00785BAF">
              <w:rPr>
                <w:rStyle w:val="SpecialBold"/>
              </w:rPr>
              <w:t>IA</w:t>
            </w:r>
          </w:p>
        </w:tc>
      </w:tr>
      <w:tr w:rsidTr="00635E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1</w:t>
            </w:r>
          </w:p>
        </w:tc>
        <w:tc>
          <w:tcPr>
            <w:tcW w:w="2296" w:type="dxa"/>
            <w:vMerge w:val="restart"/>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t>Prepare to select equipment.</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1.1</w:t>
            </w:r>
          </w:p>
        </w:tc>
        <w:tc>
          <w:tcPr>
            <w:tcW w:w="486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The extent and nature of the electrical installation is determined from job specifications.</w:t>
            </w:r>
          </w:p>
        </w:tc>
      </w:tr>
      <w:tr w:rsidTr="00635E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1.2</w:t>
            </w:r>
          </w:p>
        </w:tc>
        <w:tc>
          <w:tcPr>
            <w:tcW w:w="486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Safety and other regulatory requirements to which the electrical installation shall comply are identified, obtained and understood.</w:t>
            </w:r>
          </w:p>
        </w:tc>
      </w:tr>
      <w:tr w:rsidTr="00635E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2</w:t>
            </w:r>
          </w:p>
        </w:tc>
        <w:tc>
          <w:tcPr>
            <w:tcW w:w="2296" w:type="dxa"/>
            <w:vMerge w:val="restart"/>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t>Arrange installation into circuits.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2.1</w:t>
            </w:r>
          </w:p>
        </w:tc>
        <w:tc>
          <w:tcPr>
            <w:tcW w:w="486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Circuits are arranged to ensure safe and functional operation of the installation.</w:t>
            </w:r>
          </w:p>
        </w:tc>
      </w:tr>
      <w:tr w:rsidTr="00635E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2.2</w:t>
            </w:r>
          </w:p>
        </w:tc>
        <w:tc>
          <w:tcPr>
            <w:tcW w:w="486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Circuits are arranged to comply with technical standards and job specifications and requirements.</w:t>
            </w:r>
          </w:p>
        </w:tc>
      </w:tr>
      <w:tr w:rsidTr="00635E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2.3</w:t>
            </w:r>
          </w:p>
        </w:tc>
        <w:tc>
          <w:tcPr>
            <w:tcW w:w="486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Earthing is arranged to comply with the MEN system requiremen</w:t>
            </w:r>
            <w:r w:rsidRPr="00785BAF">
              <w:t>ts.</w:t>
            </w:r>
          </w:p>
        </w:tc>
      </w:tr>
      <w:tr w:rsidTr="00635E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3</w:t>
            </w:r>
          </w:p>
        </w:tc>
        <w:tc>
          <w:tcPr>
            <w:tcW w:w="2296"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Select cables, protection and switchgear.</w:t>
            </w:r>
          </w:p>
        </w:tc>
        <w:tc>
          <w:tcPr>
            <w:tcW w:w="90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3.1</w:t>
            </w:r>
          </w:p>
        </w:tc>
        <w:tc>
          <w:tcPr>
            <w:tcW w:w="486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Wiring is selected for suitability for the environments in which they are installed.</w:t>
            </w:r>
          </w:p>
        </w:tc>
      </w:tr>
      <w:tr w:rsidTr="00635E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3.2</w:t>
            </w:r>
          </w:p>
        </w:tc>
        <w:tc>
          <w:tcPr>
            <w:tcW w:w="486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Cable conductor sizes are selected to meet current-carrying capacity requirements and voltage-drop and fault-loop impedance limitations.</w:t>
            </w:r>
          </w:p>
        </w:tc>
      </w:tr>
      <w:tr w:rsidTr="00635E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3.3</w:t>
            </w:r>
          </w:p>
        </w:tc>
        <w:tc>
          <w:tcPr>
            <w:tcW w:w="486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Protection methods and devices are selected to meet co-ordination requirements for overload and short-circuit pr</w:t>
            </w:r>
            <w:r w:rsidRPr="00785BAF">
              <w:t>otection.</w:t>
            </w:r>
          </w:p>
        </w:tc>
      </w:tr>
      <w:tr w:rsidTr="00635E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3.4</w:t>
            </w:r>
          </w:p>
        </w:tc>
        <w:tc>
          <w:tcPr>
            <w:tcW w:w="486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Switchgear and control gear is selected to meet current, voltage and IP ratings and functional requirements.</w:t>
            </w:r>
          </w:p>
        </w:tc>
      </w:tr>
      <w:tr w:rsidTr="00635E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3.5</w:t>
            </w:r>
          </w:p>
        </w:tc>
        <w:tc>
          <w:tcPr>
            <w:tcW w:w="486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Earthing system components are selected to meet requirements of the MEN system.</w:t>
            </w:r>
          </w:p>
        </w:tc>
      </w:tr>
      <w:tr w:rsidTr="00635E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3.6</w:t>
            </w:r>
          </w:p>
        </w:tc>
        <w:tc>
          <w:tcPr>
            <w:tcW w:w="486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Evidence is obtained that electrical equipment selected complies with safety requirements.</w:t>
            </w:r>
          </w:p>
        </w:tc>
      </w:tr>
      <w:tr w:rsidTr="00635E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4</w:t>
            </w:r>
          </w:p>
        </w:tc>
        <w:tc>
          <w:tcPr>
            <w:tcW w:w="2296"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Document electrical installation.</w:t>
            </w:r>
          </w:p>
        </w:tc>
        <w:tc>
          <w:tcPr>
            <w:tcW w:w="90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4.1</w:t>
            </w:r>
          </w:p>
        </w:tc>
        <w:tc>
          <w:tcPr>
            <w:tcW w:w="486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Reasons for selections made, including calculations, are documented in accordance with established procedures.</w:t>
            </w:r>
          </w:p>
        </w:tc>
      </w:tr>
      <w:tr w:rsidTr="00635E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4.2</w:t>
            </w:r>
          </w:p>
        </w:tc>
        <w:tc>
          <w:tcPr>
            <w:tcW w:w="486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t>Electr</w:t>
            </w:r>
            <w:r w:rsidRPr="00785BAF">
              <w:t>ical installation arrangement and specifications for all selected items are documented in accordance with established procedures and forwarded to appropriate person(s).</w:t>
            </w:r>
          </w:p>
        </w:tc>
      </w:tr>
    </w:tbl>
    <w:p w:rsidR="00000000" w:rsidRPr="00785BAF" w:rsidP="00785BAF">
      <w:pPr>
        <w:pStyle w:val="BodyText"/>
      </w:pPr>
    </w:p>
    <w:p w:rsidR="00000000" w:rsidRPr="00785BAF" w:rsidP="00785BAF">
      <w:pPr>
        <w:pStyle w:val="AllowPageBreak"/>
      </w:pPr>
    </w:p>
    <w:p w:rsidR="00000000" w:rsidRPr="00785BAF" w:rsidP="00785BAF">
      <w:pPr>
        <w:pStyle w:val="Heading1"/>
      </w:pPr>
      <w:bookmarkStart w:id="9" w:name="O_418967"/>
      <w:bookmarkEnd w:id="9"/>
      <w:r w:rsidRPr="00785BAF">
        <w:t>Required Skills and Knowledge</w:t>
      </w:r>
    </w:p>
    <w:tbl>
      <w:tblPr>
        <w:tblW w:w="0" w:type="auto"/>
        <w:tblLayout w:type="fixed"/>
        <w:tblCellMar>
          <w:left w:w="62" w:type="dxa"/>
          <w:right w:w="62" w:type="dxa"/>
        </w:tblCellMar>
        <w:tblLook w:val="0000"/>
      </w:tblPr>
      <w:tblGrid>
        <w:gridCol w:w="8460"/>
      </w:tblGrid>
      <w:tr w:rsidTr="00635E5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rPr>
                <w:rStyle w:val="SpecialBold"/>
              </w:rPr>
              <w:t>REQUIRED SKILLS AND KNOWLEDGE</w:t>
            </w:r>
          </w:p>
        </w:tc>
      </w:tr>
      <w:tr w:rsidTr="00635E5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rPr>
                <w:rStyle w:val="SpecialBold"/>
              </w:rPr>
              <w:t>8)</w:t>
            </w:r>
            <w:r w:rsidRPr="00785BAF">
              <w:t xml:space="preserve"> This describes the essential skills and knowledge and their level, required for this unit.</w:t>
            </w:r>
          </w:p>
          <w:p w:rsidR="00000000" w:rsidRPr="00785BAF" w:rsidP="00785BAF">
            <w:pPr>
              <w:pStyle w:val="BodyText"/>
            </w:pPr>
            <w:r w:rsidRPr="00785BAF">
              <w:t>Evidence shall show that knowledge has been acquired of safe working practices and selecting and arranging equipment for special electrical installations.</w:t>
            </w:r>
          </w:p>
          <w:p w:rsidR="00000000" w:rsidRPr="00785BAF" w:rsidP="00785BAF">
            <w:pPr>
              <w:pStyle w:val="BodyText"/>
            </w:pPr>
            <w:r w:rsidRPr="00785BAF">
              <w:t>All knowl</w:t>
            </w:r>
            <w:r w:rsidRPr="00785BAF">
              <w:t>edge and skills detailed in this unit should be contextualised to current industry practices and technologies.</w:t>
            </w:r>
          </w:p>
          <w:p w:rsidR="00000000" w:rsidRPr="00785BAF" w:rsidP="00785BAF">
            <w:pPr>
              <w:pStyle w:val="BodyText"/>
            </w:pPr>
            <w:r w:rsidRPr="00785BAF">
              <w:rPr>
                <w:rStyle w:val="SpecialBold"/>
              </w:rPr>
              <w:t>KS01-EG120A</w:t>
            </w:r>
            <w:r w:rsidRPr="00785BAF">
              <w:rPr>
                <w:rStyle w:val="SpecialBold"/>
              </w:rPr>
              <w:tab/>
              <w:t xml:space="preserve">              Special electrical installations planning</w:t>
            </w:r>
          </w:p>
          <w:p w:rsidR="00000000" w:rsidRPr="00785BAF" w:rsidP="00785BAF">
            <w:pPr>
              <w:pStyle w:val="BodyText"/>
            </w:pPr>
            <w:r w:rsidRPr="00785BAF">
              <w:t>Evidence shall show an understanding of the selection and arrangement of equi</w:t>
            </w:r>
            <w:r w:rsidRPr="00785BAF">
              <w:t>pment for special electrical installations to an extent indicated by the following aspects:</w:t>
            </w:r>
          </w:p>
          <w:p w:rsidR="00000000" w:rsidRPr="00785BAF" w:rsidP="00785BAF">
            <w:pPr>
              <w:pStyle w:val="BodyText"/>
            </w:pPr>
            <w:r w:rsidRPr="00785BAF">
              <w:t>T1</w:t>
            </w:r>
            <w:r w:rsidRPr="00785BAF">
              <w:tab/>
              <w:t xml:space="preserve">Technical standards, regulations and codes for special electrical installations </w:t>
            </w:r>
            <w:r w:rsidRPr="00785BAF">
              <w:tab/>
              <w:t>encompassing:</w:t>
            </w:r>
          </w:p>
          <w:p w:rsidR="00000000" w:rsidRPr="00785BAF" w:rsidP="00785BAF">
            <w:pPr>
              <w:pStyle w:val="ListBullet"/>
            </w:pPr>
            <w:r w:rsidRPr="00785BAF">
              <w:t>Additional requirements for special installations</w:t>
            </w:r>
          </w:p>
          <w:p w:rsidR="00000000" w:rsidRPr="00785BAF" w:rsidP="00785BAF">
            <w:pPr>
              <w:pStyle w:val="ListBullet"/>
            </w:pPr>
            <w:r w:rsidRPr="00785BAF">
              <w:t>caravan parks</w:t>
            </w:r>
          </w:p>
          <w:p w:rsidR="00000000" w:rsidRPr="00785BAF" w:rsidP="00785BAF">
            <w:pPr>
              <w:pStyle w:val="ListBullet"/>
            </w:pPr>
            <w:r w:rsidRPr="00785BAF">
              <w:t>co</w:t>
            </w:r>
            <w:r w:rsidRPr="00785BAF">
              <w:t>nstruction and demolition sites</w:t>
            </w:r>
          </w:p>
          <w:p w:rsidR="00000000" w:rsidRPr="00785BAF" w:rsidP="00785BAF">
            <w:pPr>
              <w:pStyle w:val="ListBullet"/>
            </w:pPr>
            <w:r w:rsidRPr="00785BAF">
              <w:t>marinas</w:t>
            </w:r>
          </w:p>
          <w:p w:rsidR="00000000" w:rsidRPr="00785BAF" w:rsidP="00785BAF">
            <w:pPr>
              <w:pStyle w:val="ListBullet"/>
            </w:pPr>
            <w:r w:rsidRPr="00785BAF">
              <w:t>medical treatment areas</w:t>
            </w:r>
          </w:p>
          <w:p w:rsidR="00000000" w:rsidRPr="00785BAF" w:rsidP="00785BAF">
            <w:pPr>
              <w:pStyle w:val="ListBullet"/>
            </w:pPr>
            <w:r w:rsidRPr="00785BAF">
              <w:t>moveable premises</w:t>
            </w:r>
          </w:p>
          <w:p w:rsidR="00000000" w:rsidRPr="00785BAF" w:rsidP="00785BAF">
            <w:pPr>
              <w:pStyle w:val="ListBullet"/>
            </w:pPr>
            <w:r w:rsidRPr="00785BAF">
              <w:t>HV installation in consumer’s premises</w:t>
            </w:r>
          </w:p>
        </w:tc>
      </w:tr>
    </w:tbl>
    <w:p w:rsidR="00000000" w:rsidRPr="00785BAF" w:rsidP="00785BAF">
      <w:pPr>
        <w:pStyle w:val="BodyText"/>
      </w:pPr>
    </w:p>
    <w:p w:rsidR="00000000" w:rsidRPr="00785BAF" w:rsidP="00785BAF">
      <w:pPr>
        <w:pStyle w:val="AllowPageBreak"/>
      </w:pPr>
    </w:p>
    <w:p w:rsidR="00000000" w:rsidRPr="00785BAF" w:rsidP="00785BAF">
      <w:pPr>
        <w:pStyle w:val="Heading1"/>
      </w:pPr>
      <w:bookmarkStart w:id="10" w:name="O_418962"/>
      <w:bookmarkEnd w:id="10"/>
      <w:r w:rsidRPr="00785BAF">
        <w:t>Evidence Guide</w:t>
      </w:r>
    </w:p>
    <w:tbl>
      <w:tblPr>
        <w:tblW w:w="0" w:type="auto"/>
        <w:tblLayout w:type="fixed"/>
        <w:tblCellMar>
          <w:left w:w="62" w:type="dxa"/>
          <w:right w:w="62" w:type="dxa"/>
        </w:tblCellMar>
        <w:tblLook w:val="0000"/>
      </w:tblPr>
      <w:tblGrid>
        <w:gridCol w:w="8460"/>
      </w:tblGrid>
      <w:tr w:rsidTr="00635E5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rPr>
                <w:rStyle w:val="SpecialBold"/>
              </w:rPr>
              <w:t>EVIDENCE GUIDE</w:t>
            </w:r>
          </w:p>
        </w:tc>
      </w:tr>
      <w:tr w:rsidTr="00635E5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rPr>
                <w:rStyle w:val="SpecialBold"/>
              </w:rPr>
              <w:t>9)</w:t>
            </w:r>
            <w:r w:rsidRPr="00785BAF">
              <w:t xml:space="preserve"> The evidence guide provides advice on assessment and must be read in conjunction with the Performance Criteria, Required Skills and Knowledge, the Range Statement and the Assessment Guidelines for this Training Package. </w:t>
            </w:r>
          </w:p>
          <w:p w:rsidR="00000000" w:rsidRPr="00785BAF" w:rsidP="00785BAF">
            <w:pPr>
              <w:pStyle w:val="BodyText"/>
            </w:pPr>
            <w:r w:rsidRPr="00785BAF">
              <w:t>The Evidence Guide forms an integr</w:t>
            </w:r>
            <w:r w:rsidRPr="00785BAF">
              <w:t>al part of this unit. It must be used in conjunction with all parts of this unit and performed in accordance with the Assessment Guidelines of this Training Package.</w:t>
            </w:r>
          </w:p>
        </w:tc>
      </w:tr>
    </w:tbl>
    <w:p w:rsidR="00000000" w:rsidRPr="00785BAF" w:rsidP="00785BAF">
      <w:pPr>
        <w:pStyle w:val="BodyText"/>
      </w:pPr>
    </w:p>
    <w:tbl>
      <w:tblPr>
        <w:tblW w:w="0" w:type="auto"/>
        <w:tblLayout w:type="fixed"/>
        <w:tblCellMar>
          <w:left w:w="62" w:type="dxa"/>
          <w:right w:w="62" w:type="dxa"/>
        </w:tblCellMar>
        <w:tblLook w:val="0000"/>
      </w:tblPr>
      <w:tblGrid>
        <w:gridCol w:w="1890"/>
        <w:gridCol w:w="6570"/>
      </w:tblGrid>
      <w:tr w:rsidTr="00635E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rPr>
                <w:rStyle w:val="SpecialBold"/>
              </w:rPr>
              <w:t>9.1)</w:t>
            </w:r>
          </w:p>
        </w:tc>
      </w:tr>
      <w:tr w:rsidTr="00635E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t>Longitudinal competency development approaches to assessment, such as Profiling, require data to be reliably gathered in a form that can be consistently interpreted over time. This approach is best utilised in Apprenticeship programs and reduces assessment</w:t>
            </w:r>
            <w:r w:rsidRPr="00785BA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85BAF">
              <w:t>tency in a realistically simulated work environment. It is recognised that, in some circumstances, assessment in part or full can occur outside the workplace. However, it must be in accordance with industry and regulatory policy.</w:t>
            </w:r>
          </w:p>
          <w:p w:rsidR="00000000" w:rsidRPr="00785BAF" w:rsidP="00785BAF">
            <w:pPr>
              <w:pStyle w:val="BodyText"/>
            </w:pPr>
            <w:r w:rsidRPr="00785BAF">
              <w:t>Methods chosen for a parti</w:t>
            </w:r>
            <w:r w:rsidRPr="00785BAF">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785BAF">
              <w:t>the critical nature of the competencies being assessed.</w:t>
            </w:r>
          </w:p>
          <w:p w:rsidR="00000000" w:rsidRPr="00785BAF" w:rsidP="00785BAF">
            <w:pPr>
              <w:pStyle w:val="BodyText"/>
            </w:pPr>
            <w:r w:rsidRPr="00785BAF">
              <w:t>The critical safety nature of working with electricity, electrical equipment, gas or any other hazardous substance/material carries risk in deeming a person competent. Sources of evidence need to be ‘</w:t>
            </w:r>
            <w:r w:rsidRPr="00785BAF">
              <w:t>rich’ in nature to minimise error in judgment.</w:t>
            </w:r>
          </w:p>
          <w:p w:rsidR="00000000" w:rsidRPr="00785BAF" w:rsidP="00785BAF">
            <w:pPr>
              <w:pStyle w:val="BodyText"/>
            </w:pPr>
            <w:r w:rsidRPr="00785BAF">
              <w:t xml:space="preserve">Activities associated with normal every day work have a bearing on the decision as to how much and how detailed the data gathered will contribute to its ‘richness’. Some skills are more critical to safety and </w:t>
            </w:r>
            <w:r w:rsidRPr="00785BAF">
              <w:t>operational requirements while the same skills may be more or less frequently practised. These points are raised for the assessors to consider when choosing an assessment method and developing assessment instruments. Sample assessment instruments are inclu</w:t>
            </w:r>
            <w:r w:rsidRPr="00785BAF">
              <w:t>ded for Assessors in the Assessment Guidelines of this Training Package.</w:t>
            </w:r>
          </w:p>
        </w:tc>
      </w:tr>
    </w:tbl>
    <w:p w:rsidR="00000000" w:rsidRPr="00785BAF" w:rsidP="00785BAF">
      <w:pPr>
        <w:pStyle w:val="BodyText"/>
      </w:pPr>
    </w:p>
    <w:tbl>
      <w:tblPr>
        <w:tblW w:w="0" w:type="auto"/>
        <w:tblLayout w:type="fixed"/>
        <w:tblCellMar>
          <w:left w:w="62" w:type="dxa"/>
          <w:right w:w="62" w:type="dxa"/>
        </w:tblCellMar>
        <w:tblLook w:val="0000"/>
      </w:tblPr>
      <w:tblGrid>
        <w:gridCol w:w="1890"/>
        <w:gridCol w:w="6570"/>
      </w:tblGrid>
      <w:tr w:rsidTr="00635E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rPr>
                <w:rStyle w:val="SpecialBold"/>
              </w:rPr>
              <w:t>9.2)</w:t>
            </w:r>
          </w:p>
        </w:tc>
      </w:tr>
      <w:tr w:rsidTr="00635E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t>Before the critical aspects of evidence are considered all prerequisites shall be met.</w:t>
            </w:r>
          </w:p>
          <w:p w:rsidR="00000000" w:rsidRPr="00785BAF" w:rsidP="00785BAF">
            <w:pPr>
              <w:pStyle w:val="BodyText"/>
            </w:pPr>
            <w:r w:rsidRPr="00785BAF">
              <w:t>Evidence f</w:t>
            </w:r>
            <w:r w:rsidRPr="00785BAF">
              <w:t>or competence in this unit shall be considered holistically.  Each element and associated performance criteria shall be demonstrated on at least two occasions in accordance with the ‘Assessment Guidelines – UEE11’.  Evidence shall also comprise:</w:t>
            </w:r>
          </w:p>
          <w:p w:rsidR="00000000" w:rsidRPr="00785BAF" w:rsidP="00785BAF">
            <w:pPr>
              <w:pStyle w:val="ListBullet"/>
            </w:pPr>
            <w:r w:rsidRPr="00785BAF">
              <w:t>A represen</w:t>
            </w:r>
            <w:r w:rsidRPr="00785BAF">
              <w:t>tative body of work performance demonstrated within the timeframes typically expected of the discipline, work function and industrial environment. In particular this shall incorporate evidence that shows a candidate is able to:</w:t>
            </w:r>
          </w:p>
          <w:p w:rsidR="00000000" w:rsidRPr="00785BAF" w:rsidP="00785BAF">
            <w:pPr>
              <w:pStyle w:val="ListBullet2"/>
            </w:pPr>
            <w:r w:rsidRPr="00785BAF">
              <w:t>Implement Occupational Heal</w:t>
            </w:r>
            <w:r w:rsidRPr="00785BAF">
              <w:t>th and Safety workplace procedures and practices including the use of risk control measures as specified in the performance criteria and range statement</w:t>
            </w:r>
          </w:p>
          <w:p w:rsidR="00000000" w:rsidRPr="00785BAF" w:rsidP="00785BAF">
            <w:pPr>
              <w:pStyle w:val="ListBullet2"/>
            </w:pPr>
            <w:r w:rsidRPr="00785BAF">
              <w:t>Apply sustainable energy principles and practices as specified in the performance criteria and range statement</w:t>
            </w:r>
          </w:p>
          <w:p w:rsidR="00000000" w:rsidRPr="00785BAF" w:rsidP="00785BAF">
            <w:pPr>
              <w:pStyle w:val="ListBullet2"/>
            </w:pPr>
            <w:r w:rsidRPr="00785BAF">
              <w:t>Demonstrate an understanding of the essential knowledge and associated skills as described in this unit.  It may be required by some jurisdiction</w:t>
            </w:r>
            <w:r w:rsidRPr="00785BAF">
              <w:t xml:space="preserve">s that RTOs provide a percentile graded result for the purpose of regulatory or licensing requirements.   </w:t>
            </w:r>
          </w:p>
          <w:p w:rsidR="00000000" w:rsidRPr="00785BAF" w:rsidP="00785BAF">
            <w:pPr>
              <w:pStyle w:val="ListBullet2"/>
            </w:pPr>
            <w:r w:rsidRPr="00785BAF">
              <w:t>Demonstrate an appropriate level of skills enabling employment</w:t>
            </w:r>
          </w:p>
          <w:p w:rsidR="00000000" w:rsidRPr="00785BAF" w:rsidP="00785BAF">
            <w:pPr>
              <w:pStyle w:val="ListBullet2"/>
            </w:pPr>
            <w:r w:rsidRPr="00785BAF">
              <w:t>Conduct work observing the relevant Anti Discrimination legislation, regulations, poli</w:t>
            </w:r>
            <w:r w:rsidRPr="00785BAF">
              <w:t>ces and workplace procedures</w:t>
            </w:r>
          </w:p>
          <w:p w:rsidR="00000000" w:rsidRPr="00785BAF" w:rsidP="00785BAF">
            <w:pPr>
              <w:pStyle w:val="ListBullet"/>
            </w:pPr>
            <w:r w:rsidRPr="00785BAF">
              <w:t>Demonstrated consistent performance across a representative range of contexts from the prescribed items below:</w:t>
            </w:r>
          </w:p>
          <w:p w:rsidR="00000000" w:rsidRPr="00785BAF" w:rsidP="00785BAF">
            <w:pPr>
              <w:pStyle w:val="ListBullet2"/>
            </w:pPr>
            <w:r w:rsidRPr="00785BAF">
              <w:t>Select and arrange equipment for special electrical installations as described as described in 8) and including:</w:t>
            </w:r>
          </w:p>
          <w:p w:rsidR="00000000" w:rsidRPr="00785BAF" w:rsidP="00785BAF">
            <w:pPr>
              <w:pStyle w:val="BodyText"/>
            </w:pPr>
            <w:r w:rsidRPr="00785BAF">
              <w:t>A</w:t>
            </w:r>
            <w:r w:rsidRPr="00785BAF">
              <w:tab/>
            </w:r>
            <w:r w:rsidRPr="00785BAF">
              <w:t>Arranging electrical installations to comply with safety and other regulatory and functional requirements.</w:t>
            </w:r>
          </w:p>
          <w:p w:rsidR="00000000" w:rsidRPr="00785BAF" w:rsidP="00785BAF">
            <w:pPr>
              <w:pStyle w:val="BodyText"/>
            </w:pPr>
            <w:r w:rsidRPr="00785BAF">
              <w:t>B</w:t>
            </w:r>
            <w:r w:rsidRPr="00785BAF">
              <w:tab/>
              <w:t>Selecting appropriate type and size of cables.</w:t>
            </w:r>
          </w:p>
          <w:p w:rsidR="00000000" w:rsidRPr="00785BAF" w:rsidP="00785BAF">
            <w:pPr>
              <w:pStyle w:val="BodyText"/>
            </w:pPr>
            <w:r w:rsidRPr="00785BAF">
              <w:t>C</w:t>
            </w:r>
            <w:r w:rsidRPr="00785BAF">
              <w:tab/>
              <w:t>Selecting protection methods and devices that meet co-ordination requirements for overload and sho</w:t>
            </w:r>
            <w:r w:rsidRPr="00785BAF">
              <w:t>rt-circuit protection.</w:t>
            </w:r>
          </w:p>
          <w:p w:rsidR="00000000" w:rsidRPr="00785BAF" w:rsidP="00785BAF">
            <w:pPr>
              <w:pStyle w:val="BodyText"/>
            </w:pPr>
            <w:r w:rsidRPr="00785BAF">
              <w:t>D</w:t>
            </w:r>
            <w:r w:rsidRPr="00785BAF">
              <w:tab/>
              <w:t>Selecting switchgear and control gear that meet current, voltage and IP ratings and functional requirements.</w:t>
            </w:r>
          </w:p>
          <w:p w:rsidR="00000000" w:rsidRPr="00785BAF" w:rsidP="00785BAF">
            <w:pPr>
              <w:pStyle w:val="BodyText"/>
            </w:pPr>
            <w:r w:rsidRPr="00785BAF">
              <w:t>E</w:t>
            </w:r>
            <w:r w:rsidRPr="00785BAF">
              <w:tab/>
              <w:t>Selecting appropriate earthing components.</w:t>
            </w:r>
          </w:p>
          <w:p w:rsidR="00000000" w:rsidRPr="00785BAF" w:rsidP="00785BAF">
            <w:pPr>
              <w:pStyle w:val="BodyText"/>
            </w:pPr>
            <w:r w:rsidRPr="00785BAF">
              <w:t>F</w:t>
            </w:r>
            <w:r w:rsidRPr="00785BAF">
              <w:tab/>
              <w:t xml:space="preserve">Documenting installation arrangement, specification for items selected and </w:t>
            </w:r>
            <w:r w:rsidRPr="00785BAF">
              <w:t>reasons for the selections made.</w:t>
            </w:r>
          </w:p>
          <w:p w:rsidR="00000000" w:rsidRPr="00785BAF" w:rsidP="00785BAF">
            <w:pPr>
              <w:pStyle w:val="BodyText"/>
            </w:pPr>
            <w:r w:rsidRPr="00785BAF">
              <w:t>G</w:t>
            </w:r>
            <w:r w:rsidRPr="00785BAF">
              <w:tab/>
              <w:t>Dealing with unplanned events by drawing on essential knowledge and skills to provide appropriate solutions incorporated in the holistic assessment with the above listed items.</w:t>
            </w:r>
          </w:p>
        </w:tc>
      </w:tr>
    </w:tbl>
    <w:p w:rsidR="00000000" w:rsidRPr="00785BAF" w:rsidP="00785BAF">
      <w:pPr>
        <w:pStyle w:val="BodyText"/>
      </w:pPr>
    </w:p>
    <w:tbl>
      <w:tblPr>
        <w:tblW w:w="0" w:type="auto"/>
        <w:tblLayout w:type="fixed"/>
        <w:tblCellMar>
          <w:left w:w="62" w:type="dxa"/>
          <w:right w:w="62" w:type="dxa"/>
        </w:tblCellMar>
        <w:tblLook w:val="0000"/>
      </w:tblPr>
      <w:tblGrid>
        <w:gridCol w:w="1890"/>
        <w:gridCol w:w="6570"/>
      </w:tblGrid>
      <w:tr w:rsidTr="00635E5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rPr>
                <w:rStyle w:val="SpecialBold"/>
              </w:rPr>
              <w:t>9.3)</w:t>
            </w:r>
          </w:p>
        </w:tc>
      </w:tr>
      <w:tr w:rsidTr="00635E5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t>This unit should be assessed as it relates to normal work practice using procedures, information and resources typical of a workplace. This should include:</w:t>
            </w:r>
          </w:p>
          <w:p w:rsidR="00000000" w:rsidRPr="00785BAF" w:rsidP="00785BAF">
            <w:pPr>
              <w:pStyle w:val="BodyText"/>
            </w:pPr>
            <w:r w:rsidRPr="00785BAF">
              <w:t>OHS policy and work procedures and instructi</w:t>
            </w:r>
            <w:r w:rsidRPr="00785BAF">
              <w:t>ons.</w:t>
            </w:r>
          </w:p>
          <w:p w:rsidR="00000000" w:rsidRPr="00785BAF" w:rsidP="00785BAF">
            <w:pPr>
              <w:pStyle w:val="BodyText"/>
            </w:pPr>
            <w:r w:rsidRPr="00785BAF">
              <w:t>Suitable work environment, facilities, equipment and materials to undertake actual work as prescribed by this unit.</w:t>
            </w:r>
          </w:p>
          <w:p w:rsidR="00000000" w:rsidRPr="00785BAF" w:rsidP="00785BAF">
            <w:pPr>
              <w:pStyle w:val="BodyText"/>
            </w:pPr>
            <w:r w:rsidRPr="00785BAF">
              <w:t>These should be part of the formal learning/assessment environment.</w:t>
            </w:r>
          </w:p>
          <w:p w:rsidR="00000000" w:rsidRPr="00785BAF" w:rsidP="00785BAF">
            <w:pPr>
              <w:pStyle w:val="BodyText"/>
            </w:pPr>
            <w:r w:rsidRPr="00785BAF">
              <w:t>Note:</w:t>
            </w:r>
          </w:p>
          <w:p w:rsidR="00000000" w:rsidRPr="00785BAF" w:rsidP="00785BAF">
            <w:pPr>
              <w:pStyle w:val="BodyText"/>
            </w:pPr>
            <w:r w:rsidRPr="00785BAF">
              <w:t>Where simulation is considered a suitable strategy for assess</w:t>
            </w:r>
            <w:r w:rsidRPr="00785BAF">
              <w:t>ment, conditions must be authentic and as far as possible reproduce and replicate the workplace and be consistent with the approved industry simulation policy.</w:t>
            </w:r>
          </w:p>
          <w:p w:rsidR="00000000" w:rsidRPr="00785BAF" w:rsidP="00785BAF">
            <w:pPr>
              <w:pStyle w:val="BodyText"/>
            </w:pPr>
            <w:r w:rsidRPr="00785BAF">
              <w:t>The resources used for assessment should reflect current industry practices in relation to selec</w:t>
            </w:r>
            <w:r w:rsidRPr="00785BAF">
              <w:t>ting and arranging equipment for special electrical installations</w:t>
            </w:r>
          </w:p>
        </w:tc>
      </w:tr>
    </w:tbl>
    <w:p w:rsidR="00000000" w:rsidRPr="00785BAF" w:rsidP="00785BAF">
      <w:pPr>
        <w:pStyle w:val="BodyText"/>
      </w:pPr>
    </w:p>
    <w:tbl>
      <w:tblPr>
        <w:tblW w:w="0" w:type="auto"/>
        <w:tblLayout w:type="fixed"/>
        <w:tblCellMar>
          <w:left w:w="62" w:type="dxa"/>
          <w:right w:w="62" w:type="dxa"/>
        </w:tblCellMar>
        <w:tblLook w:val="0000"/>
      </w:tblPr>
      <w:tblGrid>
        <w:gridCol w:w="1890"/>
        <w:gridCol w:w="6570"/>
      </w:tblGrid>
      <w:tr w:rsidTr="00635E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rPr>
                <w:rStyle w:val="SpecialBold"/>
              </w:rPr>
              <w:t>9.4)</w:t>
            </w:r>
          </w:p>
        </w:tc>
      </w:tr>
      <w:tr w:rsidTr="00635E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t>This unit shall be assessed by methods given in Volume 1, Part 3 ‘Assessment Guidelines’.</w:t>
            </w:r>
          </w:p>
          <w:p w:rsidR="00000000" w:rsidRPr="00785BAF" w:rsidP="00785BAF">
            <w:pPr>
              <w:pStyle w:val="BodyText"/>
            </w:pPr>
            <w:r w:rsidRPr="00785BAF">
              <w:t xml:space="preserve">Note: </w:t>
            </w:r>
          </w:p>
          <w:p w:rsidR="00000000" w:rsidRPr="00785BAF" w:rsidP="00785BAF">
            <w:pPr>
              <w:pStyle w:val="BodyText"/>
            </w:pPr>
            <w:r w:rsidRPr="00785BAF">
              <w:t>Competent performance with inherent safe working practices is expected in the industry to which this unit applies. This requires assessment in a structured environment which is primarily intended for learning/assessment and incorporates all necessary equip</w:t>
            </w:r>
            <w:r w:rsidRPr="00785BAF">
              <w:t>ment and facilities for learners to develop and demonstrate the essential knowledge and skills described in this unit.</w:t>
            </w:r>
          </w:p>
        </w:tc>
      </w:tr>
    </w:tbl>
    <w:p w:rsidR="00000000" w:rsidRPr="00785BAF" w:rsidP="00785BAF">
      <w:pPr>
        <w:pStyle w:val="BodyText"/>
      </w:pPr>
    </w:p>
    <w:tbl>
      <w:tblPr>
        <w:tblW w:w="0" w:type="auto"/>
        <w:tblLayout w:type="fixed"/>
        <w:tblCellMar>
          <w:left w:w="62" w:type="dxa"/>
          <w:right w:w="62" w:type="dxa"/>
        </w:tblCellMar>
        <w:tblLook w:val="0000"/>
      </w:tblPr>
      <w:tblGrid>
        <w:gridCol w:w="1495"/>
        <w:gridCol w:w="395"/>
        <w:gridCol w:w="6420"/>
        <w:gridCol w:w="150"/>
      </w:tblGrid>
      <w:tr w:rsidTr="00635E5D">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rPr>
                <w:rStyle w:val="SpecialBold"/>
              </w:rPr>
              <w:t>9.5)</w:t>
            </w:r>
          </w:p>
        </w:tc>
      </w:tr>
      <w:tr w:rsidTr="00635E5D">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For optimisation of training and assessment effort, competency development in this unit may be arranged concurrently with unit:</w:t>
            </w:r>
          </w:p>
        </w:tc>
      </w:tr>
      <w:tr w:rsidTr="00635E5D">
        <w:tblPrEx>
          <w:tblW w:w="0" w:type="auto"/>
          <w:tblLayout w:type="fixed"/>
          <w:tblCellMar>
            <w:left w:w="62" w:type="dxa"/>
            <w:right w:w="62" w:type="dxa"/>
          </w:tblCellMar>
          <w:tblLook w:val="0000"/>
        </w:tblPrEx>
        <w:trPr>
          <w:gridAfter w:val="1"/>
          <w:wAfter w:w="150" w:type="dxa"/>
        </w:trPr>
        <w:tc>
          <w:tcPr>
            <w:tcW w:w="1495"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UEENEED101A</w:t>
            </w:r>
          </w:p>
        </w:tc>
        <w:tc>
          <w:tcPr>
            <w:tcW w:w="6815" w:type="dxa"/>
            <w:gridSpan w:val="2"/>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Use computer applications relevant to a workplace</w:t>
            </w:r>
          </w:p>
        </w:tc>
      </w:tr>
      <w:tr w:rsidTr="00635E5D">
        <w:tblPrEx>
          <w:tblW w:w="0" w:type="auto"/>
          <w:tblLayout w:type="fixed"/>
          <w:tblCellMar>
            <w:left w:w="62" w:type="dxa"/>
            <w:right w:w="62" w:type="dxa"/>
          </w:tblCellMar>
          <w:tblLook w:val="0000"/>
        </w:tblPrEx>
        <w:trPr>
          <w:gridAfter w:val="1"/>
          <w:wAfter w:w="150" w:type="dxa"/>
        </w:trPr>
        <w:tc>
          <w:tcPr>
            <w:tcW w:w="1495"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t>UEENEEG107A</w:t>
            </w:r>
          </w:p>
        </w:tc>
        <w:tc>
          <w:tcPr>
            <w:tcW w:w="6815" w:type="dxa"/>
            <w:gridSpan w:val="2"/>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t>Select wiring systems and cables for low voltage g</w:t>
            </w:r>
            <w:r w:rsidRPr="00785BAF">
              <w:t>eneral electrical installations</w:t>
            </w:r>
          </w:p>
        </w:tc>
      </w:tr>
    </w:tbl>
    <w:p w:rsidR="00000000" w:rsidRPr="00785BAF" w:rsidP="00785BAF">
      <w:pPr>
        <w:pStyle w:val="BodyText"/>
      </w:pPr>
    </w:p>
    <w:p w:rsidR="00000000" w:rsidRPr="00785BAF" w:rsidP="00785BAF">
      <w:pPr>
        <w:pStyle w:val="AllowPageBreak"/>
      </w:pPr>
    </w:p>
    <w:p w:rsidR="00000000" w:rsidRPr="00785BAF" w:rsidP="00785BAF">
      <w:pPr>
        <w:pStyle w:val="Heading1"/>
      </w:pPr>
      <w:bookmarkStart w:id="11" w:name="O_418966"/>
      <w:bookmarkEnd w:id="11"/>
      <w:r w:rsidRPr="00785BAF">
        <w:t>Range Statement</w:t>
      </w:r>
    </w:p>
    <w:tbl>
      <w:tblPr>
        <w:tblW w:w="0" w:type="auto"/>
        <w:tblLayout w:type="fixed"/>
        <w:tblCellMar>
          <w:left w:w="62" w:type="dxa"/>
          <w:right w:w="62" w:type="dxa"/>
        </w:tblCellMar>
        <w:tblLook w:val="0000"/>
      </w:tblPr>
      <w:tblGrid>
        <w:gridCol w:w="8460"/>
      </w:tblGrid>
      <w:tr w:rsidTr="00635E5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rPr>
                <w:rStyle w:val="SpecialBold"/>
              </w:rPr>
              <w:t>RANGE STATEMENT</w:t>
            </w:r>
          </w:p>
        </w:tc>
      </w:tr>
      <w:tr w:rsidTr="00635E5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rPr>
                <w:rStyle w:val="SpecialBold"/>
              </w:rPr>
              <w:t>10)</w:t>
            </w:r>
            <w:r w:rsidRPr="00785BAF">
              <w:t xml:space="preserve"> This relates to the unit as a whole providing the range of contexts and conditions to which </w:t>
            </w:r>
            <w:r w:rsidRPr="00785BAF">
              <w:t>the performance criteria apply. It allows for different work environments and situations that will affect performance.</w:t>
            </w:r>
          </w:p>
          <w:p w:rsidR="00000000" w:rsidRPr="00785BAF" w:rsidP="00785BAF">
            <w:pPr>
              <w:pStyle w:val="BodyText"/>
            </w:pPr>
            <w:r w:rsidRPr="00785BAF">
              <w:t>This unit shall be demonstrated by, selecting and arranging equipment for at least two of the following types of installations.</w:t>
            </w:r>
          </w:p>
          <w:p w:rsidR="00000000" w:rsidRPr="00785BAF" w:rsidP="00785BAF">
            <w:pPr>
              <w:pStyle w:val="ListBullet"/>
            </w:pPr>
            <w:r w:rsidRPr="00785BAF">
              <w:t>Caravan p</w:t>
            </w:r>
            <w:r w:rsidRPr="00785BAF">
              <w:t>arks,</w:t>
            </w:r>
          </w:p>
          <w:p w:rsidR="00000000" w:rsidRPr="00785BAF" w:rsidP="00785BAF">
            <w:pPr>
              <w:pStyle w:val="ListBullet"/>
            </w:pPr>
            <w:r w:rsidRPr="00785BAF">
              <w:t>Construction and demolition sites.</w:t>
            </w:r>
          </w:p>
          <w:p w:rsidR="00000000" w:rsidRPr="00785BAF" w:rsidP="00785BAF">
            <w:pPr>
              <w:pStyle w:val="ListBullet"/>
            </w:pPr>
            <w:r w:rsidRPr="00785BAF">
              <w:t xml:space="preserve">Marinas, </w:t>
            </w:r>
          </w:p>
          <w:p w:rsidR="00000000" w:rsidRPr="00785BAF" w:rsidP="00785BAF">
            <w:pPr>
              <w:pStyle w:val="ListBullet"/>
            </w:pPr>
            <w:r w:rsidRPr="00785BAF">
              <w:t>Medical treatment areas,</w:t>
            </w:r>
          </w:p>
          <w:p w:rsidR="00000000" w:rsidRPr="00785BAF" w:rsidP="00785BAF">
            <w:pPr>
              <w:pStyle w:val="ListBullet"/>
            </w:pPr>
            <w:r w:rsidRPr="00785BAF">
              <w:t>Moveable premises</w:t>
            </w:r>
          </w:p>
          <w:p w:rsidR="00000000" w:rsidRPr="00785BAF" w:rsidP="00785BAF">
            <w:pPr>
              <w:pStyle w:val="BodyText"/>
            </w:pPr>
            <w:r w:rsidRPr="00785BAF">
              <w:t>The electrical installations shall comprise consumer’s mains, main earthing system and main switchboard and sub-mains, earthing system and distribution boards, fi</w:t>
            </w:r>
            <w:r w:rsidRPr="00785BAF">
              <w:t>nal sub circuits and requirement particular to the installation type.</w:t>
            </w:r>
          </w:p>
          <w:p w:rsidR="00000000" w:rsidRPr="00785BAF" w:rsidP="00785BAF">
            <w:pPr>
              <w:pStyle w:val="BodyText"/>
            </w:pPr>
            <w:r w:rsidRPr="00785BAF">
              <w:t xml:space="preserve">Generic terms used throughout this Vocational Standard shall be regarded as part of the Range Statement in which competency is demonstrated. The definition of these and other terms that </w:t>
            </w:r>
            <w:r w:rsidRPr="00785BAF">
              <w:t>apply are given in Volume 2, Part 2.1.</w:t>
            </w:r>
          </w:p>
        </w:tc>
      </w:tr>
    </w:tbl>
    <w:p w:rsidR="00000000" w:rsidRPr="00785BAF" w:rsidP="00785BAF">
      <w:pPr>
        <w:pStyle w:val="BodyText"/>
      </w:pPr>
    </w:p>
    <w:p w:rsidR="00000000" w:rsidRPr="00785BAF" w:rsidP="00785BAF">
      <w:pPr>
        <w:pStyle w:val="AllowPageBreak"/>
      </w:pPr>
    </w:p>
    <w:p w:rsidR="00000000" w:rsidRPr="00785BAF" w:rsidP="00785BAF">
      <w:pPr>
        <w:pStyle w:val="Heading1"/>
      </w:pPr>
      <w:bookmarkStart w:id="12" w:name="O_418969"/>
      <w:bookmarkEnd w:id="12"/>
      <w:r w:rsidRPr="00785BAF">
        <w:t>Unit Sector(s)</w:t>
      </w:r>
    </w:p>
    <w:p w:rsidR="00000000" w:rsidRPr="00785BAF" w:rsidP="00785BAF">
      <w:pPr>
        <w:pStyle w:val="BodyText"/>
      </w:pPr>
      <w:r w:rsidRPr="00785BAF">
        <w:t>Not applicable.</w:t>
      </w:r>
    </w:p>
    <w:p w:rsidR="00000000" w:rsidRPr="00785BAF" w:rsidP="00785BAF">
      <w:pPr>
        <w:pStyle w:val="AllowPageBreak"/>
      </w:pPr>
    </w:p>
    <w:p w:rsidR="00000000" w:rsidRPr="00785BAF" w:rsidP="00785BAF">
      <w:pPr>
        <w:pStyle w:val="Heading1"/>
      </w:pPr>
      <w:bookmarkStart w:id="13" w:name="O_418958"/>
      <w:bookmarkEnd w:id="13"/>
      <w:r w:rsidRPr="00785BAF">
        <w:t>Competency Field</w:t>
      </w:r>
    </w:p>
    <w:tbl>
      <w:tblPr>
        <w:tblW w:w="0" w:type="auto"/>
        <w:tblLayout w:type="fixed"/>
        <w:tblCellMar>
          <w:left w:w="62" w:type="dxa"/>
          <w:right w:w="62" w:type="dxa"/>
        </w:tblCellMar>
        <w:tblLook w:val="0000"/>
      </w:tblPr>
      <w:tblGrid>
        <w:gridCol w:w="2700"/>
        <w:gridCol w:w="5760"/>
      </w:tblGrid>
      <w:tr w:rsidTr="00635E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85BAF">
            <w:pPr>
              <w:pStyle w:val="BodyText"/>
              <w:rPr>
                <w:lang w:val="en-NZ"/>
              </w:rPr>
            </w:pPr>
            <w:r w:rsidRPr="00785BAF">
              <w:rPr>
                <w:rStyle w:val="SpecialBold"/>
              </w:rPr>
              <w:t xml:space="preserve">11) </w:t>
            </w:r>
          </w:p>
        </w:tc>
      </w:tr>
      <w:tr w:rsidTr="00635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5BAF" w:rsidP="00785BAF">
            <w:pPr>
              <w:pStyle w:val="BodyText"/>
            </w:pPr>
            <w:r w:rsidRPr="00785BAF">
              <w:t>Electrical</w:t>
            </w:r>
          </w:p>
        </w:tc>
      </w:tr>
    </w:tbl>
    <w:p w:rsidR="00000000" w:rsidRPr="00785BAF" w:rsidP="00785BAF">
      <w:pPr>
        <w:pStyle w:val="BodyText"/>
      </w:pPr>
    </w:p>
    <w:p w:rsidR="00000000" w:rsidRPr="00785BAF" w:rsidP="00785BAF"/>
    <w:sectPr w:rsidSect="00785B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B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5E5D" w:rsidP="00635E5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B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E5D" w:rsidP="00785BA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35E5D" w:rsidP="00785B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35E5D" w:rsidP="00785B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B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BAF" w:rsidRPr="00635E5D" w:rsidP="00635E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B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E5D" w:rsidRPr="002D2AF8" w:rsidP="00785BAF">
    <w:pPr>
      <w:pStyle w:val="Header"/>
      <w:framePr w:wrap="around"/>
    </w:pPr>
    <w:r>
      <w:fldChar w:fldCharType="begin"/>
    </w:r>
    <w:r>
      <w:instrText xml:space="preserve"> TITLE   \* MERGEFORMAT </w:instrText>
    </w:r>
    <w:r>
      <w:fldChar w:fldCharType="separate"/>
    </w:r>
    <w:r>
      <w:t>UEENEEG120A Select and arrange equipment for special LV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35E5D" w:rsidP="00785B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C4F8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EE78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6022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B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5BAF"/>
    <w:pPr>
      <w:spacing w:before="360" w:after="60"/>
      <w:outlineLvl w:val="0"/>
    </w:pPr>
    <w:rPr>
      <w:sz w:val="32"/>
    </w:rPr>
  </w:style>
  <w:style w:type="paragraph" w:styleId="Heading2">
    <w:name w:val="heading 2"/>
    <w:basedOn w:val="HeadingBase"/>
    <w:next w:val="BodyText"/>
    <w:link w:val="Heading2Char"/>
    <w:qFormat/>
    <w:rsid w:val="00785BAF"/>
    <w:pPr>
      <w:keepLines/>
      <w:spacing w:before="240" w:after="120"/>
      <w:outlineLvl w:val="1"/>
    </w:pPr>
    <w:rPr>
      <w:sz w:val="28"/>
      <w:szCs w:val="40"/>
    </w:rPr>
  </w:style>
  <w:style w:type="paragraph" w:styleId="Heading3">
    <w:name w:val="heading 3"/>
    <w:basedOn w:val="HeadingBase"/>
    <w:next w:val="BodyText"/>
    <w:link w:val="Heading3Char"/>
    <w:qFormat/>
    <w:rsid w:val="00785BAF"/>
    <w:pPr>
      <w:spacing w:before="180" w:after="120"/>
      <w:outlineLvl w:val="2"/>
    </w:pPr>
    <w:rPr>
      <w:spacing w:val="-10"/>
      <w:kern w:val="32"/>
    </w:rPr>
  </w:style>
  <w:style w:type="paragraph" w:styleId="Heading4">
    <w:name w:val="heading 4"/>
    <w:basedOn w:val="HeadingBase"/>
    <w:next w:val="BodyText"/>
    <w:link w:val="Heading4Char"/>
    <w:qFormat/>
    <w:rsid w:val="00785BAF"/>
    <w:pPr>
      <w:spacing w:before="160" w:after="120"/>
      <w:outlineLvl w:val="3"/>
    </w:pPr>
    <w:rPr>
      <w:sz w:val="22"/>
    </w:rPr>
  </w:style>
  <w:style w:type="paragraph" w:styleId="Heading5">
    <w:name w:val="heading 5"/>
    <w:basedOn w:val="HeadingBase"/>
    <w:next w:val="Normal"/>
    <w:link w:val="Heading5Char"/>
    <w:qFormat/>
    <w:rsid w:val="00785BAF"/>
    <w:pPr>
      <w:spacing w:before="80"/>
      <w:outlineLvl w:val="4"/>
    </w:pPr>
    <w:rPr>
      <w:color w:val="918585"/>
      <w:sz w:val="20"/>
    </w:rPr>
  </w:style>
  <w:style w:type="paragraph" w:styleId="Heading6">
    <w:name w:val="heading 6"/>
    <w:basedOn w:val="HeadingBase"/>
    <w:next w:val="Normal"/>
    <w:link w:val="Heading6Char"/>
    <w:qFormat/>
    <w:rsid w:val="00785BAF"/>
    <w:pPr>
      <w:spacing w:before="60"/>
      <w:outlineLvl w:val="5"/>
    </w:pPr>
    <w:rPr>
      <w:color w:val="918585"/>
      <w:sz w:val="20"/>
    </w:rPr>
  </w:style>
  <w:style w:type="paragraph" w:styleId="Heading7">
    <w:name w:val="heading 7"/>
    <w:basedOn w:val="Normal"/>
    <w:next w:val="Normal"/>
    <w:link w:val="Heading7Char"/>
    <w:qFormat/>
    <w:rsid w:val="00785BAF"/>
    <w:pPr>
      <w:ind w:left="720"/>
      <w:outlineLvl w:val="6"/>
    </w:pPr>
    <w:rPr>
      <w:i/>
    </w:rPr>
  </w:style>
  <w:style w:type="paragraph" w:styleId="Heading8">
    <w:name w:val="heading 8"/>
    <w:basedOn w:val="Normal"/>
    <w:next w:val="Normal"/>
    <w:link w:val="Heading8Char"/>
    <w:qFormat/>
    <w:rsid w:val="00785BAF"/>
    <w:pPr>
      <w:ind w:left="720"/>
      <w:outlineLvl w:val="7"/>
    </w:pPr>
    <w:rPr>
      <w:i/>
    </w:rPr>
  </w:style>
  <w:style w:type="paragraph" w:styleId="Heading9">
    <w:name w:val="heading 9"/>
    <w:basedOn w:val="Normal"/>
    <w:next w:val="Normal"/>
    <w:link w:val="Heading9Char"/>
    <w:qFormat/>
    <w:rsid w:val="00785BAF"/>
    <w:pPr>
      <w:ind w:left="720"/>
      <w:outlineLvl w:val="8"/>
    </w:pPr>
    <w:rPr>
      <w:i/>
    </w:rPr>
  </w:style>
  <w:style w:type="character" w:default="1" w:styleId="DefaultParagraphFont">
    <w:name w:val="Default Paragraph Font"/>
    <w:uiPriority w:val="1"/>
    <w:unhideWhenUsed/>
    <w:rsid w:val="00785B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BAF"/>
  </w:style>
  <w:style w:type="character" w:customStyle="1" w:styleId="Heading1Char">
    <w:name w:val="Heading 1 Char"/>
    <w:basedOn w:val="DefaultParagraphFont"/>
    <w:link w:val="Heading1"/>
    <w:rsid w:val="00785BAF"/>
    <w:rPr>
      <w:rFonts w:ascii="Times New Roman" w:eastAsia="Times New Roman" w:hAnsi="Times New Roman" w:cs="Times New Roman"/>
      <w:b/>
      <w:sz w:val="32"/>
      <w:szCs w:val="20"/>
      <w:lang w:eastAsia="en-US"/>
    </w:rPr>
  </w:style>
  <w:style w:type="paragraph" w:styleId="BodyText">
    <w:name w:val="Body Text"/>
    <w:basedOn w:val="Normal"/>
    <w:link w:val="BodyTextChar"/>
    <w:rsid w:val="00785B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5BAF"/>
    <w:rPr>
      <w:rFonts w:ascii="Times New Roman" w:eastAsia="Times New Roman" w:hAnsi="Times New Roman" w:cs="Times New Roman"/>
      <w:sz w:val="24"/>
      <w:lang w:eastAsia="en-US"/>
    </w:rPr>
  </w:style>
  <w:style w:type="paragraph" w:styleId="Footer">
    <w:name w:val="footer"/>
    <w:basedOn w:val="Normal"/>
    <w:link w:val="FooterChar"/>
    <w:rsid w:val="00785B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BAF"/>
    <w:rPr>
      <w:rFonts w:ascii="Times New Roman" w:eastAsia="Times New Roman" w:hAnsi="Times New Roman" w:cs="Times New Roman"/>
      <w:sz w:val="16"/>
      <w:lang w:eastAsia="en-US"/>
    </w:rPr>
  </w:style>
  <w:style w:type="paragraph" w:styleId="ListBullet">
    <w:name w:val="List Bullet"/>
    <w:basedOn w:val="List"/>
    <w:rsid w:val="00785BAF"/>
    <w:pPr>
      <w:numPr>
        <w:numId w:val="13"/>
      </w:numPr>
      <w:tabs>
        <w:tab w:val="clear" w:pos="340"/>
      </w:tabs>
      <w:spacing w:before="40" w:after="40"/>
    </w:pPr>
  </w:style>
  <w:style w:type="character" w:customStyle="1" w:styleId="SpecialBold">
    <w:name w:val="Special Bold"/>
    <w:basedOn w:val="DefaultParagraphFont"/>
    <w:rsid w:val="00785BAF"/>
    <w:rPr>
      <w:b/>
      <w:spacing w:val="0"/>
    </w:rPr>
  </w:style>
  <w:style w:type="paragraph" w:styleId="ListBullet2">
    <w:name w:val="List Bullet 2"/>
    <w:basedOn w:val="List2"/>
    <w:rsid w:val="00785BAF"/>
    <w:pPr>
      <w:numPr>
        <w:numId w:val="14"/>
      </w:numPr>
      <w:tabs>
        <w:tab w:val="clear" w:pos="680"/>
      </w:tabs>
    </w:pPr>
  </w:style>
  <w:style w:type="paragraph" w:customStyle="1" w:styleId="SuperHeading">
    <w:name w:val="SuperHeading"/>
    <w:basedOn w:val="Normal"/>
    <w:rsid w:val="00785BAF"/>
    <w:pPr>
      <w:spacing w:before="240" w:after="120"/>
      <w:outlineLvl w:val="0"/>
    </w:pPr>
    <w:rPr>
      <w:rFonts w:ascii="Times New Roman" w:hAnsi="Times New Roman"/>
      <w:b/>
      <w:sz w:val="28"/>
    </w:rPr>
  </w:style>
  <w:style w:type="paragraph" w:customStyle="1" w:styleId="AllowPageBreak">
    <w:name w:val="AllowPageBreak"/>
    <w:rsid w:val="00785B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5B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B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B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B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B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B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5B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5BAF"/>
    <w:rPr>
      <w:rFonts w:ascii="Courier New" w:eastAsia="Times New Roman" w:hAnsi="Courier New" w:cs="Times New Roman"/>
      <w:i/>
      <w:szCs w:val="20"/>
      <w:lang w:eastAsia="en-US"/>
    </w:rPr>
  </w:style>
  <w:style w:type="paragraph" w:customStyle="1" w:styleId="HeadingBase">
    <w:name w:val="Heading Base"/>
    <w:rsid w:val="00785B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BAF"/>
    <w:pPr>
      <w:tabs>
        <w:tab w:val="right" w:leader="dot" w:pos="9072"/>
      </w:tabs>
      <w:ind w:left="567"/>
    </w:pPr>
    <w:rPr>
      <w:szCs w:val="22"/>
    </w:rPr>
  </w:style>
  <w:style w:type="paragraph" w:customStyle="1" w:styleId="TOCBase">
    <w:name w:val="TOC Base"/>
    <w:rsid w:val="00785B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BAF"/>
    <w:pPr>
      <w:tabs>
        <w:tab w:val="right" w:leader="dot" w:pos="9072"/>
      </w:tabs>
      <w:spacing w:before="40" w:after="40"/>
      <w:ind w:left="284"/>
    </w:pPr>
    <w:rPr>
      <w:rFonts w:ascii="Times New Roman" w:hAnsi="Times New Roman"/>
    </w:rPr>
  </w:style>
  <w:style w:type="paragraph" w:styleId="TOC1">
    <w:name w:val="toc 1"/>
    <w:basedOn w:val="TOCBase"/>
    <w:next w:val="Normal"/>
    <w:rsid w:val="00785B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5BAF"/>
    <w:pPr>
      <w:spacing w:before="5040"/>
      <w:jc w:val="center"/>
    </w:pPr>
    <w:rPr>
      <w:sz w:val="48"/>
      <w:szCs w:val="72"/>
      <w:lang w:val="en-US"/>
    </w:rPr>
  </w:style>
  <w:style w:type="character" w:customStyle="1" w:styleId="TitleChar">
    <w:name w:val="Title Char"/>
    <w:basedOn w:val="DefaultParagraphFont"/>
    <w:link w:val="Title"/>
    <w:rsid w:val="00785B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BAF"/>
    <w:pPr>
      <w:tabs>
        <w:tab w:val="left" w:pos="3600"/>
        <w:tab w:val="left" w:pos="3958"/>
      </w:tabs>
    </w:pPr>
  </w:style>
  <w:style w:type="paragraph" w:styleId="List">
    <w:name w:val="List"/>
    <w:basedOn w:val="BodyText"/>
    <w:next w:val="BodyText"/>
    <w:rsid w:val="00785BAF"/>
    <w:pPr>
      <w:tabs>
        <w:tab w:val="left" w:pos="340"/>
      </w:tabs>
      <w:spacing w:before="60" w:after="60"/>
      <w:ind w:left="340" w:hanging="340"/>
    </w:pPr>
  </w:style>
  <w:style w:type="paragraph" w:customStyle="1" w:styleId="Note">
    <w:name w:val="Note"/>
    <w:basedOn w:val="BodyText"/>
    <w:rsid w:val="00785B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BAF"/>
    <w:pPr>
      <w:framePr w:wrap="auto" w:hAnchor="text" w:y="6049"/>
    </w:pPr>
    <w:rPr>
      <w:color w:val="000000"/>
      <w:sz w:val="40"/>
    </w:rPr>
  </w:style>
  <w:style w:type="paragraph" w:customStyle="1" w:styleId="TOCTitle">
    <w:name w:val="TOCTitle"/>
    <w:basedOn w:val="Heading1"/>
    <w:rsid w:val="00785BAF"/>
    <w:pPr>
      <w:spacing w:after="240"/>
      <w:jc w:val="center"/>
      <w:outlineLvl w:val="9"/>
    </w:pPr>
    <w:rPr>
      <w:caps/>
    </w:rPr>
  </w:style>
  <w:style w:type="paragraph" w:customStyle="1" w:styleId="Version">
    <w:name w:val="Version"/>
    <w:rsid w:val="00785B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5BAF"/>
    <w:pPr>
      <w:keepNext w:val="0"/>
      <w:tabs>
        <w:tab w:val="right" w:pos="4176"/>
      </w:tabs>
      <w:ind w:left="198" w:hanging="198"/>
    </w:pPr>
    <w:rPr>
      <w:rFonts w:ascii="Garamond" w:hAnsi="Garamond"/>
    </w:rPr>
  </w:style>
  <w:style w:type="paragraph" w:styleId="IndexHeading">
    <w:name w:val="index heading"/>
    <w:basedOn w:val="Normal"/>
    <w:next w:val="Index1"/>
    <w:semiHidden/>
    <w:rsid w:val="00785BAF"/>
    <w:pPr>
      <w:spacing w:before="120" w:after="120"/>
    </w:pPr>
    <w:rPr>
      <w:rFonts w:ascii="Arial" w:hAnsi="Arial"/>
      <w:b/>
      <w:color w:val="918585"/>
      <w:sz w:val="24"/>
    </w:rPr>
  </w:style>
  <w:style w:type="paragraph" w:styleId="Header">
    <w:name w:val="header"/>
    <w:basedOn w:val="Normal"/>
    <w:link w:val="HeaderChar"/>
    <w:rsid w:val="00785B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BAF"/>
    <w:rPr>
      <w:rFonts w:ascii="Times New Roman" w:eastAsia="Times New Roman" w:hAnsi="Times New Roman" w:cs="Times New Roman"/>
      <w:sz w:val="16"/>
      <w:szCs w:val="20"/>
      <w:lang w:val="en-GB" w:eastAsia="en-US"/>
    </w:rPr>
  </w:style>
  <w:style w:type="paragraph" w:customStyle="1" w:styleId="Chapter">
    <w:name w:val="Chapter"/>
    <w:basedOn w:val="Normal"/>
    <w:rsid w:val="00785BAF"/>
    <w:pPr>
      <w:spacing w:before="240"/>
    </w:pPr>
    <w:rPr>
      <w:rFonts w:ascii="Times New Roman" w:hAnsi="Times New Roman"/>
      <w:smallCaps/>
      <w:spacing w:val="80"/>
      <w:sz w:val="28"/>
    </w:rPr>
  </w:style>
  <w:style w:type="paragraph" w:customStyle="1" w:styleId="InChapter">
    <w:name w:val="InChapter"/>
    <w:basedOn w:val="Heading3"/>
    <w:rsid w:val="00785BAF"/>
    <w:pPr>
      <w:spacing w:after="240"/>
      <w:outlineLvl w:val="9"/>
    </w:pPr>
    <w:rPr>
      <w:noProof/>
    </w:rPr>
  </w:style>
  <w:style w:type="paragraph" w:styleId="Index2">
    <w:name w:val="index 2"/>
    <w:basedOn w:val="Normal"/>
    <w:next w:val="Normal"/>
    <w:semiHidden/>
    <w:rsid w:val="00785BAF"/>
    <w:pPr>
      <w:tabs>
        <w:tab w:val="right" w:pos="4176"/>
      </w:tabs>
      <w:ind w:left="568" w:hanging="284"/>
    </w:pPr>
    <w:rPr>
      <w:rFonts w:ascii="Garamond" w:hAnsi="Garamond"/>
    </w:rPr>
  </w:style>
  <w:style w:type="paragraph" w:customStyle="1" w:styleId="Byline">
    <w:name w:val="Byline"/>
    <w:rsid w:val="00785B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BAF"/>
    <w:pPr>
      <w:tabs>
        <w:tab w:val="clear" w:pos="3600"/>
        <w:tab w:val="clear" w:pos="3958"/>
      </w:tabs>
      <w:jc w:val="right"/>
    </w:pPr>
  </w:style>
  <w:style w:type="character" w:styleId="Emphasis">
    <w:name w:val="Emphasis"/>
    <w:basedOn w:val="DefaultParagraphFont"/>
    <w:qFormat/>
    <w:rsid w:val="00785BAF"/>
    <w:rPr>
      <w:i/>
    </w:rPr>
  </w:style>
  <w:style w:type="paragraph" w:styleId="Caption">
    <w:name w:val="caption"/>
    <w:basedOn w:val="BodyText"/>
    <w:next w:val="Normal"/>
    <w:qFormat/>
    <w:rsid w:val="00785BAF"/>
    <w:pPr>
      <w:framePr w:w="2268" w:hSpace="181" w:vSpace="181" w:wrap="around" w:vAnchor="text" w:hAnchor="page" w:x="1135" w:y="285" w:anchorLock="1"/>
    </w:pPr>
    <w:rPr>
      <w:i/>
    </w:rPr>
  </w:style>
  <w:style w:type="paragraph" w:customStyle="1" w:styleId="MiniTOCTitle">
    <w:name w:val="MiniTOCTitle"/>
    <w:basedOn w:val="Heading4"/>
    <w:rsid w:val="00785BAF"/>
    <w:pPr>
      <w:spacing w:before="240"/>
      <w:outlineLvl w:val="9"/>
    </w:pPr>
    <w:rPr>
      <w:noProof/>
      <w:sz w:val="24"/>
    </w:rPr>
  </w:style>
  <w:style w:type="paragraph" w:customStyle="1" w:styleId="MiniTOCItem">
    <w:name w:val="MiniTOCItem"/>
    <w:basedOn w:val="ListBullet"/>
    <w:rsid w:val="00785BAF"/>
    <w:pPr>
      <w:numPr>
        <w:numId w:val="0"/>
      </w:numPr>
      <w:tabs>
        <w:tab w:val="right" w:leader="dot" w:pos="6521"/>
      </w:tabs>
      <w:spacing w:before="0" w:after="0"/>
    </w:pPr>
  </w:style>
  <w:style w:type="paragraph" w:customStyle="1" w:styleId="TOFTitle">
    <w:name w:val="TOFTitle"/>
    <w:basedOn w:val="TOCTitle"/>
    <w:rsid w:val="00785BAF"/>
  </w:style>
  <w:style w:type="paragraph" w:styleId="TableofFigures">
    <w:name w:val="table of figures"/>
    <w:basedOn w:val="Normal"/>
    <w:next w:val="Normal"/>
    <w:semiHidden/>
    <w:rsid w:val="00785BAF"/>
    <w:pPr>
      <w:tabs>
        <w:tab w:val="right" w:leader="dot" w:pos="9072"/>
      </w:tabs>
      <w:ind w:left="970" w:hanging="403"/>
    </w:pPr>
    <w:rPr>
      <w:rFonts w:ascii="Times New Roman" w:hAnsi="Times New Roman"/>
      <w:b/>
    </w:rPr>
  </w:style>
  <w:style w:type="paragraph" w:styleId="ListNumber">
    <w:name w:val="List Number"/>
    <w:basedOn w:val="List"/>
    <w:rsid w:val="00785BAF"/>
    <w:pPr>
      <w:numPr>
        <w:numId w:val="11"/>
      </w:numPr>
    </w:pPr>
  </w:style>
  <w:style w:type="character" w:customStyle="1" w:styleId="WingdingSymbols">
    <w:name w:val="Wingding Symbols"/>
    <w:rsid w:val="00785BAF"/>
    <w:rPr>
      <w:rFonts w:ascii="Wingdings" w:hAnsi="Wingdings"/>
    </w:rPr>
  </w:style>
  <w:style w:type="paragraph" w:customStyle="1" w:styleId="TableHeading">
    <w:name w:val="Table Heading"/>
    <w:basedOn w:val="HeadingBase"/>
    <w:rsid w:val="00785BAF"/>
    <w:pPr>
      <w:keepLines/>
      <w:pBdr>
        <w:bottom w:val="single" w:sz="6" w:space="1" w:color="918585"/>
      </w:pBdr>
      <w:spacing w:before="240"/>
    </w:pPr>
  </w:style>
  <w:style w:type="character" w:customStyle="1" w:styleId="HotSpot">
    <w:name w:val="HotSpot"/>
    <w:rsid w:val="00785BAF"/>
    <w:rPr>
      <w:color w:val="0033CC"/>
      <w:u w:val="none"/>
    </w:rPr>
  </w:style>
  <w:style w:type="paragraph" w:customStyle="1" w:styleId="BodyTextRight">
    <w:name w:val="Body Text Right"/>
    <w:basedOn w:val="BodyText"/>
    <w:rsid w:val="00785BAF"/>
    <w:pPr>
      <w:spacing w:before="0" w:after="0"/>
      <w:jc w:val="right"/>
    </w:pPr>
  </w:style>
  <w:style w:type="paragraph" w:styleId="Index3">
    <w:name w:val="index 3"/>
    <w:basedOn w:val="ListNumber2"/>
    <w:next w:val="Normal"/>
    <w:semiHidden/>
    <w:rsid w:val="00785BAF"/>
    <w:pPr>
      <w:numPr>
        <w:numId w:val="0"/>
      </w:numPr>
      <w:tabs>
        <w:tab w:val="right" w:leader="dot" w:pos="4176"/>
      </w:tabs>
    </w:pPr>
  </w:style>
  <w:style w:type="paragraph" w:styleId="ListNumber2">
    <w:name w:val="List Number 2"/>
    <w:basedOn w:val="List2"/>
    <w:rsid w:val="00785BAF"/>
    <w:pPr>
      <w:numPr>
        <w:numId w:val="10"/>
      </w:numPr>
      <w:tabs>
        <w:tab w:val="clear" w:pos="1060"/>
      </w:tabs>
    </w:pPr>
  </w:style>
  <w:style w:type="paragraph" w:customStyle="1" w:styleId="MarginNote">
    <w:name w:val="Margin Note"/>
    <w:basedOn w:val="BodyText"/>
    <w:rsid w:val="00785B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B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B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5BAF"/>
    <w:rPr>
      <w:sz w:val="32"/>
    </w:rPr>
  </w:style>
  <w:style w:type="paragraph" w:customStyle="1" w:styleId="HeadingProcedure">
    <w:name w:val="Heading Procedure"/>
    <w:basedOn w:val="HeadingBase"/>
    <w:next w:val="Normal"/>
    <w:rsid w:val="00785BAF"/>
    <w:pPr>
      <w:tabs>
        <w:tab w:val="left" w:pos="0"/>
      </w:tabs>
      <w:spacing w:before="120" w:after="60"/>
    </w:pPr>
    <w:rPr>
      <w:i/>
      <w:color w:val="918585"/>
      <w:sz w:val="22"/>
    </w:rPr>
  </w:style>
  <w:style w:type="paragraph" w:customStyle="1" w:styleId="TableBodyText">
    <w:name w:val="Table Body Text"/>
    <w:basedOn w:val="BodyText"/>
    <w:rsid w:val="00785BAF"/>
    <w:pPr>
      <w:spacing w:before="60" w:after="60"/>
    </w:pPr>
  </w:style>
  <w:style w:type="paragraph" w:styleId="ListContinue">
    <w:name w:val="List Continue"/>
    <w:basedOn w:val="List"/>
    <w:rsid w:val="00785BAF"/>
    <w:pPr>
      <w:ind w:firstLine="0"/>
    </w:pPr>
  </w:style>
  <w:style w:type="paragraph" w:customStyle="1" w:styleId="ListNote">
    <w:name w:val="List Note"/>
    <w:basedOn w:val="List"/>
    <w:rsid w:val="00785BAF"/>
    <w:pPr>
      <w:pBdr>
        <w:top w:val="single" w:sz="6" w:space="2" w:color="918585"/>
        <w:bottom w:val="single" w:sz="6" w:space="2" w:color="918585"/>
      </w:pBdr>
      <w:tabs>
        <w:tab w:val="left" w:pos="1021"/>
      </w:tabs>
      <w:ind w:firstLine="0"/>
    </w:pPr>
  </w:style>
  <w:style w:type="paragraph" w:customStyle="1" w:styleId="Warning">
    <w:name w:val="Warning"/>
    <w:basedOn w:val="BodyText"/>
    <w:rsid w:val="00785BAF"/>
    <w:pPr>
      <w:shd w:val="clear" w:color="auto" w:fill="D9D9D9"/>
      <w:tabs>
        <w:tab w:val="left" w:pos="992"/>
      </w:tabs>
      <w:ind w:left="119" w:right="119"/>
    </w:pPr>
    <w:rPr>
      <w:sz w:val="20"/>
    </w:rPr>
  </w:style>
  <w:style w:type="paragraph" w:customStyle="1" w:styleId="MarginIcons">
    <w:name w:val="Margin Icons"/>
    <w:basedOn w:val="BodyText"/>
    <w:rsid w:val="00785B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BAF"/>
    <w:rPr>
      <w:rFonts w:ascii="Courier New" w:hAnsi="Courier New"/>
    </w:rPr>
  </w:style>
  <w:style w:type="paragraph" w:customStyle="1" w:styleId="NoteBullet">
    <w:name w:val="Note Bullet"/>
    <w:basedOn w:val="Note"/>
    <w:rsid w:val="00785BAF"/>
    <w:pPr>
      <w:tabs>
        <w:tab w:val="clear" w:pos="680"/>
      </w:tabs>
      <w:spacing w:before="60" w:after="60"/>
    </w:pPr>
  </w:style>
  <w:style w:type="paragraph" w:customStyle="1" w:styleId="SubHeading2">
    <w:name w:val="SubHeading2"/>
    <w:basedOn w:val="HeadingBase"/>
    <w:rsid w:val="00785BAF"/>
    <w:pPr>
      <w:spacing w:before="240" w:after="60"/>
    </w:pPr>
    <w:rPr>
      <w:sz w:val="20"/>
    </w:rPr>
  </w:style>
  <w:style w:type="paragraph" w:customStyle="1" w:styleId="SubHeading1">
    <w:name w:val="SubHeading1"/>
    <w:basedOn w:val="HeadingBase"/>
    <w:rsid w:val="00785BAF"/>
    <w:pPr>
      <w:spacing w:before="240" w:after="60"/>
    </w:pPr>
    <w:rPr>
      <w:color w:val="918585"/>
      <w:sz w:val="22"/>
    </w:rPr>
  </w:style>
  <w:style w:type="paragraph" w:customStyle="1" w:styleId="SideHeading">
    <w:name w:val="Side Heading"/>
    <w:basedOn w:val="HeadingBase"/>
    <w:rsid w:val="00785B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BAF"/>
    <w:pPr>
      <w:numPr>
        <w:numId w:val="12"/>
      </w:numPr>
    </w:pPr>
  </w:style>
  <w:style w:type="paragraph" w:styleId="PlainText">
    <w:name w:val="Plain Text"/>
    <w:basedOn w:val="Normal"/>
    <w:link w:val="PlainTextChar"/>
    <w:rsid w:val="00785BAF"/>
    <w:rPr>
      <w:sz w:val="20"/>
    </w:rPr>
  </w:style>
  <w:style w:type="character" w:customStyle="1" w:styleId="PlainTextChar">
    <w:name w:val="Plain Text Char"/>
    <w:basedOn w:val="DefaultParagraphFont"/>
    <w:link w:val="PlainText"/>
    <w:rsid w:val="00785BAF"/>
    <w:rPr>
      <w:rFonts w:ascii="Courier New" w:eastAsia="Times New Roman" w:hAnsi="Courier New" w:cs="Times New Roman"/>
      <w:sz w:val="20"/>
      <w:szCs w:val="20"/>
      <w:lang w:eastAsia="en-US"/>
    </w:rPr>
  </w:style>
  <w:style w:type="character" w:customStyle="1" w:styleId="MenuOption">
    <w:name w:val="Menu Option"/>
    <w:basedOn w:val="DefaultParagraphFont"/>
    <w:rsid w:val="00785BAF"/>
    <w:rPr>
      <w:b/>
      <w:smallCaps/>
    </w:rPr>
  </w:style>
  <w:style w:type="paragraph" w:customStyle="1" w:styleId="TableListNumber">
    <w:name w:val="Table List Number"/>
    <w:basedOn w:val="ListNumber"/>
    <w:rsid w:val="00785BAF"/>
    <w:pPr>
      <w:numPr>
        <w:numId w:val="0"/>
      </w:numPr>
    </w:pPr>
  </w:style>
  <w:style w:type="paragraph" w:styleId="TOC4">
    <w:name w:val="toc 4"/>
    <w:basedOn w:val="TOCBase"/>
    <w:next w:val="Normal"/>
    <w:semiHidden/>
    <w:rsid w:val="00785BAF"/>
    <w:pPr>
      <w:tabs>
        <w:tab w:val="right" w:leader="dot" w:pos="9071"/>
      </w:tabs>
      <w:ind w:left="1701"/>
    </w:pPr>
  </w:style>
  <w:style w:type="paragraph" w:customStyle="1" w:styleId="ListAlpha">
    <w:name w:val="List Alpha"/>
    <w:basedOn w:val="List"/>
    <w:rsid w:val="00785BAF"/>
    <w:pPr>
      <w:numPr>
        <w:numId w:val="9"/>
      </w:numPr>
    </w:pPr>
  </w:style>
  <w:style w:type="paragraph" w:customStyle="1" w:styleId="ListAlpha2">
    <w:name w:val="List Alpha 2"/>
    <w:basedOn w:val="List2"/>
    <w:rsid w:val="00785BAF"/>
    <w:pPr>
      <w:numPr>
        <w:numId w:val="8"/>
      </w:numPr>
    </w:pPr>
  </w:style>
  <w:style w:type="paragraph" w:styleId="List2">
    <w:name w:val="List 2"/>
    <w:basedOn w:val="BodyText"/>
    <w:rsid w:val="00785BAF"/>
    <w:pPr>
      <w:tabs>
        <w:tab w:val="left" w:pos="680"/>
      </w:tabs>
      <w:spacing w:before="60" w:after="60"/>
      <w:ind w:left="680" w:hanging="340"/>
    </w:pPr>
  </w:style>
  <w:style w:type="paragraph" w:styleId="List3">
    <w:name w:val="List 3"/>
    <w:basedOn w:val="BodyText"/>
    <w:rsid w:val="00785BAF"/>
    <w:pPr>
      <w:tabs>
        <w:tab w:val="left" w:pos="1021"/>
      </w:tabs>
      <w:spacing w:before="60" w:after="60"/>
      <w:ind w:left="1020" w:hanging="340"/>
    </w:pPr>
  </w:style>
  <w:style w:type="paragraph" w:styleId="List4">
    <w:name w:val="List 4"/>
    <w:basedOn w:val="BodyText"/>
    <w:rsid w:val="00785BAF"/>
    <w:pPr>
      <w:tabs>
        <w:tab w:val="left" w:pos="1361"/>
      </w:tabs>
      <w:spacing w:before="60" w:after="60"/>
      <w:ind w:left="1361" w:hanging="340"/>
    </w:pPr>
  </w:style>
  <w:style w:type="paragraph" w:styleId="List5">
    <w:name w:val="List 5"/>
    <w:basedOn w:val="BodyText"/>
    <w:rsid w:val="00785BAF"/>
    <w:pPr>
      <w:tabs>
        <w:tab w:val="left" w:pos="1701"/>
      </w:tabs>
      <w:spacing w:before="60" w:after="60"/>
      <w:ind w:left="1701" w:hanging="340"/>
    </w:pPr>
  </w:style>
  <w:style w:type="paragraph" w:styleId="ListBullet3">
    <w:name w:val="List Bullet 3"/>
    <w:basedOn w:val="List3"/>
    <w:rsid w:val="00785BAF"/>
    <w:pPr>
      <w:numPr>
        <w:numId w:val="15"/>
      </w:numPr>
      <w:tabs>
        <w:tab w:val="clear" w:pos="1021"/>
      </w:tabs>
      <w:ind w:left="1037" w:hanging="357"/>
    </w:pPr>
  </w:style>
  <w:style w:type="paragraph" w:styleId="ListBullet4">
    <w:name w:val="List Bullet 4"/>
    <w:basedOn w:val="List4"/>
    <w:rsid w:val="00785BAF"/>
    <w:pPr>
      <w:numPr>
        <w:numId w:val="3"/>
      </w:numPr>
    </w:pPr>
  </w:style>
  <w:style w:type="paragraph" w:styleId="ListBullet5">
    <w:name w:val="List Bullet 5"/>
    <w:basedOn w:val="List5"/>
    <w:rsid w:val="00785BAF"/>
    <w:pPr>
      <w:numPr>
        <w:numId w:val="4"/>
      </w:numPr>
    </w:pPr>
  </w:style>
  <w:style w:type="paragraph" w:styleId="ListContinue2">
    <w:name w:val="List Continue 2"/>
    <w:basedOn w:val="List2"/>
    <w:rsid w:val="00785BAF"/>
    <w:pPr>
      <w:ind w:firstLine="0"/>
    </w:pPr>
  </w:style>
  <w:style w:type="paragraph" w:styleId="ListContinue3">
    <w:name w:val="List Continue 3"/>
    <w:basedOn w:val="List3"/>
    <w:rsid w:val="00785BAF"/>
    <w:pPr>
      <w:ind w:left="1021" w:firstLine="0"/>
    </w:pPr>
  </w:style>
  <w:style w:type="paragraph" w:styleId="ListContinue4">
    <w:name w:val="List Continue 4"/>
    <w:basedOn w:val="List4"/>
    <w:rsid w:val="00785BAF"/>
    <w:pPr>
      <w:ind w:firstLine="0"/>
    </w:pPr>
  </w:style>
  <w:style w:type="paragraph" w:styleId="ListContinue5">
    <w:name w:val="List Continue 5"/>
    <w:basedOn w:val="List5"/>
    <w:rsid w:val="00785BAF"/>
    <w:pPr>
      <w:ind w:firstLine="0"/>
    </w:pPr>
  </w:style>
  <w:style w:type="paragraph" w:styleId="ListNumber3">
    <w:name w:val="List Number 3"/>
    <w:basedOn w:val="List3"/>
    <w:rsid w:val="00785BAF"/>
    <w:pPr>
      <w:numPr>
        <w:numId w:val="5"/>
      </w:numPr>
    </w:pPr>
  </w:style>
  <w:style w:type="paragraph" w:styleId="ListNumber4">
    <w:name w:val="List Number 4"/>
    <w:basedOn w:val="List4"/>
    <w:rsid w:val="00785BAF"/>
    <w:pPr>
      <w:numPr>
        <w:numId w:val="6"/>
      </w:numPr>
    </w:pPr>
  </w:style>
  <w:style w:type="paragraph" w:styleId="ListNumber5">
    <w:name w:val="List Number 5"/>
    <w:basedOn w:val="List5"/>
    <w:rsid w:val="00785BAF"/>
    <w:pPr>
      <w:numPr>
        <w:numId w:val="7"/>
      </w:numPr>
    </w:pPr>
  </w:style>
  <w:style w:type="paragraph" w:styleId="BlockText">
    <w:name w:val="Block Text"/>
    <w:basedOn w:val="Normal"/>
    <w:rsid w:val="00785BAF"/>
    <w:pPr>
      <w:spacing w:after="120"/>
      <w:ind w:left="1440" w:right="1440"/>
    </w:pPr>
  </w:style>
  <w:style w:type="character" w:customStyle="1" w:styleId="Subscript">
    <w:name w:val="Subscript"/>
    <w:basedOn w:val="DefaultParagraphFont"/>
    <w:rsid w:val="00785BAF"/>
    <w:rPr>
      <w:sz w:val="16"/>
      <w:vertAlign w:val="subscript"/>
    </w:rPr>
  </w:style>
  <w:style w:type="character" w:customStyle="1" w:styleId="Superscript">
    <w:name w:val="Superscript"/>
    <w:basedOn w:val="DefaultParagraphFont"/>
    <w:rsid w:val="00785BAF"/>
    <w:rPr>
      <w:sz w:val="16"/>
      <w:vertAlign w:val="superscript"/>
    </w:rPr>
  </w:style>
  <w:style w:type="character" w:customStyle="1" w:styleId="Symbols">
    <w:name w:val="Symbols"/>
    <w:basedOn w:val="DefaultParagraphFont"/>
    <w:rsid w:val="00785BAF"/>
    <w:rPr>
      <w:rFonts w:ascii="Symbol" w:hAnsi="Symbol"/>
    </w:rPr>
  </w:style>
  <w:style w:type="character" w:customStyle="1" w:styleId="MenuOptions">
    <w:name w:val="Menu Options"/>
    <w:basedOn w:val="DefaultParagraphFont"/>
    <w:rsid w:val="00785BAF"/>
    <w:rPr>
      <w:rFonts w:ascii="Arial Narrow" w:hAnsi="Arial Narrow"/>
      <w:smallCaps/>
    </w:rPr>
  </w:style>
  <w:style w:type="character" w:customStyle="1" w:styleId="Buttons">
    <w:name w:val="Buttons"/>
    <w:basedOn w:val="DefaultParagraphFont"/>
    <w:rsid w:val="00785BAF"/>
    <w:rPr>
      <w:b/>
    </w:rPr>
  </w:style>
  <w:style w:type="character" w:customStyle="1" w:styleId="Underlined">
    <w:name w:val="Underlined"/>
    <w:basedOn w:val="DefaultParagraphFont"/>
    <w:rsid w:val="00785BAF"/>
    <w:rPr>
      <w:u w:val="single"/>
    </w:rPr>
  </w:style>
  <w:style w:type="paragraph" w:customStyle="1" w:styleId="TableBodyTextRight">
    <w:name w:val="Table Body Text Right"/>
    <w:basedOn w:val="TableBodyText"/>
    <w:rsid w:val="00785BAF"/>
    <w:pPr>
      <w:widowControl w:val="0"/>
      <w:autoSpaceDE w:val="0"/>
      <w:autoSpaceDN w:val="0"/>
      <w:adjustRightInd w:val="0"/>
      <w:jc w:val="right"/>
    </w:pPr>
    <w:rPr>
      <w:rFonts w:cs="Arial"/>
      <w:szCs w:val="18"/>
    </w:rPr>
  </w:style>
  <w:style w:type="paragraph" w:customStyle="1" w:styleId="CopyrightText">
    <w:name w:val="Copyright Text"/>
    <w:basedOn w:val="BodyText"/>
    <w:rsid w:val="00785BAF"/>
    <w:rPr>
      <w:sz w:val="18"/>
    </w:rPr>
  </w:style>
  <w:style w:type="paragraph" w:customStyle="1" w:styleId="BodySmallRight">
    <w:name w:val="Body Small Right"/>
    <w:basedOn w:val="BodyTextRight"/>
    <w:rsid w:val="00785BAF"/>
    <w:rPr>
      <w:sz w:val="18"/>
      <w:szCs w:val="18"/>
    </w:rPr>
  </w:style>
  <w:style w:type="paragraph" w:customStyle="1" w:styleId="MarginEdition">
    <w:name w:val="Margin Edition"/>
    <w:basedOn w:val="MarginNote"/>
    <w:rsid w:val="00785BAF"/>
    <w:pPr>
      <w:spacing w:before="0" w:after="0"/>
    </w:pPr>
    <w:rPr>
      <w:rFonts w:ascii="Times New Roman" w:hAnsi="Times New Roman"/>
      <w:color w:val="999999"/>
    </w:rPr>
  </w:style>
  <w:style w:type="paragraph" w:customStyle="1" w:styleId="Spacer">
    <w:name w:val="Spacer"/>
    <w:basedOn w:val="Normal"/>
    <w:rsid w:val="00785BAF"/>
    <w:rPr>
      <w:sz w:val="2"/>
      <w:szCs w:val="2"/>
    </w:rPr>
  </w:style>
  <w:style w:type="character" w:customStyle="1" w:styleId="Small">
    <w:name w:val="Small"/>
    <w:basedOn w:val="DefaultParagraphFont"/>
    <w:rsid w:val="00785BAF"/>
    <w:rPr>
      <w:sz w:val="16"/>
    </w:rPr>
  </w:style>
  <w:style w:type="paragraph" w:customStyle="1" w:styleId="WideTable">
    <w:name w:val="Wide Table"/>
    <w:basedOn w:val="Normal"/>
    <w:rsid w:val="00785BAF"/>
    <w:pPr>
      <w:ind w:left="-1418"/>
    </w:pPr>
    <w:rPr>
      <w:sz w:val="2"/>
      <w:szCs w:val="2"/>
    </w:rPr>
  </w:style>
  <w:style w:type="character" w:styleId="PageNumber">
    <w:name w:val="page number"/>
    <w:basedOn w:val="DefaultParagraphFont"/>
    <w:rsid w:val="00785BAF"/>
  </w:style>
  <w:style w:type="paragraph" w:styleId="Quote">
    <w:name w:val="Quote"/>
    <w:basedOn w:val="Heading1"/>
    <w:link w:val="QuoteChar"/>
    <w:qFormat/>
    <w:rsid w:val="00785BAF"/>
    <w:rPr>
      <w:b w:val="0"/>
      <w:sz w:val="72"/>
      <w:szCs w:val="72"/>
      <w:lang w:val="en-NZ"/>
    </w:rPr>
  </w:style>
  <w:style w:type="character" w:customStyle="1" w:styleId="QuoteChar">
    <w:name w:val="Quote Char"/>
    <w:basedOn w:val="DefaultParagraphFont"/>
    <w:link w:val="Quote"/>
    <w:rsid w:val="00785B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BAF"/>
    <w:pPr>
      <w:pageBreakBefore/>
    </w:pPr>
  </w:style>
  <w:style w:type="paragraph" w:customStyle="1" w:styleId="Border">
    <w:name w:val="Border"/>
    <w:basedOn w:val="Normal"/>
    <w:qFormat/>
    <w:rsid w:val="00785B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BAF"/>
    <w:rPr>
      <w:b/>
      <w:bCs/>
      <w:i/>
      <w:iCs/>
      <w:color w:val="auto"/>
    </w:rPr>
  </w:style>
  <w:style w:type="paragraph" w:styleId="IntenseQuote">
    <w:name w:val="Intense Quote"/>
    <w:basedOn w:val="Normal"/>
    <w:next w:val="Normal"/>
    <w:link w:val="IntenseQuoteChar"/>
    <w:uiPriority w:val="30"/>
    <w:qFormat/>
    <w:rsid w:val="00785B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B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5BAF"/>
    <w:rPr>
      <w:smallCaps/>
      <w:color w:val="auto"/>
      <w:u w:val="single"/>
    </w:rPr>
  </w:style>
  <w:style w:type="character" w:styleId="IntenseReference">
    <w:name w:val="Intense Reference"/>
    <w:basedOn w:val="DefaultParagraphFont"/>
    <w:uiPriority w:val="32"/>
    <w:qFormat/>
    <w:rsid w:val="00785BAF"/>
    <w:rPr>
      <w:b/>
      <w:bCs/>
      <w:smallCaps/>
      <w:color w:val="auto"/>
      <w:spacing w:val="5"/>
      <w:u w:val="single"/>
    </w:rPr>
  </w:style>
  <w:style w:type="paragraph" w:customStyle="1" w:styleId="2ColumnHeading">
    <w:name w:val="2Column Heading"/>
    <w:basedOn w:val="BodyText"/>
    <w:qFormat/>
    <w:rsid w:val="00785BAF"/>
    <w:pPr>
      <w:spacing w:after="60"/>
      <w:ind w:left="-2268"/>
    </w:pPr>
    <w:rPr>
      <w:b/>
    </w:rPr>
  </w:style>
  <w:style w:type="paragraph" w:customStyle="1" w:styleId="Heading1TOC">
    <w:name w:val="Heading1 TOC"/>
    <w:basedOn w:val="Normal"/>
    <w:qFormat/>
    <w:rsid w:val="00785BAF"/>
    <w:pPr>
      <w:spacing w:before="240" w:after="120"/>
    </w:pPr>
    <w:rPr>
      <w:rFonts w:ascii="Times New Roman" w:hAnsi="Times New Roman"/>
      <w:b/>
      <w:sz w:val="32"/>
    </w:rPr>
  </w:style>
  <w:style w:type="paragraph" w:customStyle="1" w:styleId="Heading2TOC">
    <w:name w:val="Heading2 TOC"/>
    <w:basedOn w:val="Normal"/>
    <w:qFormat/>
    <w:rsid w:val="00785BAF"/>
    <w:pPr>
      <w:spacing w:before="240" w:after="60"/>
    </w:pPr>
    <w:rPr>
      <w:rFonts w:ascii="Times New Roman" w:hAnsi="Times New Roman"/>
      <w:b/>
      <w:sz w:val="28"/>
    </w:rPr>
  </w:style>
  <w:style w:type="character" w:customStyle="1" w:styleId="Underline">
    <w:name w:val="Underline"/>
    <w:basedOn w:val="DefaultParagraphFont"/>
    <w:qFormat/>
    <w:rsid w:val="00785BAF"/>
    <w:rPr>
      <w:u w:val="single"/>
    </w:rPr>
  </w:style>
  <w:style w:type="character" w:customStyle="1" w:styleId="BoldandItalics">
    <w:name w:val="Bold and Italics"/>
    <w:qFormat/>
    <w:rsid w:val="00785BAF"/>
    <w:rPr>
      <w:b/>
      <w:i/>
      <w:u w:val="none"/>
    </w:rPr>
  </w:style>
  <w:style w:type="paragraph" w:styleId="BalloonText">
    <w:name w:val="Balloon Text"/>
    <w:basedOn w:val="Normal"/>
    <w:link w:val="BalloonTextChar"/>
    <w:rsid w:val="00785BAF"/>
    <w:rPr>
      <w:rFonts w:ascii="Tahoma" w:hAnsi="Tahoma" w:cs="Tahoma"/>
      <w:sz w:val="16"/>
      <w:szCs w:val="16"/>
    </w:rPr>
  </w:style>
  <w:style w:type="character" w:customStyle="1" w:styleId="BalloonTextChar">
    <w:name w:val="Balloon Text Char"/>
    <w:basedOn w:val="DefaultParagraphFont"/>
    <w:link w:val="BalloonText"/>
    <w:rsid w:val="00785B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5B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5B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5BAF"/>
    <w:rPr>
      <w:b/>
      <w:color w:val="660033"/>
      <w:spacing w:val="0"/>
    </w:rPr>
  </w:style>
  <w:style w:type="paragraph" w:customStyle="1" w:styleId="Nameditemlist">
    <w:name w:val="Named item list"/>
    <w:basedOn w:val="BodyText"/>
    <w:qFormat/>
    <w:rsid w:val="00785B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1860</Words>
  <Characters>11464</Characters>
  <Application>Microsoft Office Word</Application>
  <DocSecurity>0</DocSecurity>
  <Lines>448</Lines>
  <Paragraphs>184</Paragraphs>
  <ScaleCrop>false</ScaleCrop>
  <Company>Author-it Software Corporation Ltd.</Company>
  <LinksUpToDate>false</LinksUpToDate>
  <CharactersWithSpaces>13190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UEENEEG120A Select and arrange equipment for special LV electrical installations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2012-10-11T18:58:00Z</dcterms:created>
  <dcterms:modified xsi:type="dcterms:W3CDTF">2012-10-11T18:58:00Z</dcterms:modified>
</cp:coreProperties>
</file>