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C7D" w:rsidP="00533C7D">
      <w:pPr>
        <w:pStyle w:val="Title"/>
      </w:pPr>
      <w:r>
        <w:fldChar w:fldCharType="begin"/>
      </w:r>
      <w:r>
        <w:instrText xml:space="preserve"> TITLE   \* MERGEFORMAT </w:instrText>
      </w:r>
      <w:r>
        <w:fldChar w:fldCharType="separate"/>
      </w:r>
      <w:r>
        <w:t>UEENEEG119A Maintain operation of electrical marine equipment and systems</w:t>
      </w:r>
      <w:r>
        <w:fldChar w:fldCharType="end"/>
      </w:r>
    </w:p>
    <w:p w:rsidR="00533C7D" w:rsidP="00533C7D">
      <w:pPr>
        <w:pStyle w:val="Version"/>
        <w:sectPr w:rsidSect="00321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E19" w:rsidP="00321E19">
      <w:pPr>
        <w:pStyle w:val="SuperHeading"/>
      </w:pPr>
      <w:r w:rsidRPr="00321E19">
        <w:t>UEENEEG119A Maintain operation of electrical marine equipment and systems</w:t>
      </w:r>
    </w:p>
    <w:p w:rsidR="00000000" w:rsidRPr="00321E19" w:rsidP="00321E19">
      <w:pPr>
        <w:pStyle w:val="Heading1"/>
      </w:pPr>
      <w:bookmarkStart w:id="1" w:name="O_585172"/>
      <w:bookmarkEnd w:id="1"/>
      <w:r w:rsidRPr="00321E19">
        <w:t>Modification History</w:t>
      </w:r>
    </w:p>
    <w:p w:rsidR="00000000" w:rsidRPr="00321E19" w:rsidP="00321E19">
      <w:pPr>
        <w:pStyle w:val="BodyText"/>
      </w:pPr>
      <w:r w:rsidRPr="00321E19">
        <w:t>Not applicable.</w:t>
      </w:r>
    </w:p>
    <w:p w:rsidR="00000000" w:rsidRPr="00321E19" w:rsidP="00321E19">
      <w:pPr>
        <w:pStyle w:val="AllowPageBreak"/>
      </w:pPr>
    </w:p>
    <w:p w:rsidR="00000000" w:rsidRPr="00321E19" w:rsidP="00321E19">
      <w:pPr>
        <w:pStyle w:val="Heading1"/>
      </w:pPr>
      <w:bookmarkStart w:id="2" w:name="O_585171"/>
      <w:bookmarkEnd w:id="2"/>
      <w:r w:rsidRPr="00321E19">
        <w:t>Unit Descriptor</w:t>
      </w:r>
    </w:p>
    <w:tbl>
      <w:tblPr>
        <w:tblW w:w="0" w:type="auto"/>
        <w:tblLayout w:type="fixed"/>
        <w:tblCellMar>
          <w:left w:w="62" w:type="dxa"/>
          <w:right w:w="62" w:type="dxa"/>
        </w:tblCellMar>
        <w:tblLook w:val="0000"/>
      </w:tblPr>
      <w:tblGrid>
        <w:gridCol w:w="2700"/>
        <w:gridCol w:w="5760"/>
      </w:tblGrid>
      <w:tr w:rsidTr="00533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1)</w:t>
            </w:r>
            <w:r w:rsidRPr="00321E19">
              <w:t xml:space="preserve"> </w:t>
            </w:r>
            <w:r w:rsidRPr="00321E19">
              <w:rPr>
                <w:rStyle w:val="SpecialBold"/>
              </w:rPr>
              <w:t>Scope:</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1E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1.1) Descriptor</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This unit covers the servicing of electrical systems and equipment on vessels and ships. It encompasses working safely, applying knowledge of marine electrical systems and equipment, reading circuit and reticulation diagrams, applying logical fault diagnos</w:t>
            </w:r>
            <w:r w:rsidRPr="00321E19">
              <w:t>is procedures, following fault rectification procedures and maintaining the necessary operational documentation.</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3" w:name="O_585170"/>
      <w:bookmarkEnd w:id="3"/>
      <w:r w:rsidRPr="00321E19">
        <w:t>Application of the Unit</w:t>
      </w:r>
    </w:p>
    <w:tbl>
      <w:tblPr>
        <w:tblW w:w="0" w:type="auto"/>
        <w:tblLayout w:type="fixed"/>
        <w:tblCellMar>
          <w:left w:w="62" w:type="dxa"/>
          <w:right w:w="62" w:type="dxa"/>
        </w:tblCellMar>
        <w:tblLook w:val="0000"/>
      </w:tblPr>
      <w:tblGrid>
        <w:gridCol w:w="2672"/>
        <w:gridCol w:w="5699"/>
      </w:tblGrid>
      <w:tr w:rsidTr="00533C7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2)</w:t>
            </w:r>
          </w:p>
        </w:tc>
      </w:tr>
      <w:tr w:rsidTr="00533C7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 xml:space="preserve">This </w:t>
            </w:r>
            <w:r w:rsidRPr="00321E19">
              <w:t>unit is intended for competency development entry-level employment based programs incorporated in approved contracts of training. It may also used to augment formally acquired competencies.</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4" w:name="O_585169"/>
      <w:bookmarkEnd w:id="4"/>
      <w:r w:rsidRPr="00321E19">
        <w:t>Licensing/Regulatory Information</w:t>
      </w:r>
    </w:p>
    <w:tbl>
      <w:tblPr>
        <w:tblW w:w="0" w:type="auto"/>
        <w:tblLayout w:type="fixed"/>
        <w:tblCellMar>
          <w:left w:w="62" w:type="dxa"/>
          <w:right w:w="62" w:type="dxa"/>
        </w:tblCellMar>
        <w:tblLook w:val="0000"/>
      </w:tblPr>
      <w:tblGrid>
        <w:gridCol w:w="2700"/>
        <w:gridCol w:w="5760"/>
      </w:tblGrid>
      <w:tr w:rsidTr="00533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License to pra</w:t>
            </w:r>
            <w:r w:rsidRPr="00321E19">
              <w:rPr>
                <w:rStyle w:val="SpecialBold"/>
              </w:rPr>
              <w:t>ctice</w:t>
            </w:r>
          </w:p>
        </w:tc>
        <w:tc>
          <w:tcPr>
            <w:tcW w:w="57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 xml:space="preserve">3) </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The skills and knowledge described in this unit may require a license to practice in the workplace subject to regulations for undertaking of electrical work and maritime regulations. Competencies in working in hazardous areas and with explosion</w:t>
            </w:r>
            <w:r w:rsidRPr="00321E19">
              <w:t xml:space="preserve">-protected equipment are required where the workplace includes hazardous </w:t>
            </w:r>
            <w:r w:rsidRPr="00321E19">
              <w:t>areas such as in gain handling and fuel pumping facilities.</w:t>
            </w:r>
          </w:p>
          <w:p w:rsidR="00000000" w:rsidRPr="00321E19" w:rsidP="00321E19">
            <w:pPr>
              <w:pStyle w:val="BodyText"/>
            </w:pPr>
            <w:r w:rsidRPr="00321E19">
              <w:t>Practice in workplace and during training is also subject to regulations directly related to occupational health and safety and where applicable contracts of training such as apprenticeships.</w:t>
            </w:r>
          </w:p>
          <w:p w:rsidR="00000000" w:rsidRPr="00321E19" w:rsidP="00321E19">
            <w:pPr>
              <w:pStyle w:val="BodyText"/>
            </w:pPr>
            <w:r w:rsidRPr="00321E19">
              <w:t xml:space="preserve">Note: </w:t>
            </w:r>
          </w:p>
          <w:p w:rsidR="00000000" w:rsidRPr="00321E19" w:rsidP="00321E19">
            <w:pPr>
              <w:pStyle w:val="BodyText"/>
            </w:pPr>
            <w:r w:rsidRPr="00321E19">
              <w:t>1. Compliance with permits may be required in various jur</w:t>
            </w:r>
            <w:r w:rsidRPr="00321E19">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321E19">
              <w:t>required for some work environments such as confined spaces, working aloft, near live electrical apparatus and site rehabilitation.</w:t>
            </w:r>
          </w:p>
          <w:p w:rsidR="00000000" w:rsidRPr="00321E19" w:rsidP="00321E19">
            <w:pPr>
              <w:pStyle w:val="BodyText"/>
            </w:pPr>
            <w:r w:rsidRPr="00321E19">
              <w:t>2. Compliance may be required in various jurisdictions relating to currency in First Aid, confined space, lifting and risk s</w:t>
            </w:r>
            <w:r w:rsidRPr="00321E19">
              <w:t>afety measures.</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5" w:name="O_585168"/>
      <w:bookmarkEnd w:id="5"/>
      <w:r w:rsidRPr="00321E19">
        <w:t>Pre-Requisites</w:t>
      </w:r>
    </w:p>
    <w:tbl>
      <w:tblPr>
        <w:tblW w:w="0" w:type="auto"/>
        <w:tblLayout w:type="fixed"/>
        <w:tblCellMar>
          <w:left w:w="62" w:type="dxa"/>
          <w:right w:w="62" w:type="dxa"/>
        </w:tblCellMar>
        <w:tblLook w:val="0000"/>
      </w:tblPr>
      <w:tblGrid>
        <w:gridCol w:w="2700"/>
        <w:gridCol w:w="1800"/>
        <w:gridCol w:w="3960"/>
      </w:tblGrid>
      <w:tr w:rsidTr="00533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 xml:space="preserve">4) </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4.1)</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Granting competency in this unit shall be made only after competency in the following unit(s) has/have been confirmed.</w:t>
            </w:r>
          </w:p>
        </w:tc>
      </w:tr>
      <w:tr w:rsidTr="00533C7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UEENEEE101A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Apply Occupational Health and Safety regulations, codes and practices in the workplace</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UEENEEE102A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Fabricate, dismantle, assemble of utilities components</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UEENEEE104A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d.c circuits</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UEENEEE105A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Fix and secure electrotechnology equipmen</w:t>
            </w:r>
            <w:r w:rsidRPr="00321E19">
              <w:t>t</w:t>
            </w:r>
          </w:p>
        </w:tc>
      </w:tr>
      <w:tr w:rsidTr="00533C7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UEENEEE107A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Use drawings, diagrams, schedules, standards, codes and specifications</w:t>
            </w:r>
          </w:p>
        </w:tc>
      </w:tr>
      <w:tr w:rsidTr="00533C7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UEENEEG006A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single and three phase low voltage machines</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UEENEEG033A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single and three phase electrical apparatus and circuits</w:t>
            </w:r>
          </w:p>
        </w:tc>
      </w:tr>
      <w:tr w:rsidTr="00533C7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UEENEEG063A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Arrange circuits, control and protection for general electrical installations</w:t>
            </w:r>
          </w:p>
        </w:tc>
      </w:tr>
      <w:tr w:rsidTr="00533C7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UEENEEG101A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electromagnetic devices and related circuits</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UEENEEG102A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low voltage a.c. circuit</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UEENEEG106A</w:t>
            </w:r>
          </w:p>
        </w:tc>
        <w:tc>
          <w:tcPr>
            <w:tcW w:w="39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Terminate cables, cords and accessories for low voltage circuits</w:t>
            </w:r>
          </w:p>
        </w:tc>
      </w:tr>
      <w:tr w:rsidTr="00533C7D">
        <w:tblPrEx>
          <w:tblW w:w="0" w:type="auto"/>
          <w:tblLayout w:type="fixed"/>
          <w:tblCellMar>
            <w:left w:w="62" w:type="dxa"/>
            <w:right w:w="62" w:type="dxa"/>
          </w:tblCellMar>
          <w:tblLook w:val="0000"/>
        </w:tblPrEx>
        <w:trPr>
          <w:trHeight w:val="43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 xml:space="preserve">UEENEEG108A </w:t>
            </w:r>
          </w:p>
        </w:tc>
        <w:tc>
          <w:tcPr>
            <w:tcW w:w="39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Trouble-shoot and repair faults in low voltage electrical apparatus and circuits</w:t>
            </w:r>
          </w:p>
        </w:tc>
      </w:tr>
    </w:tbl>
    <w:p w:rsidR="00000000" w:rsidRPr="00321E19" w:rsidP="00321E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33C7D">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 xml:space="preserve">4.2) </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Participants are best equipped to achieve competency in this unit if they have reading, writing and numeracy skills indicated by the following scales. Description of each scale is given in Volume 2, Part 3 ‘Literacy and Numeracy’</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Reading</w:t>
            </w:r>
          </w:p>
        </w:tc>
        <w:tc>
          <w:tcPr>
            <w:tcW w:w="81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4</w:t>
            </w:r>
          </w:p>
        </w:tc>
        <w:tc>
          <w:tcPr>
            <w:tcW w:w="99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Writing</w:t>
            </w: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4</w:t>
            </w:r>
          </w:p>
        </w:tc>
        <w:tc>
          <w:tcPr>
            <w:tcW w:w="12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Numeracy</w:t>
            </w:r>
          </w:p>
        </w:tc>
        <w:tc>
          <w:tcPr>
            <w:tcW w:w="72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4</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6" w:name="O_585167"/>
      <w:bookmarkEnd w:id="6"/>
      <w:r w:rsidRPr="00321E19">
        <w:t>Employability Skills Information</w:t>
      </w:r>
    </w:p>
    <w:tbl>
      <w:tblPr>
        <w:tblW w:w="0" w:type="auto"/>
        <w:tblLayout w:type="fixed"/>
        <w:tblCellMar>
          <w:left w:w="62" w:type="dxa"/>
          <w:right w:w="62" w:type="dxa"/>
        </w:tblCellMar>
        <w:tblLook w:val="0000"/>
      </w:tblPr>
      <w:tblGrid>
        <w:gridCol w:w="2700"/>
        <w:gridCol w:w="5760"/>
      </w:tblGrid>
      <w:tr w:rsidTr="00533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 xml:space="preserve">5) </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This unit contains Employability Skills</w:t>
            </w:r>
          </w:p>
          <w:p w:rsidR="00000000" w:rsidRPr="00321E19" w:rsidP="00321E19">
            <w:pPr>
              <w:pStyle w:val="BodyText"/>
            </w:pPr>
            <w:r w:rsidRPr="00321E1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1E19">
              <w:t>requirements.</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7" w:name="O_585166"/>
      <w:bookmarkEnd w:id="7"/>
      <w:r w:rsidRPr="00321E19">
        <w:t>Elements and Performance Criteria Pre-Content</w:t>
      </w:r>
    </w:p>
    <w:tbl>
      <w:tblPr>
        <w:tblW w:w="0" w:type="auto"/>
        <w:tblLayout w:type="fixed"/>
        <w:tblCellMar>
          <w:left w:w="62" w:type="dxa"/>
          <w:right w:w="62" w:type="dxa"/>
        </w:tblCellMar>
        <w:tblLook w:val="0000"/>
      </w:tblPr>
      <w:tblGrid>
        <w:gridCol w:w="2700"/>
        <w:gridCol w:w="5760"/>
      </w:tblGrid>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6)</w:t>
            </w:r>
            <w:r w:rsidRPr="00321E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Performance Criteria describe the required performance needed to demonstrate achievement of the element</w:t>
            </w:r>
            <w:r w:rsidRPr="00321E19">
              <w:t>. Assessment of performance is to be consistent with the Evidence Guide.</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8" w:name="O_585165"/>
      <w:bookmarkEnd w:id="8"/>
      <w:r w:rsidRPr="00321E19">
        <w:t>Elements and Performance Criteria</w:t>
      </w:r>
    </w:p>
    <w:tbl>
      <w:tblPr>
        <w:tblW w:w="0" w:type="auto"/>
        <w:tblLayout w:type="fixed"/>
        <w:tblCellMar>
          <w:left w:w="62" w:type="dxa"/>
          <w:right w:w="62" w:type="dxa"/>
        </w:tblCellMar>
        <w:tblLook w:val="0000"/>
      </w:tblPr>
      <w:tblGrid>
        <w:gridCol w:w="404"/>
        <w:gridCol w:w="31"/>
        <w:gridCol w:w="2161"/>
        <w:gridCol w:w="104"/>
        <w:gridCol w:w="900"/>
        <w:gridCol w:w="4530"/>
        <w:gridCol w:w="330"/>
      </w:tblGrid>
      <w:tr w:rsidTr="00533C7D">
        <w:tblPrEx>
          <w:tblW w:w="0" w:type="auto"/>
          <w:tblLayout w:type="fixed"/>
          <w:tblCellMar>
            <w:left w:w="62" w:type="dxa"/>
            <w:right w:w="62" w:type="dxa"/>
          </w:tblCellMar>
          <w:tblLook w:val="0000"/>
        </w:tblPrEx>
        <w:trPr>
          <w:tblHeader/>
        </w:trPr>
        <w:tc>
          <w:tcPr>
            <w:tcW w:w="2700" w:type="dxa"/>
            <w:gridSpan w:val="4"/>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PERFORMANCE CRITERIA</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w:t>
            </w:r>
          </w:p>
        </w:tc>
        <w:tc>
          <w:tcPr>
            <w:tcW w:w="2296" w:type="dxa"/>
            <w:gridSpan w:val="3"/>
            <w:vMerge w:val="restart"/>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Prepare to maintain operation of electrical mining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1.1</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 xml:space="preserve">OHS procedures for a given work area are identified, obtained and understood. </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1.2</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OHS risk control measures and procedures in preparation for the work are followed.</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1.3</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The likely extent of work to be undertaken is envisaged from fault/breakdown reports and/or discussions with appropriate person(s).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1.4</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Advice is sought from the work supervisor to ensure the work is coordinated effectively with others.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1.5</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Sourc</w:t>
            </w:r>
            <w:r w:rsidRPr="00321E19">
              <w:t>es of materials that may be required for the work are established in accordance with established procedures.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1.6</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Tools, equipment and testing devices needed to locate faults are obtained in accordance with established procedures and chec</w:t>
            </w:r>
            <w:r w:rsidRPr="00321E19">
              <w:t>ked for correct operation and safety.</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w:t>
            </w:r>
          </w:p>
        </w:tc>
        <w:tc>
          <w:tcPr>
            <w:tcW w:w="2296" w:type="dxa"/>
            <w:gridSpan w:val="3"/>
            <w:vMerge w:val="restart"/>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Maintain operation of electrical mining equipment.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2.1</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OHS risk control measures and procedures for carrying out the work are followed.</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2.2</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The need to test or measure live is determined in strict accordance with OHS requirements and when necessary conducted within established safety procedures.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2.3</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Circuits/machines/plant are checked as being isolated where necessary in strict accordance OHS requirements and procedures.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2.4</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Safety hazards resulting from the fault or breakdown are documented and risk control measures devised and implemented in co</w:t>
            </w:r>
            <w:r w:rsidRPr="00321E19">
              <w:t>nsultation with appropriate personnel.</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2.5</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Fault finding is approached methodically drawing on knowledge of mining electrical equipment and circuits using measured and calculated values of circuit/apparatus parameters.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2.6</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Circuit/apparatus components are dismantled where necessary and parts stored to protect them against loss or damage.</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2.7</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Faulty circuits/components are rechecked and their fault status and acquired.</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2.8</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Materials/replacement parts required to rec</w:t>
            </w:r>
            <w:r w:rsidRPr="00321E19">
              <w:t>tify faults are sourced and obtained in accordance with established procedures.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2.9</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Effectiveness of the repair is tested in accordance with established procedures.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2.10</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Apparatus is reassembled, finally tested and prepared for return to service.</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2.11</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Unexpected situations are dealt with safely and with the approval of an authorised person.</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2.12</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 xml:space="preserve">Fault finding and repair activities are carried out without damage to apparatus, circuits, the surrounding environment or services and using </w:t>
            </w:r>
            <w:r w:rsidRPr="00321E19">
              <w:t>sustainable energy practices.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3</w:t>
            </w:r>
          </w:p>
        </w:tc>
        <w:tc>
          <w:tcPr>
            <w:tcW w:w="2296" w:type="dxa"/>
            <w:gridSpan w:val="3"/>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Complete and report on maintaining operation of electrical mining equipment.</w:t>
            </w: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3.1</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OHS work completion risk control measures and procedures are followed.</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3.2</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Reusable, faulty or worn components are tagged and dispatche</w:t>
            </w:r>
            <w:r w:rsidRPr="00321E19">
              <w:t>d for repair to maintain adequate spares.</w:t>
            </w:r>
          </w:p>
        </w:tc>
      </w:tr>
      <w:tr w:rsidTr="00533C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3.3</w:t>
            </w:r>
          </w:p>
        </w:tc>
        <w:tc>
          <w:tcPr>
            <w:tcW w:w="486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 xml:space="preserve">Maintenance work activities are documented in accordance with established procedures. </w:t>
            </w:r>
          </w:p>
        </w:tc>
      </w:tr>
      <w:tr w:rsidTr="00533C7D">
        <w:tblPrEx>
          <w:tblW w:w="0" w:type="auto"/>
          <w:tblLayout w:type="fixed"/>
          <w:tblCellMar>
            <w:left w:w="62" w:type="dxa"/>
            <w:right w:w="62" w:type="dxa"/>
          </w:tblCellMar>
          <w:tblLook w:val="0000"/>
        </w:tblPrEx>
        <w:trPr>
          <w:gridAfter w:val="1"/>
          <w:wAfter w:w="330" w:type="dxa"/>
        </w:trPr>
        <w:tc>
          <w:tcPr>
            <w:tcW w:w="43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34" w:type="dxa"/>
            <w:gridSpan w:val="3"/>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Note.</w:t>
            </w:r>
            <w:r w:rsidRPr="00321E19">
              <w:br/>
              <w:t>Examples of documentation a</w:t>
            </w:r>
            <w:r w:rsidRPr="00321E19">
              <w:t>re component faults reports, test results, authorisations, permits, and parts/component dispatch and stores records.</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9" w:name="O_585164"/>
      <w:bookmarkEnd w:id="9"/>
      <w:r w:rsidRPr="00321E19">
        <w:t>Required Skills and Knowledge</w:t>
      </w:r>
    </w:p>
    <w:tbl>
      <w:tblPr>
        <w:tblW w:w="0" w:type="auto"/>
        <w:tblLayout w:type="fixed"/>
        <w:tblCellMar>
          <w:left w:w="62" w:type="dxa"/>
          <w:right w:w="62" w:type="dxa"/>
        </w:tblCellMar>
        <w:tblLook w:val="0000"/>
      </w:tblPr>
      <w:tblGrid>
        <w:gridCol w:w="8460"/>
      </w:tblGrid>
      <w:tr w:rsidTr="00533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REQUIRED SKILLS AND KNOWLEDGE</w:t>
            </w:r>
          </w:p>
        </w:tc>
      </w:tr>
      <w:tr w:rsidTr="00533C7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8)</w:t>
            </w:r>
            <w:r w:rsidRPr="00321E19">
              <w:t xml:space="preserve"> This describes the essential skills and knowledge and their level, required for this unit.</w:t>
            </w:r>
          </w:p>
          <w:p w:rsidR="00000000" w:rsidRPr="00321E19" w:rsidP="00321E19">
            <w:pPr>
              <w:pStyle w:val="BodyText"/>
            </w:pPr>
            <w:r w:rsidRPr="00321E19">
              <w:t>Evidence shall show that knowledge has been acquired of safe working practices and maintaining operation of electrical marine equipment.</w:t>
            </w:r>
          </w:p>
          <w:p w:rsidR="00000000" w:rsidRPr="00321E19" w:rsidP="00321E19">
            <w:pPr>
              <w:pStyle w:val="BodyText"/>
            </w:pPr>
            <w:r w:rsidRPr="00321E19">
              <w:t>All knowledge and skills de</w:t>
            </w:r>
            <w:r w:rsidRPr="00321E19">
              <w:t>tailed in this unit should be contextualised to current industry practices and technologies.</w:t>
            </w:r>
          </w:p>
          <w:p w:rsidR="00000000" w:rsidRPr="00321E19" w:rsidP="00321E19">
            <w:pPr>
              <w:pStyle w:val="BodyText"/>
            </w:pPr>
            <w:r w:rsidRPr="00321E19">
              <w:rPr>
                <w:rStyle w:val="SpecialBold"/>
              </w:rPr>
              <w:t>KS01-EG119A</w:t>
            </w:r>
            <w:r w:rsidRPr="00321E19">
              <w:rPr>
                <w:rStyle w:val="SpecialBold"/>
              </w:rPr>
              <w:tab/>
              <w:t xml:space="preserve">              Marine Electrical Systems</w:t>
            </w:r>
          </w:p>
          <w:p w:rsidR="00000000" w:rsidRPr="00321E19" w:rsidP="00321E19">
            <w:pPr>
              <w:pStyle w:val="BodyText"/>
            </w:pPr>
            <w:r w:rsidRPr="00321E19">
              <w:t>Evidence shall show an understanding of maintaining the operation of marine electrical equipment to an extent i</w:t>
            </w:r>
            <w:r w:rsidRPr="00321E19">
              <w:t>ndicated by the following aspects:</w:t>
            </w:r>
          </w:p>
          <w:p w:rsidR="00000000" w:rsidRPr="00321E19" w:rsidP="00321E19">
            <w:pPr>
              <w:pStyle w:val="BodyText"/>
            </w:pPr>
            <w:r w:rsidRPr="00321E19">
              <w:t>T1</w:t>
            </w:r>
            <w:r w:rsidRPr="00321E19">
              <w:tab/>
              <w:t>Cells and batteries in common use encompassing:</w:t>
            </w:r>
          </w:p>
          <w:p w:rsidR="00000000" w:rsidRPr="00321E19" w:rsidP="00321E19">
            <w:pPr>
              <w:pStyle w:val="ListBullet"/>
            </w:pPr>
            <w:r w:rsidRPr="00321E19">
              <w:t>Primary cells</w:t>
            </w:r>
          </w:p>
          <w:p w:rsidR="00000000" w:rsidRPr="00321E19" w:rsidP="00321E19">
            <w:pPr>
              <w:pStyle w:val="ListBullet"/>
            </w:pPr>
            <w:r w:rsidRPr="00321E19">
              <w:t xml:space="preserve">Secondary cells </w:t>
            </w:r>
          </w:p>
          <w:p w:rsidR="00000000" w:rsidRPr="00321E19" w:rsidP="00321E19">
            <w:pPr>
              <w:pStyle w:val="ListBullet"/>
            </w:pPr>
            <w:r w:rsidRPr="00321E19">
              <w:t>Discharging</w:t>
            </w:r>
          </w:p>
          <w:p w:rsidR="00000000" w:rsidRPr="00321E19" w:rsidP="00321E19">
            <w:pPr>
              <w:pStyle w:val="ListBullet"/>
            </w:pPr>
            <w:r w:rsidRPr="00321E19">
              <w:t>Recharging</w:t>
            </w:r>
          </w:p>
          <w:p w:rsidR="00000000" w:rsidRPr="00321E19" w:rsidP="00321E19">
            <w:pPr>
              <w:pStyle w:val="ListBullet"/>
            </w:pPr>
            <w:r w:rsidRPr="00321E19">
              <w:t>Terminal voltages</w:t>
            </w:r>
          </w:p>
          <w:p w:rsidR="00000000" w:rsidRPr="00321E19" w:rsidP="00321E19">
            <w:pPr>
              <w:pStyle w:val="ListBullet"/>
            </w:pPr>
            <w:r w:rsidRPr="00321E19">
              <w:t>Capacity</w:t>
            </w:r>
          </w:p>
          <w:p w:rsidR="00000000" w:rsidRPr="00321E19" w:rsidP="00321E19">
            <w:pPr>
              <w:pStyle w:val="ListBullet"/>
            </w:pPr>
            <w:r w:rsidRPr="00321E19">
              <w:t>Discharge and recharge characteristics</w:t>
            </w:r>
          </w:p>
          <w:p w:rsidR="00000000" w:rsidRPr="00321E19" w:rsidP="00321E19">
            <w:pPr>
              <w:pStyle w:val="ListBullet"/>
            </w:pPr>
            <w:r w:rsidRPr="00321E19">
              <w:t>Battery configurations and applications</w:t>
            </w:r>
          </w:p>
          <w:p w:rsidR="00000000" w:rsidRPr="00321E19" w:rsidP="00321E19">
            <w:pPr>
              <w:pStyle w:val="ListBullet"/>
            </w:pPr>
            <w:r w:rsidRPr="00321E19">
              <w:t>Cell and battery safety practices</w:t>
            </w:r>
          </w:p>
          <w:p w:rsidR="00000000" w:rsidRPr="00321E19" w:rsidP="00321E19">
            <w:pPr>
              <w:pStyle w:val="BodyText"/>
            </w:pPr>
            <w:r w:rsidRPr="00321E19">
              <w:t>T2</w:t>
            </w:r>
            <w:r w:rsidRPr="00321E19">
              <w:tab/>
              <w:t>Marine electrical systems overview encompassing:</w:t>
            </w:r>
          </w:p>
          <w:p w:rsidR="00000000" w:rsidRPr="00321E19" w:rsidP="00321E19">
            <w:pPr>
              <w:pStyle w:val="ListBullet"/>
            </w:pPr>
            <w:r w:rsidRPr="00321E19">
              <w:t>Switchboards</w:t>
            </w:r>
          </w:p>
          <w:p w:rsidR="00000000" w:rsidRPr="00321E19" w:rsidP="00321E19">
            <w:pPr>
              <w:pStyle w:val="ListBullet"/>
            </w:pPr>
            <w:r w:rsidRPr="00321E19">
              <w:t>Instrumentation</w:t>
            </w:r>
          </w:p>
          <w:p w:rsidR="00000000" w:rsidRPr="00321E19" w:rsidP="00321E19">
            <w:pPr>
              <w:pStyle w:val="ListBullet"/>
            </w:pPr>
            <w:r w:rsidRPr="00321E19">
              <w:t>Earthing</w:t>
            </w:r>
          </w:p>
          <w:p w:rsidR="00000000" w:rsidRPr="00321E19" w:rsidP="00321E19">
            <w:pPr>
              <w:pStyle w:val="BodyText"/>
            </w:pPr>
            <w:r w:rsidRPr="00321E19">
              <w:t>T3</w:t>
            </w:r>
            <w:r w:rsidRPr="00321E19">
              <w:tab/>
              <w:t>Alternators encompassing:</w:t>
            </w:r>
          </w:p>
          <w:p w:rsidR="00000000" w:rsidRPr="00321E19" w:rsidP="00321E19">
            <w:pPr>
              <w:pStyle w:val="ListBullet"/>
            </w:pPr>
            <w:r w:rsidRPr="00321E19">
              <w:t>Construction</w:t>
            </w:r>
          </w:p>
          <w:p w:rsidR="00000000" w:rsidRPr="00321E19" w:rsidP="00321E19">
            <w:pPr>
              <w:pStyle w:val="ListBullet"/>
            </w:pPr>
            <w:r w:rsidRPr="00321E19">
              <w:t>Characteristics</w:t>
            </w:r>
          </w:p>
          <w:p w:rsidR="00000000" w:rsidRPr="00321E19" w:rsidP="00321E19">
            <w:pPr>
              <w:pStyle w:val="ListBullet"/>
            </w:pPr>
            <w:r w:rsidRPr="00321E19">
              <w:t>Synchronised operation</w:t>
            </w:r>
          </w:p>
          <w:p w:rsidR="00000000" w:rsidRPr="00321E19" w:rsidP="00321E19">
            <w:pPr>
              <w:pStyle w:val="BodyText"/>
            </w:pPr>
            <w:r w:rsidRPr="00321E19">
              <w:t>T4</w:t>
            </w:r>
            <w:r w:rsidRPr="00321E19">
              <w:tab/>
              <w:t>Switchboards and protection encompassing:</w:t>
            </w:r>
          </w:p>
          <w:p w:rsidR="00000000" w:rsidRPr="00321E19" w:rsidP="00321E19">
            <w:pPr>
              <w:pStyle w:val="ListBullet"/>
            </w:pPr>
            <w:r w:rsidRPr="00321E19">
              <w:t>Pur</w:t>
            </w:r>
            <w:r w:rsidRPr="00321E19">
              <w:t>pose</w:t>
            </w:r>
          </w:p>
          <w:p w:rsidR="00000000" w:rsidRPr="00321E19" w:rsidP="00321E19">
            <w:pPr>
              <w:pStyle w:val="ListBullet"/>
            </w:pPr>
            <w:r w:rsidRPr="00321E19">
              <w:t>Testing and maintenance</w:t>
            </w:r>
          </w:p>
          <w:p w:rsidR="00000000" w:rsidRPr="00321E19" w:rsidP="00321E19">
            <w:pPr>
              <w:pStyle w:val="ListBullet"/>
            </w:pPr>
            <w:r w:rsidRPr="00321E19">
              <w:t>Equipment removal</w:t>
            </w:r>
          </w:p>
          <w:p w:rsidR="00000000" w:rsidRPr="00321E19" w:rsidP="00321E19">
            <w:pPr>
              <w:pStyle w:val="BodyText"/>
            </w:pPr>
            <w:r w:rsidRPr="00321E19">
              <w:t>T5</w:t>
            </w:r>
            <w:r w:rsidRPr="00321E19">
              <w:tab/>
              <w:t>Lighting systems purpose and types</w:t>
            </w:r>
          </w:p>
          <w:p w:rsidR="00000000" w:rsidRPr="00321E19" w:rsidP="00321E19">
            <w:pPr>
              <w:pStyle w:val="BodyText"/>
            </w:pPr>
            <w:r w:rsidRPr="00321E19">
              <w:t>T6</w:t>
            </w:r>
            <w:r w:rsidRPr="00321E19">
              <w:tab/>
              <w:t>Power supplies encompassing:</w:t>
            </w:r>
          </w:p>
          <w:p w:rsidR="00000000" w:rsidRPr="00321E19" w:rsidP="00321E19">
            <w:pPr>
              <w:pStyle w:val="ListBullet"/>
            </w:pPr>
            <w:r w:rsidRPr="00321E19">
              <w:t>UPS systems</w:t>
            </w:r>
          </w:p>
          <w:p w:rsidR="00000000" w:rsidRPr="00321E19" w:rsidP="00321E19">
            <w:pPr>
              <w:pStyle w:val="ListBullet"/>
            </w:pPr>
            <w:r w:rsidRPr="00321E19">
              <w:t>Batteries</w:t>
            </w:r>
          </w:p>
          <w:p w:rsidR="00000000" w:rsidRPr="00321E19" w:rsidP="00321E19">
            <w:pPr>
              <w:pStyle w:val="ListBullet"/>
            </w:pPr>
            <w:r w:rsidRPr="00321E19">
              <w:t>Maintenance</w:t>
            </w:r>
          </w:p>
          <w:p w:rsidR="00000000" w:rsidRPr="00321E19" w:rsidP="00321E19">
            <w:pPr>
              <w:pStyle w:val="ListBullet"/>
            </w:pPr>
            <w:r w:rsidRPr="00321E19">
              <w:t>Safety procedures - battery banks</w:t>
            </w:r>
          </w:p>
          <w:p w:rsidR="00000000" w:rsidRPr="00321E19" w:rsidP="00321E19">
            <w:pPr>
              <w:pStyle w:val="BodyText"/>
            </w:pPr>
            <w:r w:rsidRPr="00321E19">
              <w:t>T7</w:t>
            </w:r>
            <w:r w:rsidRPr="00321E19">
              <w:tab/>
              <w:t>Cathodic protection</w:t>
            </w:r>
          </w:p>
          <w:p w:rsidR="00000000" w:rsidRPr="00321E19" w:rsidP="00321E19">
            <w:pPr>
              <w:pStyle w:val="ListBullet"/>
            </w:pPr>
            <w:r w:rsidRPr="00321E19">
              <w:t>Purpose</w:t>
            </w:r>
          </w:p>
          <w:p w:rsidR="00000000" w:rsidRPr="00321E19" w:rsidP="00321E19">
            <w:pPr>
              <w:pStyle w:val="ListBullet"/>
            </w:pPr>
            <w:r w:rsidRPr="00321E19">
              <w:t>Operating parameters</w:t>
            </w:r>
          </w:p>
          <w:p w:rsidR="00000000" w:rsidRPr="00321E19" w:rsidP="00321E19">
            <w:pPr>
              <w:pStyle w:val="ListBullet"/>
            </w:pPr>
            <w:r w:rsidRPr="00321E19">
              <w:t>Corrosion factors</w:t>
            </w:r>
          </w:p>
          <w:p w:rsidR="00000000" w:rsidRPr="00321E19" w:rsidP="00321E19">
            <w:pPr>
              <w:pStyle w:val="BodyText"/>
            </w:pPr>
            <w:r w:rsidRPr="00321E19">
              <w:t>T8</w:t>
            </w:r>
            <w:r w:rsidRPr="00321E19">
              <w:tab/>
              <w:t>Safety equipment and codes and regulations</w:t>
            </w:r>
          </w:p>
          <w:p w:rsidR="00000000" w:rsidRPr="00321E19" w:rsidP="00321E19">
            <w:pPr>
              <w:pStyle w:val="BodyText"/>
            </w:pPr>
            <w:r w:rsidRPr="00321E19">
              <w:t>T9</w:t>
            </w:r>
            <w:r w:rsidRPr="00321E19">
              <w:tab/>
              <w:t>Electrical system commissioning requirements and surveys</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10" w:name="O_585163"/>
      <w:bookmarkEnd w:id="10"/>
      <w:r w:rsidRPr="00321E19">
        <w:t>Evidence Guide</w:t>
      </w:r>
    </w:p>
    <w:tbl>
      <w:tblPr>
        <w:tblW w:w="0" w:type="auto"/>
        <w:tblLayout w:type="fixed"/>
        <w:tblCellMar>
          <w:left w:w="62" w:type="dxa"/>
          <w:right w:w="62" w:type="dxa"/>
        </w:tblCellMar>
        <w:tblLook w:val="0000"/>
      </w:tblPr>
      <w:tblGrid>
        <w:gridCol w:w="8460"/>
      </w:tblGrid>
      <w:tr w:rsidTr="00533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EVIDENCE GUIDE</w:t>
            </w:r>
          </w:p>
        </w:tc>
      </w:tr>
      <w:tr w:rsidTr="00533C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9)</w:t>
            </w:r>
            <w:r w:rsidRPr="00321E19">
              <w:t xml:space="preserve"> The evidence guide provides advice on assessment and must be read in conjunction with the Performance Criteria, Required Skills and Knowledge, the Range Statement and the Assessment Guidelines for this Training Package. </w:t>
            </w:r>
          </w:p>
          <w:p w:rsidR="00000000" w:rsidRPr="00321E19" w:rsidP="00321E19">
            <w:pPr>
              <w:pStyle w:val="BodyText"/>
            </w:pPr>
            <w:r w:rsidRPr="00321E19">
              <w:t>The Evidence Guide forms an integr</w:t>
            </w:r>
            <w:r w:rsidRPr="00321E19">
              <w:t>al part of this unit. It must be used in conjunction with all parts of this unit and performed in accordance with the Assessment Guidelines of this Training Package.</w:t>
            </w:r>
          </w:p>
        </w:tc>
      </w:tr>
    </w:tbl>
    <w:p w:rsidR="00000000" w:rsidRPr="00321E19" w:rsidP="00321E19">
      <w:pPr>
        <w:pStyle w:val="BodyText"/>
      </w:pPr>
    </w:p>
    <w:tbl>
      <w:tblPr>
        <w:tblW w:w="0" w:type="auto"/>
        <w:tblLayout w:type="fixed"/>
        <w:tblCellMar>
          <w:left w:w="62" w:type="dxa"/>
          <w:right w:w="62" w:type="dxa"/>
        </w:tblCellMar>
        <w:tblLook w:val="0000"/>
      </w:tblPr>
      <w:tblGrid>
        <w:gridCol w:w="1890"/>
        <w:gridCol w:w="6570"/>
      </w:tblGrid>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9.1)</w:t>
            </w:r>
          </w:p>
        </w:tc>
      </w:tr>
      <w:tr w:rsidTr="00533C7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Longitudinal</w:t>
            </w:r>
            <w:r w:rsidRPr="00321E19">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321E19">
              <w:t>n. It is the Industry’s preferred model for apprenticeships. However, where summative (or final) assessment is used it is to include the application of the competency in the normal work environment or, at a minimum, the application of the competency in a r</w:t>
            </w:r>
            <w:r w:rsidRPr="00321E19">
              <w:t>ealistically simulated work environment. It is recognised that, in some circumstances, assessment in part or full can occur outside the workplace. However, it must be in accordance with industry and regulatory policy.</w:t>
            </w:r>
          </w:p>
          <w:p w:rsidR="00000000" w:rsidRPr="00321E19" w:rsidP="00321E19">
            <w:pPr>
              <w:pStyle w:val="BodyText"/>
            </w:pPr>
            <w:r w:rsidRPr="00321E19">
              <w:t>Methods chosen for a particular assess</w:t>
            </w:r>
            <w:r w:rsidRPr="00321E19">
              <w:t>ment will be influenced by various factors. These include the extent of the assessment, the most effective locations for the assessment activities to take place, access to physical resources, additional safety measures that may be required and the critical</w:t>
            </w:r>
            <w:r w:rsidRPr="00321E19">
              <w:t xml:space="preserve"> nature of the competencies being assessed.</w:t>
            </w:r>
          </w:p>
          <w:p w:rsidR="00000000" w:rsidRPr="00321E19" w:rsidP="00321E19">
            <w:pPr>
              <w:pStyle w:val="BodyText"/>
            </w:pPr>
            <w:r w:rsidRPr="00321E19">
              <w:t>The critical safety nature of working with electricity, electrical equipment, gas or any other hazardous substance/material carries risk in deeming a person competent. Sources of evidence need to be ‘rich’ in nat</w:t>
            </w:r>
            <w:r w:rsidRPr="00321E19">
              <w:t>ure to minimise error in judgment.</w:t>
            </w:r>
          </w:p>
          <w:p w:rsidR="00000000" w:rsidRPr="00321E19" w:rsidP="00321E19">
            <w:pPr>
              <w:pStyle w:val="BodyText"/>
            </w:pPr>
            <w:r w:rsidRPr="00321E19">
              <w:t xml:space="preserve">Activities associated with normal every day work have a bearing on the decision as to how much and how detailed the data gathered will contribute to its ‘richness’. Some skills are more critical to safety and operational </w:t>
            </w:r>
            <w:r w:rsidRPr="00321E19">
              <w:t>requirements while the same skills may be more or less frequently practised. These points are raised for the assessors to consider when choosing an assessment method and developing assessment instruments. Sample assessment instruments are included for Asse</w:t>
            </w:r>
            <w:r w:rsidRPr="00321E19">
              <w:t>ssors in the Assessment Guidelines of this Training Package.</w:t>
            </w:r>
          </w:p>
        </w:tc>
      </w:tr>
    </w:tbl>
    <w:p w:rsidR="00000000" w:rsidRPr="00321E19" w:rsidP="00321E19">
      <w:pPr>
        <w:pStyle w:val="BodyText"/>
      </w:pPr>
    </w:p>
    <w:tbl>
      <w:tblPr>
        <w:tblW w:w="0" w:type="auto"/>
        <w:tblLayout w:type="fixed"/>
        <w:tblCellMar>
          <w:left w:w="62" w:type="dxa"/>
          <w:right w:w="62" w:type="dxa"/>
        </w:tblCellMar>
        <w:tblLook w:val="0000"/>
      </w:tblPr>
      <w:tblGrid>
        <w:gridCol w:w="1890"/>
        <w:gridCol w:w="6570"/>
      </w:tblGrid>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9.2)</w:t>
            </w:r>
          </w:p>
        </w:tc>
      </w:tr>
      <w:tr w:rsidTr="00533C7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Before the critical aspects of evidence are considered all prerequisites shall be met.</w:t>
            </w:r>
          </w:p>
          <w:p w:rsidR="00000000" w:rsidRPr="00321E19" w:rsidP="00321E19">
            <w:pPr>
              <w:pStyle w:val="BodyText"/>
            </w:pPr>
            <w:r w:rsidRPr="00321E19">
              <w:t>Evidence for competenc</w:t>
            </w:r>
            <w:r w:rsidRPr="00321E19">
              <w:t>e in this unit shall be considered holistically.  Each element and associated performance criteria shall be demonstrated on at least two occasions in accordance with the ‘Assessment Guidelines – UEE11’.  Evidence shall also comprise:</w:t>
            </w:r>
          </w:p>
          <w:p w:rsidR="00000000" w:rsidRPr="00321E19" w:rsidP="00321E19">
            <w:pPr>
              <w:pStyle w:val="ListBullet"/>
            </w:pPr>
            <w:r w:rsidRPr="00321E19">
              <w:t>A representative body</w:t>
            </w:r>
            <w:r w:rsidRPr="00321E19">
              <w:t xml:space="preserve"> of work performance demonstrated within the timeframes typically expected of the discipline, work function and industrial environment. In particular this shall incorporate evidence that shows a candidate is able to:</w:t>
            </w:r>
          </w:p>
          <w:p w:rsidR="00000000" w:rsidRPr="00321E19" w:rsidP="00321E19">
            <w:pPr>
              <w:pStyle w:val="ListBullet2"/>
            </w:pPr>
            <w:r w:rsidRPr="00321E19">
              <w:t>Implement Occupational Health and Safety workplace procedures and practices including the use of risk control measures as specified in the performance criteria and range statement</w:t>
            </w:r>
          </w:p>
          <w:p w:rsidR="00000000" w:rsidRPr="00321E19" w:rsidP="00321E19">
            <w:pPr>
              <w:pStyle w:val="ListBullet2"/>
            </w:pPr>
            <w:r w:rsidRPr="00321E19">
              <w:t>Apply sustainable energy principles and practices as specified in the perfor</w:t>
            </w:r>
            <w:r w:rsidRPr="00321E19">
              <w:t>mance criteria and range statement</w:t>
            </w:r>
          </w:p>
          <w:p w:rsidR="00000000" w:rsidRPr="00321E19" w:rsidP="00321E19">
            <w:pPr>
              <w:pStyle w:val="ListBullet2"/>
            </w:pPr>
            <w:r w:rsidRPr="00321E19">
              <w:t>Demonstrate an understanding of the essential knowledge and associated skills as described in this unit.  It may be required by some jurisdictions that RTOs provide a percentile graded result for the purpose of regulatory</w:t>
            </w:r>
            <w:r w:rsidRPr="00321E19">
              <w:t xml:space="preserve"> or licensing requirements.   </w:t>
            </w:r>
          </w:p>
          <w:p w:rsidR="00000000" w:rsidRPr="00321E19" w:rsidP="00321E19">
            <w:pPr>
              <w:pStyle w:val="ListBullet2"/>
            </w:pPr>
            <w:r w:rsidRPr="00321E19">
              <w:t>Demonstrate an appropriate level of skills enabling employment</w:t>
            </w:r>
          </w:p>
          <w:p w:rsidR="00000000" w:rsidRPr="00321E19" w:rsidP="00321E19">
            <w:pPr>
              <w:pStyle w:val="ListBullet2"/>
            </w:pPr>
            <w:r w:rsidRPr="00321E19">
              <w:t>Conduct work observing the relevant Anti Discrimination legislation, regulations, polices and workplace procedures</w:t>
            </w:r>
          </w:p>
          <w:p w:rsidR="00000000" w:rsidRPr="00321E19" w:rsidP="00321E19">
            <w:pPr>
              <w:pStyle w:val="ListBullet"/>
            </w:pPr>
            <w:r w:rsidRPr="00321E19">
              <w:t>Demonstrated consistent performance across a r</w:t>
            </w:r>
            <w:r w:rsidRPr="00321E19">
              <w:t>epresentative range of contexts from the prescribed items below:</w:t>
            </w:r>
          </w:p>
          <w:p w:rsidR="00000000" w:rsidRPr="00321E19" w:rsidP="00321E19">
            <w:pPr>
              <w:pStyle w:val="ListBullet2"/>
            </w:pPr>
            <w:r w:rsidRPr="00321E19">
              <w:t>Maintain operation of electrical marine equipment as described as described in 8) and including:</w:t>
            </w:r>
          </w:p>
          <w:p w:rsidR="00000000" w:rsidRPr="00321E19" w:rsidP="00321E19">
            <w:pPr>
              <w:pStyle w:val="BodyText"/>
            </w:pPr>
            <w:r w:rsidRPr="00321E19">
              <w:t>A</w:t>
            </w:r>
            <w:r w:rsidRPr="00321E19">
              <w:tab/>
              <w:t>Envisaging the likely extent of work from fault/breakdown reports and discussion with appro</w:t>
            </w:r>
            <w:r w:rsidRPr="00321E19">
              <w:t>priate person(s).</w:t>
            </w:r>
          </w:p>
          <w:p w:rsidR="00000000" w:rsidRPr="00321E19" w:rsidP="00321E19">
            <w:pPr>
              <w:pStyle w:val="BodyText"/>
            </w:pPr>
            <w:r w:rsidRPr="00321E19">
              <w:t>B</w:t>
            </w:r>
            <w:r w:rsidRPr="00321E19">
              <w:tab/>
              <w:t>Using methodical fault finding techniques.</w:t>
            </w:r>
          </w:p>
          <w:p w:rsidR="00000000" w:rsidRPr="00321E19" w:rsidP="00321E19">
            <w:pPr>
              <w:pStyle w:val="BodyText"/>
            </w:pPr>
            <w:r w:rsidRPr="00321E19">
              <w:t>C</w:t>
            </w:r>
            <w:r w:rsidRPr="00321E19">
              <w:tab/>
              <w:t>Finding faults efficiently.</w:t>
            </w:r>
          </w:p>
          <w:p w:rsidR="00000000" w:rsidRPr="00321E19" w:rsidP="00321E19">
            <w:pPr>
              <w:pStyle w:val="BodyText"/>
            </w:pPr>
            <w:r w:rsidRPr="00321E19">
              <w:t>D</w:t>
            </w:r>
            <w:r w:rsidRPr="00321E19">
              <w:tab/>
              <w:t>Rectifying faults effectively.</w:t>
            </w:r>
          </w:p>
          <w:p w:rsidR="00000000" w:rsidRPr="00321E19" w:rsidP="00321E19">
            <w:pPr>
              <w:pStyle w:val="BodyText"/>
            </w:pPr>
            <w:r w:rsidRPr="00321E19">
              <w:t>E</w:t>
            </w:r>
            <w:r w:rsidRPr="00321E19">
              <w:tab/>
              <w:t>Completing documentation correctly.</w:t>
            </w:r>
          </w:p>
          <w:p w:rsidR="00000000" w:rsidRPr="00321E19" w:rsidP="00321E19">
            <w:pPr>
              <w:pStyle w:val="BodyText"/>
            </w:pPr>
            <w:r w:rsidRPr="00321E19">
              <w:t>F</w:t>
            </w:r>
            <w:r w:rsidRPr="00321E19">
              <w:tab/>
            </w:r>
            <w:r w:rsidRPr="00321E19">
              <w:t>Dealing with unplanned events by drawing on essential knowledge and skills to provide appropriate solutions incorporated in the holistic assessment with the above listed items.</w:t>
            </w:r>
          </w:p>
        </w:tc>
      </w:tr>
    </w:tbl>
    <w:p w:rsidR="00000000" w:rsidRPr="00321E19" w:rsidP="00321E19">
      <w:pPr>
        <w:pStyle w:val="BodyText"/>
      </w:pPr>
    </w:p>
    <w:tbl>
      <w:tblPr>
        <w:tblW w:w="0" w:type="auto"/>
        <w:tblLayout w:type="fixed"/>
        <w:tblCellMar>
          <w:left w:w="62" w:type="dxa"/>
          <w:right w:w="62" w:type="dxa"/>
        </w:tblCellMar>
        <w:tblLook w:val="0000"/>
      </w:tblPr>
      <w:tblGrid>
        <w:gridCol w:w="1890"/>
        <w:gridCol w:w="6570"/>
      </w:tblGrid>
      <w:tr w:rsidTr="00533C7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9.3)</w:t>
            </w:r>
          </w:p>
        </w:tc>
      </w:tr>
      <w:tr w:rsidTr="00533C7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This unit should be a</w:t>
            </w:r>
            <w:r w:rsidRPr="00321E19">
              <w:t>ssessed as it relates to normal work practice using procedures, information and resources typical of a workplace. This should include:</w:t>
            </w:r>
          </w:p>
          <w:p w:rsidR="00000000" w:rsidRPr="00321E19" w:rsidP="00321E19">
            <w:pPr>
              <w:pStyle w:val="BodyText"/>
            </w:pPr>
            <w:r w:rsidRPr="00321E19">
              <w:t>OHS policy and work procedures and instructions.</w:t>
            </w:r>
          </w:p>
          <w:p w:rsidR="00000000" w:rsidRPr="00321E19" w:rsidP="00321E19">
            <w:pPr>
              <w:pStyle w:val="BodyText"/>
            </w:pPr>
            <w:r w:rsidRPr="00321E19">
              <w:t>Suitable work environment, facilities, equipment and materials to undert</w:t>
            </w:r>
            <w:r w:rsidRPr="00321E19">
              <w:t>ake actual work as prescribed by this unit.</w:t>
            </w:r>
          </w:p>
          <w:p w:rsidR="00000000" w:rsidRPr="00321E19" w:rsidP="00321E19">
            <w:pPr>
              <w:pStyle w:val="BodyText"/>
            </w:pPr>
            <w:r w:rsidRPr="00321E19">
              <w:t>Resources required to assess this unit are listed above in context of assessment, which should also be used in the formal learning/assessment environment.</w:t>
            </w:r>
          </w:p>
          <w:p w:rsidR="00000000" w:rsidRPr="00321E19" w:rsidP="00321E19">
            <w:pPr>
              <w:pStyle w:val="BodyText"/>
            </w:pPr>
            <w:r w:rsidRPr="00321E19">
              <w:t>Note:</w:t>
            </w:r>
          </w:p>
          <w:p w:rsidR="00000000" w:rsidRPr="00321E19" w:rsidP="00321E19">
            <w:pPr>
              <w:pStyle w:val="BodyText"/>
            </w:pPr>
            <w:r w:rsidRPr="00321E19">
              <w:t xml:space="preserve">Where simulation is considered a suitable strategy </w:t>
            </w:r>
            <w:r w:rsidRPr="00321E19">
              <w:t>for assessment, conditions must be authentic and as far as possible reproduce and replicate the workplace and be consistent with the approved industry simulation policy.</w:t>
            </w:r>
          </w:p>
          <w:p w:rsidR="00000000" w:rsidRPr="00321E19" w:rsidP="00321E19">
            <w:pPr>
              <w:pStyle w:val="BodyText"/>
            </w:pPr>
            <w:r w:rsidRPr="00321E19">
              <w:t>The resources used for assessment should reflect current industry practices in relatio</w:t>
            </w:r>
            <w:r w:rsidRPr="00321E19">
              <w:t>n to maintaining operation of electrical marine equipment.</w:t>
            </w:r>
          </w:p>
        </w:tc>
      </w:tr>
    </w:tbl>
    <w:p w:rsidR="00000000" w:rsidRPr="00321E19" w:rsidP="00321E19">
      <w:pPr>
        <w:pStyle w:val="BodyText"/>
      </w:pPr>
    </w:p>
    <w:tbl>
      <w:tblPr>
        <w:tblW w:w="0" w:type="auto"/>
        <w:tblLayout w:type="fixed"/>
        <w:tblCellMar>
          <w:left w:w="62" w:type="dxa"/>
          <w:right w:w="62" w:type="dxa"/>
        </w:tblCellMar>
        <w:tblLook w:val="0000"/>
      </w:tblPr>
      <w:tblGrid>
        <w:gridCol w:w="1890"/>
        <w:gridCol w:w="6570"/>
      </w:tblGrid>
      <w:tr w:rsidTr="00533C7D">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9.4)</w:t>
            </w:r>
          </w:p>
        </w:tc>
      </w:tr>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This unit shall be assessed by methods given in Volume 1, Part 3 ‘Assessment Guidelines’.</w:t>
            </w:r>
          </w:p>
          <w:p w:rsidR="00000000" w:rsidRPr="00321E19" w:rsidP="00321E19">
            <w:pPr>
              <w:pStyle w:val="BodyText"/>
            </w:pPr>
            <w:r w:rsidRPr="00321E19">
              <w:t xml:space="preserve">Note: </w:t>
            </w:r>
          </w:p>
          <w:p w:rsidR="00000000" w:rsidRPr="00321E19" w:rsidP="00321E19">
            <w:pPr>
              <w:pStyle w:val="BodyText"/>
            </w:pPr>
            <w:r w:rsidRPr="00321E19">
              <w:t>Competent performance with inherent safe working practices is expected in the industry to which this unit applies. This requires assessment in a structured environment which is primarily intended for learning/assessment and incorporates all necessary equip</w:t>
            </w:r>
            <w:r w:rsidRPr="00321E19">
              <w:t>ment and facilities for learners to develop and demonstrate the essential knowledge and skills described in this unit.</w:t>
            </w:r>
          </w:p>
        </w:tc>
      </w:tr>
    </w:tbl>
    <w:p w:rsidR="00000000" w:rsidRPr="00321E19" w:rsidP="00321E19">
      <w:pPr>
        <w:pStyle w:val="BodyText"/>
      </w:pPr>
    </w:p>
    <w:tbl>
      <w:tblPr>
        <w:tblW w:w="0" w:type="auto"/>
        <w:tblLayout w:type="fixed"/>
        <w:tblCellMar>
          <w:left w:w="62" w:type="dxa"/>
          <w:right w:w="62" w:type="dxa"/>
        </w:tblCellMar>
        <w:tblLook w:val="0000"/>
      </w:tblPr>
      <w:tblGrid>
        <w:gridCol w:w="1890"/>
        <w:gridCol w:w="1530"/>
        <w:gridCol w:w="5040"/>
      </w:tblGrid>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9.5)</w:t>
            </w:r>
          </w:p>
        </w:tc>
      </w:tr>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For optimisation of training and assessmen</w:t>
            </w:r>
            <w:r w:rsidRPr="00321E19">
              <w:t>t effort, competency development in this unit may be arranged concurrently with unit:</w:t>
            </w:r>
          </w:p>
        </w:tc>
      </w:tr>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UEENEEE119A</w:t>
            </w:r>
          </w:p>
        </w:tc>
        <w:tc>
          <w:tcPr>
            <w:tcW w:w="504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t>Solve problems in multiple path extra low voltage (ELV) a.c. circuits</w:t>
            </w:r>
          </w:p>
        </w:tc>
      </w:tr>
      <w:tr w:rsidTr="00533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 xml:space="preserve">The critical aspects of occupational health and safety covered in unit UEENEEE101A </w:t>
            </w:r>
            <w:r w:rsidRPr="00321E19">
              <w:t>and other discipline specific occupational health and safety units shall be incorporated in relation to this unit.</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11" w:name="O_585162"/>
      <w:bookmarkEnd w:id="11"/>
      <w:r w:rsidRPr="00321E19">
        <w:t>Range Statement</w:t>
      </w:r>
    </w:p>
    <w:tbl>
      <w:tblPr>
        <w:tblW w:w="0" w:type="auto"/>
        <w:tblLayout w:type="fixed"/>
        <w:tblCellMar>
          <w:left w:w="62" w:type="dxa"/>
          <w:right w:w="62" w:type="dxa"/>
        </w:tblCellMar>
        <w:tblLook w:val="0000"/>
      </w:tblPr>
      <w:tblGrid>
        <w:gridCol w:w="8460"/>
      </w:tblGrid>
      <w:tr w:rsidTr="00533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RANGE STATEMENT</w:t>
            </w:r>
          </w:p>
        </w:tc>
      </w:tr>
      <w:tr w:rsidTr="00533C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 xml:space="preserve">10) </w:t>
            </w:r>
            <w:r w:rsidRPr="00321E19">
              <w:t>This relates to the unit as a whole providing the range of contexts and conditions to which the performance criteria apply. It allows for different work environments and situations that will affect performance.</w:t>
            </w:r>
          </w:p>
          <w:p w:rsidR="00000000" w:rsidRPr="00321E19" w:rsidP="00321E19">
            <w:pPr>
              <w:pStyle w:val="BodyText"/>
            </w:pPr>
            <w:r w:rsidRPr="00321E19">
              <w:t>This unit shall be demonstrated in relation t</w:t>
            </w:r>
            <w:r w:rsidRPr="00321E19">
              <w:t>o maintaining operation of electrical marine equipment by rectifying any four of the following faults in marine equipment and circuits.</w:t>
            </w:r>
          </w:p>
          <w:p w:rsidR="00000000" w:rsidRPr="00321E19" w:rsidP="00321E19">
            <w:pPr>
              <w:pStyle w:val="ListBullet3"/>
            </w:pPr>
            <w:r w:rsidRPr="00321E19">
              <w:t xml:space="preserve">Open-circuit </w:t>
            </w:r>
          </w:p>
          <w:p w:rsidR="00000000" w:rsidRPr="00321E19" w:rsidP="00321E19">
            <w:pPr>
              <w:pStyle w:val="ListBullet3"/>
            </w:pPr>
            <w:r w:rsidRPr="00321E19">
              <w:t xml:space="preserve">Short-circuit </w:t>
            </w:r>
          </w:p>
          <w:p w:rsidR="00000000" w:rsidRPr="00321E19" w:rsidP="00321E19">
            <w:pPr>
              <w:pStyle w:val="ListBullet3"/>
            </w:pPr>
            <w:r w:rsidRPr="00321E19">
              <w:t>Incorrect connections</w:t>
            </w:r>
          </w:p>
          <w:p w:rsidR="00000000" w:rsidRPr="00321E19" w:rsidP="00321E19">
            <w:pPr>
              <w:pStyle w:val="ListBullet3"/>
            </w:pPr>
            <w:r w:rsidRPr="00321E19">
              <w:t>Insulation failure</w:t>
            </w:r>
          </w:p>
          <w:p w:rsidR="00000000" w:rsidRPr="00321E19" w:rsidP="00321E19">
            <w:pPr>
              <w:pStyle w:val="ListBullet3"/>
            </w:pPr>
            <w:r w:rsidRPr="00321E19">
              <w:t>Unsafe condition</w:t>
            </w:r>
          </w:p>
          <w:p w:rsidR="00000000" w:rsidRPr="00321E19" w:rsidP="00321E19">
            <w:pPr>
              <w:pStyle w:val="ListBullet3"/>
            </w:pPr>
            <w:r w:rsidRPr="00321E19">
              <w:t>Apparatus/component failure</w:t>
            </w:r>
          </w:p>
          <w:p w:rsidR="00000000" w:rsidRPr="00321E19" w:rsidP="00321E19">
            <w:pPr>
              <w:pStyle w:val="ListBullet3"/>
            </w:pPr>
            <w:r w:rsidRPr="00321E19">
              <w:t>Related mechanical failure</w:t>
            </w:r>
          </w:p>
          <w:p w:rsidR="00000000" w:rsidRPr="00321E19" w:rsidP="00321E19">
            <w:pPr>
              <w:pStyle w:val="BodyText"/>
            </w:pPr>
            <w:r w:rsidRPr="00321E19">
              <w:t xml:space="preserve">Note: </w:t>
            </w:r>
          </w:p>
          <w:p w:rsidR="00000000" w:rsidRPr="00321E19" w:rsidP="00321E19">
            <w:pPr>
              <w:pStyle w:val="BodyText"/>
            </w:pPr>
            <w:r w:rsidRPr="00321E19">
              <w:t xml:space="preserve">1. Examples of apparatus are switchboards/distribution boards, protective devices such as circuit breakers, and earth leakage devices, control equipment, socket outlets, electric vehicles and motor starters and associated </w:t>
            </w:r>
            <w:r w:rsidRPr="00321E19">
              <w:t>control devices.</w:t>
            </w:r>
          </w:p>
          <w:p w:rsidR="00000000" w:rsidRPr="00321E19" w:rsidP="00321E19">
            <w:pPr>
              <w:pStyle w:val="BodyText"/>
            </w:pPr>
            <w:r w:rsidRPr="00321E19">
              <w:t>2. Examples of circuits include those supplying fix equipment; lighting; motors; socket outlets; trailing cable and within electric vehicles.</w:t>
            </w:r>
          </w:p>
          <w:p w:rsidR="00000000" w:rsidRPr="00321E19" w:rsidP="00321E19">
            <w:pPr>
              <w:pStyle w:val="BodyText"/>
            </w:pPr>
            <w:r w:rsidRPr="00321E19">
              <w:t>Generic terms used throughout this Vocational Standard shall be regarded as part of the Range Sta</w:t>
            </w:r>
            <w:r w:rsidRPr="00321E19">
              <w:t>tement in which competency is demonstrated. The definition of these and other terms that apply are given in Volume 2, Part 2.1.</w:t>
            </w:r>
          </w:p>
        </w:tc>
      </w:tr>
    </w:tbl>
    <w:p w:rsidR="00000000" w:rsidRPr="00321E19" w:rsidP="00321E19">
      <w:pPr>
        <w:pStyle w:val="BodyText"/>
      </w:pPr>
    </w:p>
    <w:p w:rsidR="00000000" w:rsidRPr="00321E19" w:rsidP="00321E19">
      <w:pPr>
        <w:pStyle w:val="AllowPageBreak"/>
      </w:pPr>
    </w:p>
    <w:p w:rsidR="00000000" w:rsidRPr="00321E19" w:rsidP="00321E19">
      <w:pPr>
        <w:pStyle w:val="Heading1"/>
      </w:pPr>
      <w:bookmarkStart w:id="12" w:name="O_585161"/>
      <w:bookmarkEnd w:id="12"/>
      <w:r w:rsidRPr="00321E19">
        <w:t>Unit Sector(s)</w:t>
      </w:r>
    </w:p>
    <w:p w:rsidR="00000000" w:rsidRPr="00321E19" w:rsidP="00321E19">
      <w:pPr>
        <w:pStyle w:val="BodyText"/>
      </w:pPr>
      <w:r w:rsidRPr="00321E19">
        <w:t>Not applicable.</w:t>
      </w:r>
    </w:p>
    <w:p w:rsidR="00000000" w:rsidRPr="00321E19" w:rsidP="00321E19">
      <w:pPr>
        <w:pStyle w:val="AllowPageBreak"/>
      </w:pPr>
    </w:p>
    <w:p w:rsidR="00000000" w:rsidRPr="00321E19" w:rsidP="00321E19">
      <w:pPr>
        <w:pStyle w:val="Heading1"/>
      </w:pPr>
      <w:bookmarkStart w:id="13" w:name="O_585160"/>
      <w:bookmarkEnd w:id="13"/>
      <w:r w:rsidRPr="00321E19">
        <w:t>Competency Field</w:t>
      </w:r>
    </w:p>
    <w:tbl>
      <w:tblPr>
        <w:tblW w:w="0" w:type="auto"/>
        <w:tblLayout w:type="fixed"/>
        <w:tblCellMar>
          <w:left w:w="62" w:type="dxa"/>
          <w:right w:w="62" w:type="dxa"/>
        </w:tblCellMar>
        <w:tblLook w:val="0000"/>
      </w:tblPr>
      <w:tblGrid>
        <w:gridCol w:w="2700"/>
        <w:gridCol w:w="5760"/>
      </w:tblGrid>
      <w:tr w:rsidTr="00533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1E19">
            <w:pPr>
              <w:pStyle w:val="BodyText"/>
              <w:rPr>
                <w:lang w:val="en-NZ"/>
              </w:rPr>
            </w:pPr>
            <w:r w:rsidRPr="00321E19">
              <w:rPr>
                <w:rStyle w:val="SpecialBold"/>
              </w:rPr>
              <w:t xml:space="preserve">11) </w:t>
            </w:r>
          </w:p>
        </w:tc>
      </w:tr>
      <w:tr w:rsidTr="00533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E19" w:rsidP="00321E19">
            <w:pPr>
              <w:pStyle w:val="BodyText"/>
            </w:pPr>
            <w:r w:rsidRPr="00321E19">
              <w:t>Electrical</w:t>
            </w:r>
          </w:p>
        </w:tc>
      </w:tr>
    </w:tbl>
    <w:p w:rsidR="00000000" w:rsidRPr="00321E19" w:rsidP="00321E19">
      <w:pPr>
        <w:pStyle w:val="BodyText"/>
      </w:pPr>
    </w:p>
    <w:p w:rsidR="00000000" w:rsidRPr="00321E19" w:rsidP="00321E19"/>
    <w:sectPr w:rsidSect="00321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rsidRPr="00533C7D" w:rsidP="00533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C7D" w:rsidP="00321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33C7D" w:rsidP="00321E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33C7D" w:rsidP="00321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rsidRPr="00533C7D" w:rsidP="00533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C7D" w:rsidRPr="002D2AF8" w:rsidP="00321E19">
    <w:pPr>
      <w:pStyle w:val="Header"/>
      <w:framePr w:wrap="around"/>
    </w:pPr>
    <w:r>
      <w:fldChar w:fldCharType="begin"/>
    </w:r>
    <w:r>
      <w:instrText xml:space="preserve"> TITLE   \* MERGEFORMAT </w:instrText>
    </w:r>
    <w:r>
      <w:fldChar w:fldCharType="separate"/>
    </w:r>
    <w:r>
      <w:t>UEENEEG119A Maintain operation of electrical marine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33C7D" w:rsidP="00321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A6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CD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0D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E19"/>
    <w:pPr>
      <w:spacing w:before="360" w:after="60"/>
      <w:outlineLvl w:val="0"/>
    </w:pPr>
    <w:rPr>
      <w:sz w:val="32"/>
    </w:rPr>
  </w:style>
  <w:style w:type="paragraph" w:styleId="Heading2">
    <w:name w:val="heading 2"/>
    <w:basedOn w:val="HeadingBase"/>
    <w:next w:val="BodyText"/>
    <w:link w:val="Heading2Char"/>
    <w:qFormat/>
    <w:rsid w:val="00321E19"/>
    <w:pPr>
      <w:keepLines/>
      <w:spacing w:before="240" w:after="120"/>
      <w:outlineLvl w:val="1"/>
    </w:pPr>
    <w:rPr>
      <w:sz w:val="28"/>
      <w:szCs w:val="40"/>
    </w:rPr>
  </w:style>
  <w:style w:type="paragraph" w:styleId="Heading3">
    <w:name w:val="heading 3"/>
    <w:basedOn w:val="HeadingBase"/>
    <w:next w:val="BodyText"/>
    <w:link w:val="Heading3Char"/>
    <w:qFormat/>
    <w:rsid w:val="00321E19"/>
    <w:pPr>
      <w:spacing w:before="180" w:after="120"/>
      <w:outlineLvl w:val="2"/>
    </w:pPr>
    <w:rPr>
      <w:spacing w:val="-10"/>
      <w:kern w:val="32"/>
    </w:rPr>
  </w:style>
  <w:style w:type="paragraph" w:styleId="Heading4">
    <w:name w:val="heading 4"/>
    <w:basedOn w:val="HeadingBase"/>
    <w:next w:val="BodyText"/>
    <w:link w:val="Heading4Char"/>
    <w:qFormat/>
    <w:rsid w:val="00321E19"/>
    <w:pPr>
      <w:spacing w:before="160" w:after="120"/>
      <w:outlineLvl w:val="3"/>
    </w:pPr>
    <w:rPr>
      <w:sz w:val="22"/>
    </w:rPr>
  </w:style>
  <w:style w:type="paragraph" w:styleId="Heading5">
    <w:name w:val="heading 5"/>
    <w:basedOn w:val="HeadingBase"/>
    <w:next w:val="Normal"/>
    <w:link w:val="Heading5Char"/>
    <w:qFormat/>
    <w:rsid w:val="00321E19"/>
    <w:pPr>
      <w:spacing w:before="80"/>
      <w:outlineLvl w:val="4"/>
    </w:pPr>
    <w:rPr>
      <w:color w:val="918585"/>
      <w:sz w:val="20"/>
    </w:rPr>
  </w:style>
  <w:style w:type="paragraph" w:styleId="Heading6">
    <w:name w:val="heading 6"/>
    <w:basedOn w:val="HeadingBase"/>
    <w:next w:val="Normal"/>
    <w:link w:val="Heading6Char"/>
    <w:qFormat/>
    <w:rsid w:val="00321E19"/>
    <w:pPr>
      <w:spacing w:before="60"/>
      <w:outlineLvl w:val="5"/>
    </w:pPr>
    <w:rPr>
      <w:color w:val="918585"/>
      <w:sz w:val="20"/>
    </w:rPr>
  </w:style>
  <w:style w:type="paragraph" w:styleId="Heading7">
    <w:name w:val="heading 7"/>
    <w:basedOn w:val="Normal"/>
    <w:next w:val="Normal"/>
    <w:link w:val="Heading7Char"/>
    <w:qFormat/>
    <w:rsid w:val="00321E19"/>
    <w:pPr>
      <w:ind w:left="720"/>
      <w:outlineLvl w:val="6"/>
    </w:pPr>
    <w:rPr>
      <w:i/>
    </w:rPr>
  </w:style>
  <w:style w:type="paragraph" w:styleId="Heading8">
    <w:name w:val="heading 8"/>
    <w:basedOn w:val="Normal"/>
    <w:next w:val="Normal"/>
    <w:link w:val="Heading8Char"/>
    <w:qFormat/>
    <w:rsid w:val="00321E19"/>
    <w:pPr>
      <w:ind w:left="720"/>
      <w:outlineLvl w:val="7"/>
    </w:pPr>
    <w:rPr>
      <w:i/>
    </w:rPr>
  </w:style>
  <w:style w:type="paragraph" w:styleId="Heading9">
    <w:name w:val="heading 9"/>
    <w:basedOn w:val="Normal"/>
    <w:next w:val="Normal"/>
    <w:link w:val="Heading9Char"/>
    <w:qFormat/>
    <w:rsid w:val="00321E19"/>
    <w:pPr>
      <w:ind w:left="720"/>
      <w:outlineLvl w:val="8"/>
    </w:pPr>
    <w:rPr>
      <w:i/>
    </w:rPr>
  </w:style>
  <w:style w:type="character" w:default="1" w:styleId="DefaultParagraphFont">
    <w:name w:val="Default Paragraph Font"/>
    <w:uiPriority w:val="1"/>
    <w:unhideWhenUsed/>
    <w:rsid w:val="00321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E19"/>
  </w:style>
  <w:style w:type="character" w:customStyle="1" w:styleId="Heading1Char">
    <w:name w:val="Heading 1 Char"/>
    <w:basedOn w:val="DefaultParagraphFont"/>
    <w:link w:val="Heading1"/>
    <w:rsid w:val="00321E19"/>
    <w:rPr>
      <w:rFonts w:ascii="Times New Roman" w:eastAsia="Times New Roman" w:hAnsi="Times New Roman" w:cs="Times New Roman"/>
      <w:b/>
      <w:sz w:val="32"/>
      <w:szCs w:val="20"/>
      <w:lang w:eastAsia="en-US"/>
    </w:rPr>
  </w:style>
  <w:style w:type="paragraph" w:styleId="BodyText">
    <w:name w:val="Body Text"/>
    <w:basedOn w:val="Normal"/>
    <w:link w:val="BodyTextChar"/>
    <w:rsid w:val="00321E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E19"/>
    <w:rPr>
      <w:rFonts w:ascii="Times New Roman" w:eastAsia="Times New Roman" w:hAnsi="Times New Roman" w:cs="Times New Roman"/>
      <w:sz w:val="24"/>
      <w:lang w:eastAsia="en-US"/>
    </w:rPr>
  </w:style>
  <w:style w:type="paragraph" w:styleId="ListBullet">
    <w:name w:val="List Bullet"/>
    <w:basedOn w:val="List"/>
    <w:rsid w:val="00321E19"/>
    <w:pPr>
      <w:numPr>
        <w:numId w:val="14"/>
      </w:numPr>
      <w:tabs>
        <w:tab w:val="clear" w:pos="340"/>
      </w:tabs>
      <w:spacing w:before="40" w:after="40"/>
    </w:pPr>
  </w:style>
  <w:style w:type="character" w:customStyle="1" w:styleId="SpecialBold">
    <w:name w:val="Special Bold"/>
    <w:basedOn w:val="DefaultParagraphFont"/>
    <w:rsid w:val="00321E19"/>
    <w:rPr>
      <w:b/>
      <w:spacing w:val="0"/>
    </w:rPr>
  </w:style>
  <w:style w:type="paragraph" w:styleId="ListBullet2">
    <w:name w:val="List Bullet 2"/>
    <w:basedOn w:val="List2"/>
    <w:rsid w:val="00321E19"/>
    <w:pPr>
      <w:numPr>
        <w:numId w:val="15"/>
      </w:numPr>
      <w:tabs>
        <w:tab w:val="clear" w:pos="680"/>
      </w:tabs>
    </w:pPr>
  </w:style>
  <w:style w:type="paragraph" w:customStyle="1" w:styleId="SuperHeading">
    <w:name w:val="SuperHeading"/>
    <w:basedOn w:val="Normal"/>
    <w:rsid w:val="00321E19"/>
    <w:pPr>
      <w:spacing w:before="240" w:after="120"/>
      <w:outlineLvl w:val="0"/>
    </w:pPr>
    <w:rPr>
      <w:rFonts w:ascii="Times New Roman" w:hAnsi="Times New Roman"/>
      <w:b/>
      <w:sz w:val="32"/>
    </w:rPr>
  </w:style>
  <w:style w:type="paragraph" w:customStyle="1" w:styleId="AllowPageBreak">
    <w:name w:val="AllowPageBreak"/>
    <w:rsid w:val="00321E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1E19"/>
    <w:pPr>
      <w:numPr>
        <w:numId w:val="3"/>
      </w:numPr>
      <w:tabs>
        <w:tab w:val="clear" w:pos="1021"/>
      </w:tabs>
      <w:ind w:left="1037" w:hanging="357"/>
    </w:pPr>
  </w:style>
  <w:style w:type="character" w:customStyle="1" w:styleId="Heading2Char">
    <w:name w:val="Heading 2 Char"/>
    <w:basedOn w:val="DefaultParagraphFont"/>
    <w:link w:val="Heading2"/>
    <w:rsid w:val="00321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E19"/>
    <w:rPr>
      <w:rFonts w:ascii="Courier New" w:eastAsia="Times New Roman" w:hAnsi="Courier New" w:cs="Times New Roman"/>
      <w:i/>
      <w:szCs w:val="20"/>
      <w:lang w:eastAsia="en-US"/>
    </w:rPr>
  </w:style>
  <w:style w:type="paragraph" w:customStyle="1" w:styleId="HeadingBase">
    <w:name w:val="Heading Base"/>
    <w:rsid w:val="00321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E19"/>
    <w:pPr>
      <w:tabs>
        <w:tab w:val="right" w:leader="dot" w:pos="9072"/>
      </w:tabs>
      <w:ind w:left="567"/>
    </w:pPr>
    <w:rPr>
      <w:szCs w:val="22"/>
    </w:rPr>
  </w:style>
  <w:style w:type="paragraph" w:customStyle="1" w:styleId="TOCBase">
    <w:name w:val="TOC Base"/>
    <w:rsid w:val="00321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E19"/>
    <w:pPr>
      <w:tabs>
        <w:tab w:val="right" w:leader="dot" w:pos="9072"/>
      </w:tabs>
      <w:spacing w:before="40" w:after="40"/>
      <w:ind w:left="284"/>
    </w:pPr>
    <w:rPr>
      <w:rFonts w:ascii="Times New Roman" w:hAnsi="Times New Roman"/>
    </w:rPr>
  </w:style>
  <w:style w:type="paragraph" w:styleId="TOC1">
    <w:name w:val="toc 1"/>
    <w:basedOn w:val="TOCBase"/>
    <w:next w:val="Normal"/>
    <w:rsid w:val="00321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E19"/>
    <w:rPr>
      <w:rFonts w:ascii="Times New Roman" w:eastAsia="Times New Roman" w:hAnsi="Times New Roman" w:cs="Times New Roman"/>
      <w:sz w:val="16"/>
      <w:lang w:eastAsia="en-US"/>
    </w:rPr>
  </w:style>
  <w:style w:type="paragraph" w:styleId="Title">
    <w:name w:val="Title"/>
    <w:basedOn w:val="HeadingBase"/>
    <w:link w:val="TitleChar"/>
    <w:qFormat/>
    <w:rsid w:val="00321E19"/>
    <w:pPr>
      <w:spacing w:before="5040"/>
      <w:jc w:val="center"/>
    </w:pPr>
    <w:rPr>
      <w:sz w:val="48"/>
      <w:szCs w:val="72"/>
      <w:lang w:val="en-US"/>
    </w:rPr>
  </w:style>
  <w:style w:type="character" w:customStyle="1" w:styleId="TitleChar">
    <w:name w:val="Title Char"/>
    <w:basedOn w:val="DefaultParagraphFont"/>
    <w:link w:val="Title"/>
    <w:rsid w:val="00321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E19"/>
    <w:pPr>
      <w:tabs>
        <w:tab w:val="left" w:pos="3600"/>
        <w:tab w:val="left" w:pos="3958"/>
      </w:tabs>
    </w:pPr>
  </w:style>
  <w:style w:type="paragraph" w:styleId="List">
    <w:name w:val="List"/>
    <w:basedOn w:val="BodyText"/>
    <w:next w:val="BodyText"/>
    <w:rsid w:val="00321E19"/>
    <w:pPr>
      <w:tabs>
        <w:tab w:val="left" w:pos="340"/>
      </w:tabs>
      <w:spacing w:before="60" w:after="60"/>
      <w:ind w:left="340" w:hanging="340"/>
    </w:pPr>
  </w:style>
  <w:style w:type="paragraph" w:customStyle="1" w:styleId="Note">
    <w:name w:val="Note"/>
    <w:basedOn w:val="BodyText"/>
    <w:rsid w:val="00321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E19"/>
    <w:pPr>
      <w:framePr w:wrap="auto" w:hAnchor="text" w:y="6049"/>
    </w:pPr>
    <w:rPr>
      <w:color w:val="000000"/>
      <w:sz w:val="40"/>
    </w:rPr>
  </w:style>
  <w:style w:type="paragraph" w:customStyle="1" w:styleId="TOCTitle">
    <w:name w:val="TOCTitle"/>
    <w:basedOn w:val="Heading1"/>
    <w:rsid w:val="00321E19"/>
    <w:pPr>
      <w:spacing w:after="240"/>
      <w:jc w:val="center"/>
      <w:outlineLvl w:val="9"/>
    </w:pPr>
    <w:rPr>
      <w:caps/>
    </w:rPr>
  </w:style>
  <w:style w:type="paragraph" w:customStyle="1" w:styleId="Version">
    <w:name w:val="Version"/>
    <w:rsid w:val="00321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E19"/>
    <w:pPr>
      <w:keepNext w:val="0"/>
      <w:tabs>
        <w:tab w:val="right" w:pos="4176"/>
      </w:tabs>
      <w:ind w:left="198" w:hanging="198"/>
    </w:pPr>
    <w:rPr>
      <w:rFonts w:ascii="Garamond" w:hAnsi="Garamond"/>
    </w:rPr>
  </w:style>
  <w:style w:type="paragraph" w:styleId="IndexHeading">
    <w:name w:val="index heading"/>
    <w:basedOn w:val="Normal"/>
    <w:next w:val="Index1"/>
    <w:semiHidden/>
    <w:rsid w:val="00321E19"/>
    <w:pPr>
      <w:spacing w:before="120" w:after="120"/>
    </w:pPr>
    <w:rPr>
      <w:rFonts w:ascii="Arial" w:hAnsi="Arial"/>
      <w:b/>
      <w:color w:val="918585"/>
      <w:sz w:val="24"/>
    </w:rPr>
  </w:style>
  <w:style w:type="paragraph" w:styleId="Header">
    <w:name w:val="header"/>
    <w:basedOn w:val="Normal"/>
    <w:link w:val="HeaderChar"/>
    <w:rsid w:val="00321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E19"/>
    <w:rPr>
      <w:rFonts w:ascii="Times New Roman" w:eastAsia="Times New Roman" w:hAnsi="Times New Roman" w:cs="Times New Roman"/>
      <w:sz w:val="16"/>
      <w:szCs w:val="20"/>
      <w:lang w:val="en-GB" w:eastAsia="en-US"/>
    </w:rPr>
  </w:style>
  <w:style w:type="paragraph" w:customStyle="1" w:styleId="Chapter">
    <w:name w:val="Chapter"/>
    <w:basedOn w:val="Normal"/>
    <w:rsid w:val="00321E19"/>
    <w:pPr>
      <w:spacing w:before="240"/>
    </w:pPr>
    <w:rPr>
      <w:rFonts w:ascii="Times New Roman" w:hAnsi="Times New Roman"/>
      <w:smallCaps/>
      <w:spacing w:val="80"/>
      <w:sz w:val="28"/>
    </w:rPr>
  </w:style>
  <w:style w:type="paragraph" w:customStyle="1" w:styleId="InChapter">
    <w:name w:val="InChapter"/>
    <w:basedOn w:val="Heading3"/>
    <w:rsid w:val="00321E19"/>
    <w:pPr>
      <w:spacing w:after="240"/>
      <w:outlineLvl w:val="9"/>
    </w:pPr>
    <w:rPr>
      <w:noProof/>
    </w:rPr>
  </w:style>
  <w:style w:type="paragraph" w:styleId="Index2">
    <w:name w:val="index 2"/>
    <w:basedOn w:val="Normal"/>
    <w:next w:val="Normal"/>
    <w:semiHidden/>
    <w:rsid w:val="00321E19"/>
    <w:pPr>
      <w:tabs>
        <w:tab w:val="right" w:pos="4176"/>
      </w:tabs>
      <w:ind w:left="568" w:hanging="284"/>
    </w:pPr>
    <w:rPr>
      <w:rFonts w:ascii="Garamond" w:hAnsi="Garamond"/>
    </w:rPr>
  </w:style>
  <w:style w:type="paragraph" w:customStyle="1" w:styleId="Byline">
    <w:name w:val="Byline"/>
    <w:rsid w:val="00321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E19"/>
    <w:pPr>
      <w:tabs>
        <w:tab w:val="clear" w:pos="3600"/>
        <w:tab w:val="clear" w:pos="3958"/>
      </w:tabs>
      <w:jc w:val="right"/>
    </w:pPr>
  </w:style>
  <w:style w:type="character" w:styleId="Emphasis">
    <w:name w:val="Emphasis"/>
    <w:basedOn w:val="DefaultParagraphFont"/>
    <w:qFormat/>
    <w:rsid w:val="00321E19"/>
    <w:rPr>
      <w:i/>
    </w:rPr>
  </w:style>
  <w:style w:type="paragraph" w:styleId="Caption">
    <w:name w:val="caption"/>
    <w:basedOn w:val="BodyText"/>
    <w:next w:val="Normal"/>
    <w:qFormat/>
    <w:rsid w:val="00321E19"/>
    <w:pPr>
      <w:framePr w:w="2268" w:hSpace="181" w:vSpace="181" w:wrap="around" w:vAnchor="text" w:hAnchor="page" w:x="1135" w:y="285" w:anchorLock="1"/>
    </w:pPr>
    <w:rPr>
      <w:i/>
    </w:rPr>
  </w:style>
  <w:style w:type="paragraph" w:customStyle="1" w:styleId="MiniTOCTitle">
    <w:name w:val="MiniTOCTitle"/>
    <w:basedOn w:val="Heading4"/>
    <w:rsid w:val="00321E19"/>
    <w:pPr>
      <w:spacing w:before="240"/>
      <w:outlineLvl w:val="9"/>
    </w:pPr>
    <w:rPr>
      <w:noProof/>
      <w:sz w:val="24"/>
    </w:rPr>
  </w:style>
  <w:style w:type="paragraph" w:customStyle="1" w:styleId="MiniTOCItem">
    <w:name w:val="MiniTOCItem"/>
    <w:basedOn w:val="ListBullet"/>
    <w:rsid w:val="00321E19"/>
    <w:pPr>
      <w:numPr>
        <w:numId w:val="0"/>
      </w:numPr>
      <w:tabs>
        <w:tab w:val="right" w:leader="dot" w:pos="6521"/>
      </w:tabs>
      <w:spacing w:before="0" w:after="0"/>
    </w:pPr>
  </w:style>
  <w:style w:type="paragraph" w:customStyle="1" w:styleId="TOFTitle">
    <w:name w:val="TOFTitle"/>
    <w:basedOn w:val="TOCTitle"/>
    <w:rsid w:val="00321E19"/>
  </w:style>
  <w:style w:type="paragraph" w:styleId="TableofFigures">
    <w:name w:val="table of figures"/>
    <w:basedOn w:val="Normal"/>
    <w:next w:val="Normal"/>
    <w:semiHidden/>
    <w:rsid w:val="00321E19"/>
    <w:pPr>
      <w:tabs>
        <w:tab w:val="right" w:leader="dot" w:pos="9072"/>
      </w:tabs>
      <w:ind w:left="970" w:hanging="403"/>
    </w:pPr>
    <w:rPr>
      <w:rFonts w:ascii="Times New Roman" w:hAnsi="Times New Roman"/>
      <w:b/>
    </w:rPr>
  </w:style>
  <w:style w:type="paragraph" w:styleId="ListNumber">
    <w:name w:val="List Number"/>
    <w:basedOn w:val="List"/>
    <w:rsid w:val="00321E19"/>
    <w:pPr>
      <w:numPr>
        <w:numId w:val="12"/>
      </w:numPr>
    </w:pPr>
  </w:style>
  <w:style w:type="character" w:customStyle="1" w:styleId="WingdingSymbols">
    <w:name w:val="Wingding Symbols"/>
    <w:rsid w:val="00321E19"/>
    <w:rPr>
      <w:rFonts w:ascii="Wingdings" w:hAnsi="Wingdings"/>
    </w:rPr>
  </w:style>
  <w:style w:type="paragraph" w:customStyle="1" w:styleId="TableHeading">
    <w:name w:val="Table Heading"/>
    <w:basedOn w:val="HeadingBase"/>
    <w:rsid w:val="00321E19"/>
    <w:pPr>
      <w:keepLines/>
      <w:pBdr>
        <w:bottom w:val="single" w:sz="6" w:space="1" w:color="918585"/>
      </w:pBdr>
      <w:spacing w:before="240"/>
    </w:pPr>
  </w:style>
  <w:style w:type="character" w:customStyle="1" w:styleId="HotSpot">
    <w:name w:val="HotSpot"/>
    <w:rsid w:val="00321E19"/>
    <w:rPr>
      <w:color w:val="0033CC"/>
      <w:u w:val="none"/>
    </w:rPr>
  </w:style>
  <w:style w:type="paragraph" w:customStyle="1" w:styleId="BodyTextRight">
    <w:name w:val="Body Text Right"/>
    <w:basedOn w:val="BodyText"/>
    <w:rsid w:val="00321E19"/>
    <w:pPr>
      <w:spacing w:before="0" w:after="0"/>
      <w:jc w:val="right"/>
    </w:pPr>
  </w:style>
  <w:style w:type="paragraph" w:styleId="Index3">
    <w:name w:val="index 3"/>
    <w:basedOn w:val="ListNumber2"/>
    <w:next w:val="Normal"/>
    <w:semiHidden/>
    <w:rsid w:val="00321E19"/>
    <w:pPr>
      <w:numPr>
        <w:numId w:val="0"/>
      </w:numPr>
      <w:tabs>
        <w:tab w:val="right" w:leader="dot" w:pos="4176"/>
      </w:tabs>
    </w:pPr>
  </w:style>
  <w:style w:type="paragraph" w:styleId="ListNumber2">
    <w:name w:val="List Number 2"/>
    <w:basedOn w:val="List2"/>
    <w:rsid w:val="00321E19"/>
    <w:pPr>
      <w:numPr>
        <w:numId w:val="11"/>
      </w:numPr>
      <w:tabs>
        <w:tab w:val="clear" w:pos="1060"/>
      </w:tabs>
    </w:pPr>
  </w:style>
  <w:style w:type="paragraph" w:customStyle="1" w:styleId="MarginNote">
    <w:name w:val="Margin Note"/>
    <w:basedOn w:val="BodyText"/>
    <w:rsid w:val="00321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E19"/>
    <w:rPr>
      <w:sz w:val="32"/>
    </w:rPr>
  </w:style>
  <w:style w:type="paragraph" w:customStyle="1" w:styleId="HeadingProcedure">
    <w:name w:val="Heading Procedure"/>
    <w:basedOn w:val="HeadingBase"/>
    <w:next w:val="Normal"/>
    <w:rsid w:val="00321E19"/>
    <w:pPr>
      <w:tabs>
        <w:tab w:val="left" w:pos="0"/>
      </w:tabs>
      <w:spacing w:before="120" w:after="60"/>
    </w:pPr>
    <w:rPr>
      <w:i/>
      <w:color w:val="918585"/>
      <w:sz w:val="22"/>
    </w:rPr>
  </w:style>
  <w:style w:type="paragraph" w:customStyle="1" w:styleId="TableBodyText">
    <w:name w:val="Table Body Text"/>
    <w:basedOn w:val="BodyText"/>
    <w:rsid w:val="00321E19"/>
    <w:pPr>
      <w:spacing w:before="60" w:after="60"/>
    </w:pPr>
  </w:style>
  <w:style w:type="paragraph" w:styleId="ListContinue">
    <w:name w:val="List Continue"/>
    <w:basedOn w:val="List"/>
    <w:rsid w:val="00321E19"/>
    <w:pPr>
      <w:ind w:firstLine="0"/>
    </w:pPr>
  </w:style>
  <w:style w:type="paragraph" w:customStyle="1" w:styleId="ListNote">
    <w:name w:val="List Note"/>
    <w:basedOn w:val="List"/>
    <w:rsid w:val="00321E19"/>
    <w:pPr>
      <w:pBdr>
        <w:top w:val="single" w:sz="6" w:space="2" w:color="918585"/>
        <w:bottom w:val="single" w:sz="6" w:space="2" w:color="918585"/>
      </w:pBdr>
      <w:tabs>
        <w:tab w:val="left" w:pos="1021"/>
      </w:tabs>
      <w:ind w:firstLine="0"/>
    </w:pPr>
  </w:style>
  <w:style w:type="paragraph" w:customStyle="1" w:styleId="Warning">
    <w:name w:val="Warning"/>
    <w:basedOn w:val="BodyText"/>
    <w:rsid w:val="00321E19"/>
    <w:pPr>
      <w:shd w:val="clear" w:color="auto" w:fill="D9D9D9"/>
      <w:tabs>
        <w:tab w:val="left" w:pos="992"/>
      </w:tabs>
      <w:ind w:left="119" w:right="119"/>
    </w:pPr>
    <w:rPr>
      <w:sz w:val="20"/>
    </w:rPr>
  </w:style>
  <w:style w:type="paragraph" w:customStyle="1" w:styleId="MarginIcons">
    <w:name w:val="Margin Icons"/>
    <w:basedOn w:val="BodyText"/>
    <w:rsid w:val="00321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E19"/>
    <w:rPr>
      <w:rFonts w:ascii="Courier New" w:hAnsi="Courier New"/>
    </w:rPr>
  </w:style>
  <w:style w:type="paragraph" w:customStyle="1" w:styleId="NoteBullet">
    <w:name w:val="Note Bullet"/>
    <w:basedOn w:val="Note"/>
    <w:rsid w:val="00321E19"/>
    <w:pPr>
      <w:tabs>
        <w:tab w:val="clear" w:pos="680"/>
      </w:tabs>
      <w:spacing w:before="60" w:after="60"/>
    </w:pPr>
  </w:style>
  <w:style w:type="paragraph" w:customStyle="1" w:styleId="SubHeading2">
    <w:name w:val="SubHeading2"/>
    <w:basedOn w:val="HeadingBase"/>
    <w:rsid w:val="00321E19"/>
    <w:pPr>
      <w:spacing w:before="240" w:after="60"/>
    </w:pPr>
    <w:rPr>
      <w:sz w:val="20"/>
    </w:rPr>
  </w:style>
  <w:style w:type="paragraph" w:customStyle="1" w:styleId="SubHeading1">
    <w:name w:val="SubHeading1"/>
    <w:basedOn w:val="HeadingBase"/>
    <w:rsid w:val="00321E19"/>
    <w:pPr>
      <w:spacing w:before="240" w:after="60"/>
    </w:pPr>
    <w:rPr>
      <w:color w:val="918585"/>
      <w:sz w:val="22"/>
    </w:rPr>
  </w:style>
  <w:style w:type="paragraph" w:customStyle="1" w:styleId="SideHeading">
    <w:name w:val="Side Heading"/>
    <w:basedOn w:val="HeadingBase"/>
    <w:rsid w:val="00321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E19"/>
    <w:pPr>
      <w:numPr>
        <w:numId w:val="13"/>
      </w:numPr>
    </w:pPr>
  </w:style>
  <w:style w:type="paragraph" w:styleId="PlainText">
    <w:name w:val="Plain Text"/>
    <w:basedOn w:val="Normal"/>
    <w:link w:val="PlainTextChar"/>
    <w:rsid w:val="00321E19"/>
    <w:rPr>
      <w:sz w:val="20"/>
    </w:rPr>
  </w:style>
  <w:style w:type="character" w:customStyle="1" w:styleId="PlainTextChar">
    <w:name w:val="Plain Text Char"/>
    <w:basedOn w:val="DefaultParagraphFont"/>
    <w:link w:val="PlainText"/>
    <w:rsid w:val="00321E19"/>
    <w:rPr>
      <w:rFonts w:ascii="Courier New" w:eastAsia="Times New Roman" w:hAnsi="Courier New" w:cs="Times New Roman"/>
      <w:sz w:val="20"/>
      <w:szCs w:val="20"/>
      <w:lang w:eastAsia="en-US"/>
    </w:rPr>
  </w:style>
  <w:style w:type="character" w:customStyle="1" w:styleId="MenuOption">
    <w:name w:val="Menu Option"/>
    <w:basedOn w:val="DefaultParagraphFont"/>
    <w:rsid w:val="00321E19"/>
    <w:rPr>
      <w:b/>
      <w:smallCaps/>
    </w:rPr>
  </w:style>
  <w:style w:type="paragraph" w:customStyle="1" w:styleId="TableListNumber">
    <w:name w:val="Table List Number"/>
    <w:basedOn w:val="ListNumber"/>
    <w:rsid w:val="00321E19"/>
    <w:pPr>
      <w:numPr>
        <w:numId w:val="0"/>
      </w:numPr>
    </w:pPr>
  </w:style>
  <w:style w:type="paragraph" w:styleId="TOC4">
    <w:name w:val="toc 4"/>
    <w:basedOn w:val="TOCBase"/>
    <w:next w:val="Normal"/>
    <w:semiHidden/>
    <w:rsid w:val="00321E19"/>
    <w:pPr>
      <w:tabs>
        <w:tab w:val="right" w:leader="dot" w:pos="9071"/>
      </w:tabs>
      <w:ind w:left="1701"/>
    </w:pPr>
  </w:style>
  <w:style w:type="paragraph" w:customStyle="1" w:styleId="ListAlpha">
    <w:name w:val="List Alpha"/>
    <w:basedOn w:val="List"/>
    <w:rsid w:val="00321E19"/>
    <w:pPr>
      <w:numPr>
        <w:numId w:val="10"/>
      </w:numPr>
    </w:pPr>
  </w:style>
  <w:style w:type="paragraph" w:customStyle="1" w:styleId="ListAlpha2">
    <w:name w:val="List Alpha 2"/>
    <w:basedOn w:val="List2"/>
    <w:rsid w:val="00321E19"/>
    <w:pPr>
      <w:numPr>
        <w:numId w:val="9"/>
      </w:numPr>
    </w:pPr>
  </w:style>
  <w:style w:type="paragraph" w:styleId="List2">
    <w:name w:val="List 2"/>
    <w:basedOn w:val="BodyText"/>
    <w:rsid w:val="00321E19"/>
    <w:pPr>
      <w:tabs>
        <w:tab w:val="left" w:pos="680"/>
      </w:tabs>
      <w:spacing w:before="60" w:after="60"/>
      <w:ind w:left="680" w:hanging="340"/>
    </w:pPr>
  </w:style>
  <w:style w:type="paragraph" w:styleId="List3">
    <w:name w:val="List 3"/>
    <w:basedOn w:val="BodyText"/>
    <w:rsid w:val="00321E19"/>
    <w:pPr>
      <w:tabs>
        <w:tab w:val="left" w:pos="1021"/>
      </w:tabs>
      <w:spacing w:before="60" w:after="60"/>
      <w:ind w:left="1020" w:hanging="340"/>
    </w:pPr>
  </w:style>
  <w:style w:type="paragraph" w:styleId="List4">
    <w:name w:val="List 4"/>
    <w:basedOn w:val="BodyText"/>
    <w:rsid w:val="00321E19"/>
    <w:pPr>
      <w:tabs>
        <w:tab w:val="left" w:pos="1361"/>
      </w:tabs>
      <w:spacing w:before="60" w:after="60"/>
      <w:ind w:left="1361" w:hanging="340"/>
    </w:pPr>
  </w:style>
  <w:style w:type="paragraph" w:styleId="List5">
    <w:name w:val="List 5"/>
    <w:basedOn w:val="BodyText"/>
    <w:rsid w:val="00321E19"/>
    <w:pPr>
      <w:tabs>
        <w:tab w:val="left" w:pos="1701"/>
      </w:tabs>
      <w:spacing w:before="60" w:after="60"/>
      <w:ind w:left="1701" w:hanging="340"/>
    </w:pPr>
  </w:style>
  <w:style w:type="paragraph" w:styleId="ListBullet4">
    <w:name w:val="List Bullet 4"/>
    <w:basedOn w:val="List4"/>
    <w:rsid w:val="00321E19"/>
    <w:pPr>
      <w:numPr>
        <w:numId w:val="4"/>
      </w:numPr>
    </w:pPr>
  </w:style>
  <w:style w:type="paragraph" w:styleId="ListBullet5">
    <w:name w:val="List Bullet 5"/>
    <w:basedOn w:val="List5"/>
    <w:rsid w:val="00321E19"/>
    <w:pPr>
      <w:numPr>
        <w:numId w:val="5"/>
      </w:numPr>
    </w:pPr>
  </w:style>
  <w:style w:type="paragraph" w:styleId="ListContinue2">
    <w:name w:val="List Continue 2"/>
    <w:basedOn w:val="List2"/>
    <w:rsid w:val="00321E19"/>
    <w:pPr>
      <w:ind w:firstLine="0"/>
    </w:pPr>
  </w:style>
  <w:style w:type="paragraph" w:styleId="ListContinue3">
    <w:name w:val="List Continue 3"/>
    <w:basedOn w:val="List3"/>
    <w:rsid w:val="00321E19"/>
    <w:pPr>
      <w:ind w:left="1021" w:firstLine="0"/>
    </w:pPr>
  </w:style>
  <w:style w:type="paragraph" w:styleId="ListContinue4">
    <w:name w:val="List Continue 4"/>
    <w:basedOn w:val="List4"/>
    <w:rsid w:val="00321E19"/>
    <w:pPr>
      <w:ind w:firstLine="0"/>
    </w:pPr>
  </w:style>
  <w:style w:type="paragraph" w:styleId="ListContinue5">
    <w:name w:val="List Continue 5"/>
    <w:basedOn w:val="List5"/>
    <w:rsid w:val="00321E19"/>
    <w:pPr>
      <w:ind w:firstLine="0"/>
    </w:pPr>
  </w:style>
  <w:style w:type="paragraph" w:styleId="ListNumber3">
    <w:name w:val="List Number 3"/>
    <w:basedOn w:val="List3"/>
    <w:rsid w:val="00321E19"/>
    <w:pPr>
      <w:numPr>
        <w:numId w:val="6"/>
      </w:numPr>
    </w:pPr>
  </w:style>
  <w:style w:type="paragraph" w:styleId="ListNumber4">
    <w:name w:val="List Number 4"/>
    <w:basedOn w:val="List4"/>
    <w:rsid w:val="00321E19"/>
    <w:pPr>
      <w:numPr>
        <w:numId w:val="7"/>
      </w:numPr>
    </w:pPr>
  </w:style>
  <w:style w:type="paragraph" w:styleId="ListNumber5">
    <w:name w:val="List Number 5"/>
    <w:basedOn w:val="List5"/>
    <w:rsid w:val="00321E19"/>
    <w:pPr>
      <w:numPr>
        <w:numId w:val="8"/>
      </w:numPr>
    </w:pPr>
  </w:style>
  <w:style w:type="paragraph" w:styleId="BlockText">
    <w:name w:val="Block Text"/>
    <w:basedOn w:val="Normal"/>
    <w:rsid w:val="00321E19"/>
    <w:pPr>
      <w:spacing w:after="120"/>
      <w:ind w:left="1440" w:right="1440"/>
    </w:pPr>
  </w:style>
  <w:style w:type="character" w:customStyle="1" w:styleId="Subscript">
    <w:name w:val="Subscript"/>
    <w:basedOn w:val="DefaultParagraphFont"/>
    <w:rsid w:val="00321E19"/>
    <w:rPr>
      <w:sz w:val="16"/>
      <w:vertAlign w:val="subscript"/>
    </w:rPr>
  </w:style>
  <w:style w:type="character" w:customStyle="1" w:styleId="Superscript">
    <w:name w:val="Superscript"/>
    <w:basedOn w:val="DefaultParagraphFont"/>
    <w:rsid w:val="00321E19"/>
    <w:rPr>
      <w:sz w:val="16"/>
      <w:vertAlign w:val="superscript"/>
    </w:rPr>
  </w:style>
  <w:style w:type="character" w:customStyle="1" w:styleId="Symbols">
    <w:name w:val="Symbols"/>
    <w:basedOn w:val="DefaultParagraphFont"/>
    <w:rsid w:val="00321E19"/>
    <w:rPr>
      <w:rFonts w:ascii="Symbol" w:hAnsi="Symbol"/>
    </w:rPr>
  </w:style>
  <w:style w:type="character" w:customStyle="1" w:styleId="MenuOptions">
    <w:name w:val="Menu Options"/>
    <w:basedOn w:val="DefaultParagraphFont"/>
    <w:rsid w:val="00321E19"/>
    <w:rPr>
      <w:rFonts w:ascii="Arial Narrow" w:hAnsi="Arial Narrow"/>
      <w:smallCaps/>
    </w:rPr>
  </w:style>
  <w:style w:type="character" w:customStyle="1" w:styleId="Buttons">
    <w:name w:val="Buttons"/>
    <w:basedOn w:val="DefaultParagraphFont"/>
    <w:rsid w:val="00321E19"/>
    <w:rPr>
      <w:b/>
    </w:rPr>
  </w:style>
  <w:style w:type="character" w:customStyle="1" w:styleId="Underlined">
    <w:name w:val="Underlined"/>
    <w:basedOn w:val="DefaultParagraphFont"/>
    <w:rsid w:val="00321E19"/>
    <w:rPr>
      <w:u w:val="single"/>
    </w:rPr>
  </w:style>
  <w:style w:type="paragraph" w:customStyle="1" w:styleId="TableBodyTextRight">
    <w:name w:val="Table Body Text Right"/>
    <w:basedOn w:val="TableBodyText"/>
    <w:rsid w:val="00321E19"/>
    <w:pPr>
      <w:widowControl w:val="0"/>
      <w:autoSpaceDE w:val="0"/>
      <w:autoSpaceDN w:val="0"/>
      <w:adjustRightInd w:val="0"/>
      <w:jc w:val="right"/>
    </w:pPr>
    <w:rPr>
      <w:rFonts w:cs="Arial"/>
      <w:szCs w:val="18"/>
    </w:rPr>
  </w:style>
  <w:style w:type="paragraph" w:customStyle="1" w:styleId="CopyrightText">
    <w:name w:val="Copyright Text"/>
    <w:basedOn w:val="BodyText"/>
    <w:rsid w:val="00321E19"/>
    <w:rPr>
      <w:sz w:val="18"/>
    </w:rPr>
  </w:style>
  <w:style w:type="paragraph" w:customStyle="1" w:styleId="BodySmallRight">
    <w:name w:val="Body Small Right"/>
    <w:basedOn w:val="BodyTextRight"/>
    <w:rsid w:val="00321E19"/>
    <w:rPr>
      <w:sz w:val="18"/>
      <w:szCs w:val="18"/>
    </w:rPr>
  </w:style>
  <w:style w:type="paragraph" w:customStyle="1" w:styleId="MarginEdition">
    <w:name w:val="Margin Edition"/>
    <w:basedOn w:val="MarginNote"/>
    <w:rsid w:val="00321E19"/>
    <w:pPr>
      <w:spacing w:before="0" w:after="0"/>
    </w:pPr>
    <w:rPr>
      <w:rFonts w:ascii="Times New Roman" w:hAnsi="Times New Roman"/>
      <w:color w:val="999999"/>
    </w:rPr>
  </w:style>
  <w:style w:type="paragraph" w:customStyle="1" w:styleId="Spacer">
    <w:name w:val="Spacer"/>
    <w:basedOn w:val="Normal"/>
    <w:rsid w:val="00321E19"/>
    <w:rPr>
      <w:sz w:val="2"/>
      <w:szCs w:val="2"/>
    </w:rPr>
  </w:style>
  <w:style w:type="character" w:customStyle="1" w:styleId="Small">
    <w:name w:val="Small"/>
    <w:basedOn w:val="DefaultParagraphFont"/>
    <w:rsid w:val="00321E19"/>
    <w:rPr>
      <w:sz w:val="16"/>
    </w:rPr>
  </w:style>
  <w:style w:type="paragraph" w:customStyle="1" w:styleId="WideTable">
    <w:name w:val="Wide Table"/>
    <w:basedOn w:val="Normal"/>
    <w:rsid w:val="00321E19"/>
    <w:pPr>
      <w:ind w:left="-1418"/>
    </w:pPr>
    <w:rPr>
      <w:sz w:val="2"/>
      <w:szCs w:val="2"/>
    </w:rPr>
  </w:style>
  <w:style w:type="character" w:styleId="PageNumber">
    <w:name w:val="page number"/>
    <w:basedOn w:val="DefaultParagraphFont"/>
    <w:rsid w:val="00321E19"/>
  </w:style>
  <w:style w:type="paragraph" w:styleId="Quote">
    <w:name w:val="Quote"/>
    <w:basedOn w:val="Heading1"/>
    <w:link w:val="QuoteChar"/>
    <w:qFormat/>
    <w:rsid w:val="00321E19"/>
    <w:rPr>
      <w:b w:val="0"/>
      <w:sz w:val="72"/>
      <w:szCs w:val="72"/>
      <w:lang w:val="en-NZ"/>
    </w:rPr>
  </w:style>
  <w:style w:type="character" w:customStyle="1" w:styleId="QuoteChar">
    <w:name w:val="Quote Char"/>
    <w:basedOn w:val="DefaultParagraphFont"/>
    <w:link w:val="Quote"/>
    <w:rsid w:val="00321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E19"/>
    <w:pPr>
      <w:pageBreakBefore/>
    </w:pPr>
  </w:style>
  <w:style w:type="paragraph" w:customStyle="1" w:styleId="Border">
    <w:name w:val="Border"/>
    <w:basedOn w:val="Normal"/>
    <w:qFormat/>
    <w:rsid w:val="00321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E19"/>
    <w:rPr>
      <w:b/>
      <w:bCs/>
      <w:i/>
      <w:iCs/>
      <w:color w:val="auto"/>
    </w:rPr>
  </w:style>
  <w:style w:type="paragraph" w:styleId="IntenseQuote">
    <w:name w:val="Intense Quote"/>
    <w:basedOn w:val="Normal"/>
    <w:next w:val="Normal"/>
    <w:link w:val="IntenseQuoteChar"/>
    <w:uiPriority w:val="30"/>
    <w:qFormat/>
    <w:rsid w:val="00321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E19"/>
    <w:rPr>
      <w:smallCaps/>
      <w:color w:val="auto"/>
      <w:u w:val="single"/>
    </w:rPr>
  </w:style>
  <w:style w:type="character" w:styleId="IntenseReference">
    <w:name w:val="Intense Reference"/>
    <w:basedOn w:val="DefaultParagraphFont"/>
    <w:uiPriority w:val="32"/>
    <w:qFormat/>
    <w:rsid w:val="00321E19"/>
    <w:rPr>
      <w:b/>
      <w:bCs/>
      <w:smallCaps/>
      <w:color w:val="auto"/>
      <w:spacing w:val="5"/>
      <w:u w:val="single"/>
    </w:rPr>
  </w:style>
  <w:style w:type="paragraph" w:customStyle="1" w:styleId="2ColumnHeading">
    <w:name w:val="2Column Heading"/>
    <w:basedOn w:val="BodyText"/>
    <w:qFormat/>
    <w:rsid w:val="00321E19"/>
    <w:pPr>
      <w:spacing w:after="60"/>
      <w:ind w:left="-2268"/>
    </w:pPr>
    <w:rPr>
      <w:b/>
    </w:rPr>
  </w:style>
  <w:style w:type="paragraph" w:customStyle="1" w:styleId="Heading1TOC">
    <w:name w:val="Heading1 TOC"/>
    <w:basedOn w:val="Normal"/>
    <w:qFormat/>
    <w:rsid w:val="00321E19"/>
    <w:pPr>
      <w:spacing w:before="240" w:after="120"/>
    </w:pPr>
    <w:rPr>
      <w:rFonts w:ascii="Times New Roman" w:hAnsi="Times New Roman"/>
      <w:b/>
      <w:sz w:val="32"/>
    </w:rPr>
  </w:style>
  <w:style w:type="paragraph" w:customStyle="1" w:styleId="Heading2TOC">
    <w:name w:val="Heading2 TOC"/>
    <w:basedOn w:val="Normal"/>
    <w:qFormat/>
    <w:rsid w:val="00321E19"/>
    <w:pPr>
      <w:spacing w:before="240" w:after="60"/>
    </w:pPr>
    <w:rPr>
      <w:rFonts w:ascii="Times New Roman" w:hAnsi="Times New Roman"/>
      <w:b/>
      <w:sz w:val="28"/>
    </w:rPr>
  </w:style>
  <w:style w:type="character" w:customStyle="1" w:styleId="Underline">
    <w:name w:val="Underline"/>
    <w:basedOn w:val="DefaultParagraphFont"/>
    <w:qFormat/>
    <w:rsid w:val="00321E19"/>
    <w:rPr>
      <w:u w:val="single"/>
    </w:rPr>
  </w:style>
  <w:style w:type="character" w:customStyle="1" w:styleId="BoldandItalics">
    <w:name w:val="Bold and Italics"/>
    <w:qFormat/>
    <w:rsid w:val="00321E19"/>
    <w:rPr>
      <w:b/>
      <w:i/>
      <w:u w:val="none"/>
    </w:rPr>
  </w:style>
  <w:style w:type="paragraph" w:styleId="BalloonText">
    <w:name w:val="Balloon Text"/>
    <w:basedOn w:val="Normal"/>
    <w:link w:val="BalloonTextChar"/>
    <w:rsid w:val="00321E19"/>
    <w:rPr>
      <w:rFonts w:ascii="Tahoma" w:hAnsi="Tahoma" w:cs="Tahoma"/>
      <w:sz w:val="16"/>
      <w:szCs w:val="16"/>
    </w:rPr>
  </w:style>
  <w:style w:type="character" w:customStyle="1" w:styleId="BalloonTextChar">
    <w:name w:val="Balloon Text Char"/>
    <w:basedOn w:val="DefaultParagraphFont"/>
    <w:link w:val="BalloonText"/>
    <w:rsid w:val="00321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E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E19"/>
    <w:rPr>
      <w:b/>
      <w:color w:val="660033"/>
      <w:spacing w:val="0"/>
    </w:rPr>
  </w:style>
  <w:style w:type="paragraph" w:customStyle="1" w:styleId="Nameditemlist">
    <w:name w:val="Named item list"/>
    <w:basedOn w:val="BodyText"/>
    <w:qFormat/>
    <w:rsid w:val="00321E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2220</Words>
  <Characters>13714</Characters>
  <Application>Microsoft Office Word</Application>
  <DocSecurity>0</DocSecurity>
  <Lines>536</Lines>
  <Paragraphs>231</Paragraphs>
  <ScaleCrop>false</ScaleCrop>
  <Company>Author-it Software Corporation Ltd.</Company>
  <LinksUpToDate>false</LinksUpToDate>
  <CharactersWithSpaces>15778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UEENEEG119A Maintain operation of electrical marine equipment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2013-08-14T06:37:00Z</dcterms:created>
  <dcterms:modified xsi:type="dcterms:W3CDTF">2013-08-14T06:38:00Z</dcterms:modified>
</cp:coreProperties>
</file>