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51D" w:rsidP="00DD051D">
      <w:pPr>
        <w:pStyle w:val="Title"/>
      </w:pPr>
      <w:r>
        <w:fldChar w:fldCharType="begin"/>
      </w:r>
      <w:r>
        <w:instrText xml:space="preserve"> TITLE   \* MERGEFORMAT </w:instrText>
      </w:r>
      <w:r>
        <w:fldChar w:fldCharType="separate"/>
      </w:r>
      <w:r>
        <w:t>UEENEEG113A Install and maintain emergency safety systems</w:t>
      </w:r>
      <w:r>
        <w:fldChar w:fldCharType="end"/>
      </w:r>
    </w:p>
    <w:p w:rsidR="00DD051D" w:rsidP="00DD051D">
      <w:pPr>
        <w:pStyle w:val="Version"/>
        <w:sectPr w:rsidSect="00FB6C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6C62" w:rsidP="00FB6C62">
      <w:pPr>
        <w:pStyle w:val="SuperHeading"/>
      </w:pPr>
      <w:r w:rsidRPr="00FB6C62">
        <w:t>UEENEEG113A Install and maintain emergency safety systems</w:t>
      </w:r>
    </w:p>
    <w:p w:rsidR="00000000" w:rsidRPr="00FB6C62" w:rsidP="00FB6C62">
      <w:pPr>
        <w:pStyle w:val="Heading1"/>
      </w:pPr>
      <w:bookmarkStart w:id="1" w:name="O_585107"/>
      <w:bookmarkEnd w:id="1"/>
      <w:r w:rsidRPr="00FB6C62">
        <w:t>Modification History</w:t>
      </w:r>
    </w:p>
    <w:p w:rsidR="00000000" w:rsidRPr="00FB6C62" w:rsidP="00FB6C62">
      <w:pPr>
        <w:pStyle w:val="BodyText"/>
      </w:pPr>
      <w:r w:rsidRPr="00FB6C62">
        <w:t>Not applicable.</w:t>
      </w:r>
    </w:p>
    <w:p w:rsidR="00000000" w:rsidRPr="00FB6C62" w:rsidP="00FB6C62">
      <w:pPr>
        <w:pStyle w:val="AllowPageBreak"/>
      </w:pPr>
    </w:p>
    <w:p w:rsidR="00000000" w:rsidRPr="00FB6C62" w:rsidP="00FB6C62">
      <w:pPr>
        <w:pStyle w:val="Heading1"/>
      </w:pPr>
      <w:bookmarkStart w:id="2" w:name="O_585106"/>
      <w:bookmarkEnd w:id="2"/>
      <w:r w:rsidRPr="00FB6C62">
        <w:t>Unit Descriptor</w:t>
      </w:r>
    </w:p>
    <w:tbl>
      <w:tblPr>
        <w:tblW w:w="0" w:type="auto"/>
        <w:tblLayout w:type="fixed"/>
        <w:tblCellMar>
          <w:left w:w="62" w:type="dxa"/>
          <w:right w:w="62" w:type="dxa"/>
        </w:tblCellMar>
        <w:tblLook w:val="0000"/>
      </w:tblPr>
      <w:tblGrid>
        <w:gridCol w:w="2700"/>
        <w:gridCol w:w="5760"/>
      </w:tblGrid>
      <w:tr w:rsidTr="00DD05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1)</w:t>
            </w:r>
            <w:r w:rsidRPr="00FB6C62">
              <w:t xml:space="preserve"> </w:t>
            </w:r>
            <w:r w:rsidRPr="00FB6C62">
              <w:rPr>
                <w:rStyle w:val="SpecialBold"/>
              </w:rPr>
              <w:t>Scope:</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B6C6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1.1) Descriptor</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This unit covers the installation and maintenance of fire and smoke control, emergency supplies and early warning systems in</w:t>
            </w:r>
            <w:r w:rsidRPr="00FB6C62">
              <w:t xml:space="preserve"> buildings and premises. It encompasses working safely and to installation and maintenance standards, complying with maintenance schedules and completing the necessary documentation.</w:t>
            </w:r>
          </w:p>
        </w:tc>
      </w:tr>
    </w:tbl>
    <w:p w:rsidR="00000000" w:rsidRPr="00FB6C62" w:rsidP="00FB6C62">
      <w:pPr>
        <w:pStyle w:val="BodyText"/>
      </w:pPr>
    </w:p>
    <w:p w:rsidR="00000000" w:rsidRPr="00FB6C62" w:rsidP="00FB6C62">
      <w:pPr>
        <w:pStyle w:val="AllowPageBreak"/>
      </w:pPr>
    </w:p>
    <w:p w:rsidR="00000000" w:rsidRPr="00FB6C62" w:rsidP="00FB6C62">
      <w:pPr>
        <w:pStyle w:val="Heading1"/>
      </w:pPr>
      <w:bookmarkStart w:id="3" w:name="O_585105"/>
      <w:bookmarkEnd w:id="3"/>
      <w:r w:rsidRPr="00FB6C62">
        <w:t>Application of the Unit</w:t>
      </w:r>
    </w:p>
    <w:tbl>
      <w:tblPr>
        <w:tblW w:w="0" w:type="auto"/>
        <w:tblLayout w:type="fixed"/>
        <w:tblCellMar>
          <w:left w:w="62" w:type="dxa"/>
          <w:right w:w="62" w:type="dxa"/>
        </w:tblCellMar>
        <w:tblLook w:val="0000"/>
      </w:tblPr>
      <w:tblGrid>
        <w:gridCol w:w="2672"/>
        <w:gridCol w:w="5699"/>
      </w:tblGrid>
      <w:tr w:rsidTr="00DD051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2)</w:t>
            </w:r>
          </w:p>
        </w:tc>
      </w:tr>
      <w:tr w:rsidTr="00DD051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This unit is intended for competency development in entry-level employment based programs incorporated in approved contracts of training.</w:t>
            </w:r>
          </w:p>
        </w:tc>
      </w:tr>
    </w:tbl>
    <w:p w:rsidR="00000000" w:rsidRPr="00FB6C62" w:rsidP="00FB6C62">
      <w:pPr>
        <w:pStyle w:val="BodyText"/>
      </w:pPr>
    </w:p>
    <w:p w:rsidR="00000000" w:rsidRPr="00FB6C62" w:rsidP="00FB6C62">
      <w:pPr>
        <w:pStyle w:val="AllowPageBreak"/>
      </w:pPr>
    </w:p>
    <w:p w:rsidR="00000000" w:rsidRPr="00FB6C62" w:rsidP="00FB6C62">
      <w:pPr>
        <w:pStyle w:val="Heading1"/>
      </w:pPr>
      <w:bookmarkStart w:id="4" w:name="O_585104"/>
      <w:bookmarkEnd w:id="4"/>
      <w:r w:rsidRPr="00FB6C62">
        <w:t>Licensing/Regulatory Information</w:t>
      </w:r>
    </w:p>
    <w:tbl>
      <w:tblPr>
        <w:tblW w:w="0" w:type="auto"/>
        <w:tblLayout w:type="fixed"/>
        <w:tblCellMar>
          <w:left w:w="62" w:type="dxa"/>
          <w:right w:w="62" w:type="dxa"/>
        </w:tblCellMar>
        <w:tblLook w:val="0000"/>
      </w:tblPr>
      <w:tblGrid>
        <w:gridCol w:w="2700"/>
        <w:gridCol w:w="5760"/>
      </w:tblGrid>
      <w:tr w:rsidTr="00DD05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 xml:space="preserve">3) </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The skills and knowledge described in th</w:t>
            </w:r>
            <w:r w:rsidRPr="00FB6C62">
              <w:t>is unit require a license to practice in the workplace subject to regulations for undertaking of electrical work. Practice in workplace and during training is also subject to regulations directly related to occupational health and safety and where applicab</w:t>
            </w:r>
            <w:r w:rsidRPr="00FB6C62">
              <w:t>le contracts of training such as apprenticeships.</w:t>
            </w:r>
          </w:p>
          <w:p w:rsidR="00000000" w:rsidRPr="00FB6C62" w:rsidP="00FB6C62">
            <w:pPr>
              <w:pStyle w:val="BodyText"/>
            </w:pPr>
            <w:r w:rsidRPr="00FB6C62">
              <w:t xml:space="preserve">Note: </w:t>
            </w:r>
            <w:r w:rsidRPr="00FB6C62">
              <w:br/>
              <w:t>1. Compliance with permits may be required in various jurisdictions and typically relates t</w:t>
            </w:r>
            <w:r w:rsidRPr="00FB6C62">
              <w:t xml:space="preserve">o the operation of plant, machinery and equipment such as elevating work </w:t>
            </w:r>
            <w:r w:rsidRPr="00FB6C62">
              <w:t>platforms, powder operated fixing tools, power operated tools, vehicles, road signage and traffic control and lifting equipment. Permits may also be required for some work environment</w:t>
            </w:r>
            <w:r w:rsidRPr="00FB6C62">
              <w:t>s such as confined spaces, working aloft, near live electrical apparatus and site rehabilitation.</w:t>
            </w:r>
            <w:r w:rsidRPr="00FB6C62">
              <w:br/>
              <w:t>2. Compliance may be required in various jurisdictions relating to currency in First Aid, confined space, lifting and risk safety measures.</w:t>
            </w:r>
          </w:p>
        </w:tc>
      </w:tr>
    </w:tbl>
    <w:p w:rsidR="00000000" w:rsidRPr="00FB6C62" w:rsidP="00FB6C62">
      <w:pPr>
        <w:pStyle w:val="BodyText"/>
      </w:pPr>
    </w:p>
    <w:p w:rsidR="00000000" w:rsidRPr="00FB6C62" w:rsidP="00FB6C62">
      <w:pPr>
        <w:pStyle w:val="AllowPageBreak"/>
      </w:pPr>
    </w:p>
    <w:p w:rsidR="00000000" w:rsidRPr="00FB6C62" w:rsidP="00FB6C62">
      <w:pPr>
        <w:pStyle w:val="Heading1"/>
      </w:pPr>
      <w:bookmarkStart w:id="5" w:name="O_585103"/>
      <w:bookmarkEnd w:id="5"/>
      <w:r w:rsidRPr="00FB6C62">
        <w:t>Pre-Requisites</w:t>
      </w:r>
    </w:p>
    <w:tbl>
      <w:tblPr>
        <w:tblW w:w="0" w:type="auto"/>
        <w:tblLayout w:type="fixed"/>
        <w:tblCellMar>
          <w:left w:w="62" w:type="dxa"/>
          <w:right w:w="62" w:type="dxa"/>
        </w:tblCellMar>
        <w:tblLook w:val="0000"/>
      </w:tblPr>
      <w:tblGrid>
        <w:gridCol w:w="2700"/>
        <w:gridCol w:w="1620"/>
        <w:gridCol w:w="4140"/>
      </w:tblGrid>
      <w:tr w:rsidTr="00DD05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 xml:space="preserve">4) </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4.1)</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Granting competency in this unit shall be made only after competency in the following unit(s) has/have been confirmed.</w:t>
            </w:r>
          </w:p>
        </w:tc>
      </w:tr>
      <w:tr w:rsidTr="00DD051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UEENEEE101A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Apply Occupational Health and Safety regulations, codes and practices in the workplace</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UEENEEE102A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Fabricate, dismantle, assemble of utilities components</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UEENEEE104A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Solve problems in d.c circuits</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UEENEEE105A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F</w:t>
            </w:r>
            <w:r w:rsidRPr="00FB6C62">
              <w:t>ix and secure electrotechnology equipment</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UEENEEE107A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Use drawings, diagrams, schedules, standards, codes and specifications</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UEENEEE137A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Document and apply measures to control OHS risks associated with electrotechnology work</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UEENEEG006A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Solve problem</w:t>
            </w:r>
            <w:r w:rsidRPr="00FB6C62">
              <w:t>s in single and three phase low voltage machines</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UEENEEG033A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Solve problems in single and three phase electrical apparatus and circuits</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UEENEEG063A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Arrange circuits, control and protection for general electrical installations</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 xml:space="preserve">UEENEEG101A </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Solve problems in electromagnetic devices and related circuits</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UEENEEG102A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Solve problems in low voltage a.c. circuit</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 xml:space="preserve">UEENEEG103A </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Install low voltage wiring and accessories</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UEENEEG106A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Terminate cables, cords and accessories for low voltage circuits</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UEENEEG107A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Select wiring systems and cables for low voltage general electrical installations</w:t>
            </w:r>
          </w:p>
        </w:tc>
      </w:tr>
      <w:tr w:rsidTr="00DD051D">
        <w:tblPrEx>
          <w:tblW w:w="0" w:type="auto"/>
          <w:tblLayout w:type="fixed"/>
          <w:tblCellMar>
            <w:left w:w="62" w:type="dxa"/>
            <w:right w:w="62" w:type="dxa"/>
          </w:tblCellMar>
          <w:tblLook w:val="0000"/>
        </w:tblPrEx>
        <w:trPr>
          <w:trHeight w:val="61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UEENEEG108A</w:t>
            </w:r>
          </w:p>
        </w:tc>
        <w:tc>
          <w:tcPr>
            <w:tcW w:w="414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Trouble-shoot and repair faults in low voltage electrical apparatus and circuits</w:t>
            </w:r>
          </w:p>
        </w:tc>
      </w:tr>
      <w:tr w:rsidTr="00DD051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 xml:space="preserve">UEENEEG109A </w:t>
            </w:r>
          </w:p>
        </w:tc>
        <w:tc>
          <w:tcPr>
            <w:tcW w:w="414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Develop and connect electrical control circuits</w:t>
            </w:r>
          </w:p>
        </w:tc>
      </w:tr>
    </w:tbl>
    <w:p w:rsidR="00000000" w:rsidRPr="00FB6C62" w:rsidP="00FB6C6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D051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 xml:space="preserve">4.2) </w:t>
            </w:r>
          </w:p>
        </w:tc>
      </w:tr>
      <w:tr w:rsidTr="00DD051D">
        <w:tblPrEx>
          <w:tblW w:w="0" w:type="auto"/>
          <w:tblLayout w:type="fixed"/>
          <w:tblCellMar>
            <w:left w:w="62" w:type="dxa"/>
            <w:right w:w="62" w:type="dxa"/>
          </w:tblCellMar>
          <w:tblLook w:val="0000"/>
        </w:tblPrEx>
        <w:trPr>
          <w:trHeight w:val="1114"/>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Participants are best equipped to achieve competency in this unit if they have reading, writing and numeracy skills indicated by the following scales. Description of each scale is given in Volume 2, Part 3 ‘Litera</w:t>
            </w:r>
            <w:r w:rsidRPr="00FB6C62">
              <w:t>cy and Numeracy’</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Reading</w:t>
            </w:r>
          </w:p>
        </w:tc>
        <w:tc>
          <w:tcPr>
            <w:tcW w:w="81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4</w:t>
            </w:r>
          </w:p>
        </w:tc>
        <w:tc>
          <w:tcPr>
            <w:tcW w:w="99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Writing</w:t>
            </w: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4</w:t>
            </w:r>
          </w:p>
        </w:tc>
        <w:tc>
          <w:tcPr>
            <w:tcW w:w="12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Numeracy</w:t>
            </w:r>
          </w:p>
        </w:tc>
        <w:tc>
          <w:tcPr>
            <w:tcW w:w="72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4</w:t>
            </w:r>
          </w:p>
        </w:tc>
      </w:tr>
    </w:tbl>
    <w:p w:rsidR="00000000" w:rsidRPr="00FB6C62" w:rsidP="00FB6C62">
      <w:pPr>
        <w:pStyle w:val="BodyText"/>
      </w:pPr>
    </w:p>
    <w:p w:rsidR="00000000" w:rsidRPr="00FB6C62" w:rsidP="00FB6C62">
      <w:pPr>
        <w:pStyle w:val="AllowPageBreak"/>
      </w:pPr>
    </w:p>
    <w:p w:rsidR="00000000" w:rsidRPr="00FB6C62" w:rsidP="00FB6C62">
      <w:pPr>
        <w:pStyle w:val="Heading1"/>
      </w:pPr>
      <w:bookmarkStart w:id="6" w:name="O_585102"/>
      <w:bookmarkEnd w:id="6"/>
      <w:r w:rsidRPr="00FB6C62">
        <w:t>Employability Skills Information</w:t>
      </w:r>
    </w:p>
    <w:tbl>
      <w:tblPr>
        <w:tblW w:w="0" w:type="auto"/>
        <w:tblLayout w:type="fixed"/>
        <w:tblCellMar>
          <w:left w:w="62" w:type="dxa"/>
          <w:right w:w="62" w:type="dxa"/>
        </w:tblCellMar>
        <w:tblLook w:val="0000"/>
      </w:tblPr>
      <w:tblGrid>
        <w:gridCol w:w="2700"/>
        <w:gridCol w:w="5760"/>
      </w:tblGrid>
      <w:tr w:rsidTr="00DD05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 xml:space="preserve">5) </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This unit contains Employability Skills</w:t>
            </w:r>
          </w:p>
          <w:p w:rsidR="00000000" w:rsidRPr="00FB6C62" w:rsidP="00FB6C62">
            <w:pPr>
              <w:pStyle w:val="BodyText"/>
            </w:pPr>
            <w:r w:rsidRPr="00FB6C6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B6C62">
              <w:t>requirements.</w:t>
            </w:r>
          </w:p>
        </w:tc>
      </w:tr>
    </w:tbl>
    <w:p w:rsidR="00000000" w:rsidRPr="00FB6C62" w:rsidP="00FB6C62">
      <w:pPr>
        <w:pStyle w:val="BodyText"/>
      </w:pPr>
    </w:p>
    <w:p w:rsidR="00000000" w:rsidRPr="00FB6C62" w:rsidP="00FB6C62">
      <w:pPr>
        <w:pStyle w:val="AllowPageBreak"/>
      </w:pPr>
    </w:p>
    <w:p w:rsidR="00000000" w:rsidRPr="00FB6C62" w:rsidP="00FB6C62">
      <w:pPr>
        <w:pStyle w:val="Heading1"/>
      </w:pPr>
      <w:bookmarkStart w:id="7" w:name="O_585101"/>
      <w:bookmarkEnd w:id="7"/>
      <w:r w:rsidRPr="00FB6C62">
        <w:t>Elements and Performance Criteria Pre-Content</w:t>
      </w:r>
    </w:p>
    <w:tbl>
      <w:tblPr>
        <w:tblW w:w="0" w:type="auto"/>
        <w:tblLayout w:type="fixed"/>
        <w:tblCellMar>
          <w:left w:w="62" w:type="dxa"/>
          <w:right w:w="62" w:type="dxa"/>
        </w:tblCellMar>
        <w:tblLook w:val="0000"/>
      </w:tblPr>
      <w:tblGrid>
        <w:gridCol w:w="2700"/>
        <w:gridCol w:w="5760"/>
      </w:tblGrid>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6)</w:t>
            </w:r>
            <w:r w:rsidRPr="00FB6C6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Performance Criteria describe the required performance needed to demonstrate achievement of the element</w:t>
            </w:r>
            <w:r w:rsidRPr="00FB6C62">
              <w:t>. Assessment of performance is to be consistent with the Evidence Guide.</w:t>
            </w:r>
          </w:p>
        </w:tc>
      </w:tr>
    </w:tbl>
    <w:p w:rsidR="00000000" w:rsidRPr="00FB6C62" w:rsidP="00FB6C62">
      <w:pPr>
        <w:pStyle w:val="BodyText"/>
      </w:pPr>
    </w:p>
    <w:p w:rsidR="00000000" w:rsidRPr="00FB6C62" w:rsidP="00FB6C62">
      <w:pPr>
        <w:pStyle w:val="AllowPageBreak"/>
      </w:pPr>
    </w:p>
    <w:p w:rsidR="00000000" w:rsidRPr="00FB6C62" w:rsidP="00FB6C62">
      <w:pPr>
        <w:pStyle w:val="Heading1"/>
      </w:pPr>
      <w:bookmarkStart w:id="8" w:name="O_585100"/>
      <w:bookmarkEnd w:id="8"/>
      <w:r w:rsidRPr="00FB6C6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D051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PERFORMANCE CRITERIA</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1</w:t>
            </w:r>
          </w:p>
        </w:tc>
        <w:tc>
          <w:tcPr>
            <w:tcW w:w="2296" w:type="dxa"/>
            <w:vMerge w:val="restart"/>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Prepare to install and maintain emergency safety systems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1.1</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OHS procedures for a given work area are identified, obtained and understood.</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1.2</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Health and safety risks are identified and established risk control measures and procedures in preparation for the work are followed.</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1.3</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Safety hazards that have not previously been identified are noted and established risk control measures are implemented.</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1.4</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 xml:space="preserve">Installation/maintenance is prepared in consultation with other affected by the work and sequenced appropriately. </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1.5</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The nature and location of the work is determined from documentation or appropriate person to establish the scope of work to be undertaken.</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1.6</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Location of apparatus and associated equipment is planned within the constraints of the building structure, s</w:t>
            </w:r>
            <w:r w:rsidRPr="00FB6C62">
              <w:t>ignificants and regulations.</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1.7</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Advice is sought from appropriate persons to ensure the work is coordinated effectively with others.</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1.8</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Material needed for the installation work is obtained in accordance with established procedures and checked agai</w:t>
            </w:r>
            <w:r w:rsidRPr="00FB6C62">
              <w:t>nst job requirements.</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1.9</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Tools, equipment and testing devices needed to for the installation work are obtained in accordance with established procedures and checked for correct operation and safety.</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1.10</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Preparatory work is checked to ensure no damage has occurred and complies with requirements.</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2</w:t>
            </w:r>
          </w:p>
        </w:tc>
        <w:tc>
          <w:tcPr>
            <w:tcW w:w="2296" w:type="dxa"/>
            <w:vMerge w:val="restart"/>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Install and maintain emergency safety systems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2.1</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OHS risk control measures and procedures for carrying out the work are followed.</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2.2</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The need to test or measure live is determined in strict accordance with OHS requirements and when necessary conducted within established safety procedures.</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2.3</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Circuits/machines/plant are checked as being isolated where necessary in strict accordance O</w:t>
            </w:r>
            <w:r w:rsidRPr="00FB6C62">
              <w:t>HS requirements and procedures.</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2.4</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Apparatus and associated equipment are installed and maintained to comply with technical standards and job specifications and requirements with sufficient access to affect terminations, adjustment and maintenance.</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2.5</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 xml:space="preserve">Wiring is terminated at apparatus and associated equipment in accordance with manufacture’s specifications and functional and regulatory requirements. </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2.6</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Established methods for dealing with unexpected situations are discussed with appropriate per</w:t>
            </w:r>
            <w:r w:rsidRPr="00FB6C62">
              <w:t>son or persons and documented.</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2.7</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Unexpected situations are dealt with safely and with the approval of an authorised person.</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2.8</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Ongoing checks of the quality of installed apparatus are undertaken in accordance with established procedures.</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2.9</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Ap</w:t>
            </w:r>
            <w:r w:rsidRPr="00FB6C62">
              <w:t>paratus installation is carried out efficiently without unnecessary waste of materials or damage to apparatus, circuits, the surrounding environment or services and using sustainable energy principles.</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3</w:t>
            </w:r>
          </w:p>
        </w:tc>
        <w:tc>
          <w:tcPr>
            <w:tcW w:w="2296" w:type="dxa"/>
            <w:vMerge w:val="restart"/>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Completion and report installation and maintenance activities.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3.1</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OHS work completion risk control measures and procedures are followed.</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3.2</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Work site is cleaned and made safe in accordance with established procedures.</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3.3</w:t>
            </w:r>
          </w:p>
        </w:tc>
        <w:tc>
          <w:tcPr>
            <w:tcW w:w="48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Final checks are made to that the installed and maintained apparatus conforms to requirements.</w:t>
            </w:r>
          </w:p>
        </w:tc>
      </w:tr>
      <w:tr w:rsidTr="00DD05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t>3.4</w:t>
            </w:r>
          </w:p>
        </w:tc>
        <w:tc>
          <w:tcPr>
            <w:tcW w:w="486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 xml:space="preserve">‘As-installed’ emergency safety systems apparatus and associated equipment is documented and an appropriate person or persons notified in accordance with </w:t>
            </w:r>
            <w:r w:rsidRPr="00FB6C62">
              <w:t>established procedures.</w:t>
            </w:r>
          </w:p>
        </w:tc>
      </w:tr>
    </w:tbl>
    <w:p w:rsidR="00000000" w:rsidRPr="00FB6C62" w:rsidP="00FB6C62">
      <w:pPr>
        <w:pStyle w:val="BodyText"/>
      </w:pPr>
    </w:p>
    <w:p w:rsidR="00000000" w:rsidRPr="00FB6C62" w:rsidP="00FB6C62">
      <w:pPr>
        <w:pStyle w:val="AllowPageBreak"/>
      </w:pPr>
    </w:p>
    <w:p w:rsidR="00000000" w:rsidRPr="00FB6C62" w:rsidP="00FB6C62">
      <w:pPr>
        <w:pStyle w:val="Heading1"/>
      </w:pPr>
      <w:bookmarkStart w:id="9" w:name="O_585099"/>
      <w:bookmarkEnd w:id="9"/>
      <w:r w:rsidRPr="00FB6C62">
        <w:t>Required Skills and Knowledge</w:t>
      </w:r>
    </w:p>
    <w:tbl>
      <w:tblPr>
        <w:tblW w:w="0" w:type="auto"/>
        <w:tblLayout w:type="fixed"/>
        <w:tblCellMar>
          <w:left w:w="62" w:type="dxa"/>
          <w:right w:w="62" w:type="dxa"/>
        </w:tblCellMar>
        <w:tblLook w:val="0000"/>
      </w:tblPr>
      <w:tblGrid>
        <w:gridCol w:w="8460"/>
      </w:tblGrid>
      <w:tr w:rsidTr="00DD05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REQUIRED SKILLS AND KNOWLEDGE</w:t>
            </w:r>
          </w:p>
        </w:tc>
      </w:tr>
      <w:tr w:rsidTr="00DD051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8)</w:t>
            </w:r>
            <w:r w:rsidRPr="00FB6C62">
              <w:t xml:space="preserve"> This describes the essential skills and knowledge and their level, required for this unit.</w:t>
            </w:r>
          </w:p>
          <w:p w:rsidR="00000000" w:rsidRPr="00FB6C62" w:rsidP="00FB6C62">
            <w:pPr>
              <w:pStyle w:val="BodyText"/>
            </w:pPr>
            <w:r w:rsidRPr="00FB6C62">
              <w:t>Evidence shall show that knowledge has been acquired of safe working practices and installing and maintaining emergency safety systems.</w:t>
            </w:r>
          </w:p>
          <w:p w:rsidR="00000000" w:rsidRPr="00FB6C62" w:rsidP="00FB6C62">
            <w:pPr>
              <w:pStyle w:val="BodyText"/>
            </w:pPr>
            <w:r w:rsidRPr="00FB6C62">
              <w:t>All knowledge and skills detailed in this unit should be contextualised to current industry practices and technologies.</w:t>
            </w:r>
          </w:p>
          <w:p w:rsidR="00000000" w:rsidRPr="00FB6C62" w:rsidP="00FB6C62">
            <w:pPr>
              <w:pStyle w:val="BodyText"/>
            </w:pPr>
            <w:r w:rsidRPr="00FB6C62">
              <w:rPr>
                <w:rStyle w:val="SpecialBold"/>
              </w:rPr>
              <w:t>KS01-EG113A</w:t>
            </w:r>
            <w:r w:rsidRPr="00FB6C62">
              <w:rPr>
                <w:rStyle w:val="SpecialBold"/>
              </w:rPr>
              <w:tab/>
              <w:t xml:space="preserve">               Electrical installations, emergency safety systems</w:t>
            </w:r>
          </w:p>
          <w:p w:rsidR="00000000" w:rsidRPr="00FB6C62" w:rsidP="00FB6C62">
            <w:pPr>
              <w:pStyle w:val="BodyText"/>
            </w:pPr>
            <w:r w:rsidRPr="00FB6C62">
              <w:t>Evidence shall show an understanding of installing and maintaining electrical emergency safety systems to an extent indicated by the following aspects:</w:t>
            </w:r>
          </w:p>
          <w:p w:rsidR="00000000" w:rsidRPr="00FB6C62" w:rsidP="00FB6C62">
            <w:pPr>
              <w:pStyle w:val="BodyText"/>
            </w:pPr>
            <w:r w:rsidRPr="00FB6C62">
              <w:t>T1</w:t>
            </w:r>
            <w:r w:rsidRPr="00FB6C62">
              <w:tab/>
              <w:t xml:space="preserve">Cells and batteries in </w:t>
            </w:r>
            <w:r w:rsidRPr="00FB6C62">
              <w:t>common use encompassing:</w:t>
            </w:r>
          </w:p>
          <w:p w:rsidR="00000000" w:rsidRPr="00FB6C62" w:rsidP="00FB6C62">
            <w:pPr>
              <w:pStyle w:val="ListBullet"/>
            </w:pPr>
            <w:r w:rsidRPr="00FB6C62">
              <w:t>Primary cells</w:t>
            </w:r>
          </w:p>
          <w:p w:rsidR="00000000" w:rsidRPr="00FB6C62" w:rsidP="00FB6C62">
            <w:pPr>
              <w:pStyle w:val="ListBullet"/>
            </w:pPr>
            <w:r w:rsidRPr="00FB6C62">
              <w:t xml:space="preserve">Secondary cells </w:t>
            </w:r>
          </w:p>
          <w:p w:rsidR="00000000" w:rsidRPr="00FB6C62" w:rsidP="00FB6C62">
            <w:pPr>
              <w:pStyle w:val="ListBullet"/>
            </w:pPr>
            <w:r w:rsidRPr="00FB6C62">
              <w:t>Discharging</w:t>
            </w:r>
          </w:p>
          <w:p w:rsidR="00000000" w:rsidRPr="00FB6C62" w:rsidP="00FB6C62">
            <w:pPr>
              <w:pStyle w:val="ListBullet"/>
            </w:pPr>
            <w:r w:rsidRPr="00FB6C62">
              <w:t>Recharging</w:t>
            </w:r>
          </w:p>
          <w:p w:rsidR="00000000" w:rsidRPr="00FB6C62" w:rsidP="00FB6C62">
            <w:pPr>
              <w:pStyle w:val="ListBullet"/>
            </w:pPr>
            <w:r w:rsidRPr="00FB6C62">
              <w:t>Terminal voltages</w:t>
            </w:r>
          </w:p>
          <w:p w:rsidR="00000000" w:rsidRPr="00FB6C62" w:rsidP="00FB6C62">
            <w:pPr>
              <w:pStyle w:val="ListBullet"/>
            </w:pPr>
            <w:r w:rsidRPr="00FB6C62">
              <w:t>Capacity</w:t>
            </w:r>
          </w:p>
          <w:p w:rsidR="00000000" w:rsidRPr="00FB6C62" w:rsidP="00FB6C62">
            <w:pPr>
              <w:pStyle w:val="ListBullet"/>
            </w:pPr>
            <w:r w:rsidRPr="00FB6C62">
              <w:t>Discharge and recharge characteristics</w:t>
            </w:r>
          </w:p>
          <w:p w:rsidR="00000000" w:rsidRPr="00FB6C62" w:rsidP="00FB6C62">
            <w:pPr>
              <w:pStyle w:val="ListBullet"/>
            </w:pPr>
            <w:r w:rsidRPr="00FB6C62">
              <w:t>Battery configurations and applications</w:t>
            </w:r>
          </w:p>
          <w:p w:rsidR="00000000" w:rsidRPr="00FB6C62" w:rsidP="00FB6C62">
            <w:pPr>
              <w:pStyle w:val="ListBullet"/>
            </w:pPr>
            <w:r w:rsidRPr="00FB6C62">
              <w:t>Cell and battery safety practices.</w:t>
            </w:r>
          </w:p>
          <w:p w:rsidR="00000000" w:rsidRPr="00FB6C62" w:rsidP="00FB6C62">
            <w:pPr>
              <w:pStyle w:val="BodyText"/>
            </w:pPr>
          </w:p>
          <w:p w:rsidR="00000000" w:rsidRPr="00FB6C62" w:rsidP="00FB6C62">
            <w:pPr>
              <w:pStyle w:val="BodyText"/>
            </w:pPr>
            <w:r w:rsidRPr="00FB6C62">
              <w:t>T2</w:t>
            </w:r>
            <w:r w:rsidRPr="00FB6C62">
              <w:tab/>
            </w:r>
            <w:r w:rsidRPr="00FB6C62">
              <w:t>Electrical installations, emergency systems encompassing:</w:t>
            </w:r>
          </w:p>
          <w:p w:rsidR="00000000" w:rsidRPr="00FB6C62" w:rsidP="00FB6C62">
            <w:pPr>
              <w:pStyle w:val="ListBullet"/>
            </w:pPr>
            <w:r w:rsidRPr="00FB6C62">
              <w:t>Principles and practices of electrical emergency safety systems for electrical installations as contained in relevant Australian Standards, Australian building code and associated hazards documenta</w:t>
            </w:r>
            <w:r w:rsidRPr="00FB6C62">
              <w:t>tion</w:t>
            </w:r>
          </w:p>
          <w:p w:rsidR="00000000" w:rsidRPr="00FB6C62" w:rsidP="00FB6C62">
            <w:pPr>
              <w:pStyle w:val="ListBullet"/>
            </w:pPr>
            <w:r w:rsidRPr="00FB6C62">
              <w:t>Arrangement and requirements for fire and smoke control equipment</w:t>
            </w:r>
          </w:p>
          <w:p w:rsidR="00000000" w:rsidRPr="00FB6C62" w:rsidP="00FB6C62">
            <w:pPr>
              <w:pStyle w:val="ListBullet"/>
            </w:pPr>
            <w:r w:rsidRPr="00FB6C62">
              <w:t>Arrangement and requirements for emergency warning and intercommunications systems</w:t>
            </w:r>
          </w:p>
          <w:p w:rsidR="00000000" w:rsidRPr="00FB6C62" w:rsidP="00FB6C62">
            <w:pPr>
              <w:pStyle w:val="ListBullet"/>
            </w:pPr>
            <w:r w:rsidRPr="00FB6C62">
              <w:t>Arrangement and requirement for emergency power supplies</w:t>
            </w:r>
          </w:p>
        </w:tc>
      </w:tr>
    </w:tbl>
    <w:p w:rsidR="00000000" w:rsidRPr="00FB6C62" w:rsidP="00FB6C62">
      <w:pPr>
        <w:pStyle w:val="BodyText"/>
      </w:pPr>
    </w:p>
    <w:p w:rsidR="00000000" w:rsidRPr="00FB6C62" w:rsidP="00FB6C62">
      <w:pPr>
        <w:pStyle w:val="AllowPageBreak"/>
      </w:pPr>
    </w:p>
    <w:p w:rsidR="00000000" w:rsidRPr="00FB6C62" w:rsidP="00FB6C62">
      <w:pPr>
        <w:pStyle w:val="Heading1"/>
      </w:pPr>
      <w:bookmarkStart w:id="10" w:name="O_585098"/>
      <w:bookmarkEnd w:id="10"/>
      <w:r w:rsidRPr="00FB6C62">
        <w:t>Evidence Guide</w:t>
      </w:r>
    </w:p>
    <w:tbl>
      <w:tblPr>
        <w:tblW w:w="0" w:type="auto"/>
        <w:tblLayout w:type="fixed"/>
        <w:tblCellMar>
          <w:left w:w="62" w:type="dxa"/>
          <w:right w:w="62" w:type="dxa"/>
        </w:tblCellMar>
        <w:tblLook w:val="0000"/>
      </w:tblPr>
      <w:tblGrid>
        <w:gridCol w:w="8460"/>
      </w:tblGrid>
      <w:tr w:rsidTr="00DD05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EVIDENCE GU</w:t>
            </w:r>
            <w:r w:rsidRPr="00FB6C62">
              <w:rPr>
                <w:rStyle w:val="SpecialBold"/>
              </w:rPr>
              <w:t>IDE</w:t>
            </w:r>
          </w:p>
        </w:tc>
      </w:tr>
      <w:tr w:rsidTr="00DD05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9)</w:t>
            </w:r>
            <w:r w:rsidRPr="00FB6C62">
              <w:t xml:space="preserve"> The evidence guide provides advice on assessment and must be read in conjunction with the Performance Criteria, Required Skills and Knowledge, the Range Statement and the Assessment Guidelines for this Training Package. </w:t>
            </w:r>
          </w:p>
          <w:p w:rsidR="00000000" w:rsidRPr="00FB6C62" w:rsidP="00FB6C62">
            <w:pPr>
              <w:pStyle w:val="BodyText"/>
            </w:pPr>
            <w:r w:rsidRPr="00FB6C62">
              <w:t>The Evidence Guide forms an integral part of this unit. It must be used in conjunction with all parts of this unit and performed in accordance with the Assessment Guidelines of this Training Package.</w:t>
            </w:r>
          </w:p>
        </w:tc>
      </w:tr>
    </w:tbl>
    <w:p w:rsidR="00000000" w:rsidRPr="00FB6C62" w:rsidP="00FB6C62">
      <w:pPr>
        <w:pStyle w:val="BodyText"/>
      </w:pPr>
    </w:p>
    <w:tbl>
      <w:tblPr>
        <w:tblW w:w="0" w:type="auto"/>
        <w:tblLayout w:type="fixed"/>
        <w:tblCellMar>
          <w:left w:w="62" w:type="dxa"/>
          <w:right w:w="62" w:type="dxa"/>
        </w:tblCellMar>
        <w:tblLook w:val="0000"/>
      </w:tblPr>
      <w:tblGrid>
        <w:gridCol w:w="1890"/>
        <w:gridCol w:w="6570"/>
      </w:tblGrid>
      <w:tr w:rsidTr="00DD0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9.1)</w:t>
            </w:r>
          </w:p>
        </w:tc>
      </w:tr>
      <w:tr w:rsidTr="00DD0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 xml:space="preserve">Longitudinal competency </w:t>
            </w:r>
            <w:r w:rsidRPr="00FB6C62">
              <w:t>development approaches to assessment, such as Profiling, require data to be reliably gathered in a form that can be consistently interpreted over time. This approach is best utilised in Apprenticeship programs and reduces assessment intervention. It is the</w:t>
            </w:r>
            <w:r w:rsidRPr="00FB6C62">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FB6C62">
              <w:t xml:space="preserve"> simulated work environment. It is recognised that, in some circumstances, assessment in part or full can occur outside the workplace. However, it must be in accordance with industry and regulatory policy.</w:t>
            </w:r>
          </w:p>
          <w:p w:rsidR="00000000" w:rsidRPr="00FB6C62" w:rsidP="00FB6C62">
            <w:pPr>
              <w:pStyle w:val="BodyText"/>
            </w:pPr>
            <w:r w:rsidRPr="00FB6C62">
              <w:t>Methods chosen for a particular assessment will be</w:t>
            </w:r>
            <w:r w:rsidRPr="00FB6C62">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FB6C62">
              <w:t>he competencies being assessed.</w:t>
            </w:r>
          </w:p>
          <w:p w:rsidR="00000000" w:rsidRPr="00FB6C62" w:rsidP="00FB6C62">
            <w:pPr>
              <w:pStyle w:val="BodyText"/>
            </w:pPr>
            <w:r w:rsidRPr="00FB6C62">
              <w:t>The critical safety nature of working with electricity, electrical equipment, gas or any other hazardous substance/material carries risk in deeming a person competent. Sources of evidence need to be ‘rich’ in nature to minim</w:t>
            </w:r>
            <w:r w:rsidRPr="00FB6C62">
              <w:t>ise error in judgment.</w:t>
            </w:r>
          </w:p>
          <w:p w:rsidR="00000000" w:rsidRPr="00FB6C62" w:rsidP="00FB6C62">
            <w:pPr>
              <w:pStyle w:val="BodyText"/>
            </w:pPr>
            <w:r w:rsidRPr="00FB6C62">
              <w:t>Activities associated with normal every day work have a bearing on the decision as to how much and how detailed the data gathered will contribute to its ‘richness’</w:t>
            </w:r>
            <w:r w:rsidRPr="00FB6C62">
              <w:t>. Some skills are more critical to safety and operational requirements while the same skills may be more or less frequently practised. These points are raised for the assessors to consider when choosing an assessment method and developing assessment instru</w:t>
            </w:r>
            <w:r w:rsidRPr="00FB6C62">
              <w:t>ments. Sample assessment instruments are included for Assessors in the Assessment Guidelines of this Training Package.</w:t>
            </w:r>
          </w:p>
        </w:tc>
      </w:tr>
    </w:tbl>
    <w:p w:rsidR="00000000" w:rsidRPr="00FB6C62" w:rsidP="00FB6C62">
      <w:pPr>
        <w:pStyle w:val="BodyText"/>
      </w:pPr>
    </w:p>
    <w:tbl>
      <w:tblPr>
        <w:tblW w:w="0" w:type="auto"/>
        <w:tblLayout w:type="fixed"/>
        <w:tblCellMar>
          <w:left w:w="62" w:type="dxa"/>
          <w:right w:w="62" w:type="dxa"/>
        </w:tblCellMar>
        <w:tblLook w:val="0000"/>
      </w:tblPr>
      <w:tblGrid>
        <w:gridCol w:w="1890"/>
        <w:gridCol w:w="6570"/>
      </w:tblGrid>
      <w:tr w:rsidTr="00DD0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9.2)</w:t>
            </w:r>
          </w:p>
        </w:tc>
      </w:tr>
      <w:tr w:rsidTr="00DD0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Before the critical aspects of evidence are conside</w:t>
            </w:r>
            <w:r w:rsidRPr="00FB6C62">
              <w:t>red all prerequisites shall be met.</w:t>
            </w:r>
          </w:p>
          <w:p w:rsidR="00000000" w:rsidRPr="00FB6C62" w:rsidP="00FB6C62">
            <w:pPr>
              <w:pStyle w:val="BodyText"/>
            </w:pPr>
            <w:r w:rsidRPr="00FB6C62">
              <w:t>Evidence for competence in this unit shall be considered holistically.  Each element and associated performance criteria shall be demonstrated on at least two occasions in accordance with the ‘Assessment Guidelines – UEE</w:t>
            </w:r>
            <w:r w:rsidRPr="00FB6C62">
              <w:t>11’.  Evidence shall also comprise:</w:t>
            </w:r>
          </w:p>
          <w:p w:rsidR="00000000" w:rsidRPr="00FB6C62" w:rsidP="00FB6C62">
            <w:pPr>
              <w:pStyle w:val="ListBullet"/>
            </w:pPr>
            <w:r w:rsidRPr="00FB6C62">
              <w:t>A representative body of work performance demonstrated within the timeframes typically expected of the discipline, work function and industrial environment. In particular this shall incorporate evidence that shows a can</w:t>
            </w:r>
            <w:r w:rsidRPr="00FB6C62">
              <w:t>didate is able to:</w:t>
            </w:r>
          </w:p>
          <w:p w:rsidR="00000000" w:rsidRPr="00FB6C62" w:rsidP="00FB6C62">
            <w:pPr>
              <w:pStyle w:val="ListBullet2"/>
            </w:pPr>
            <w:r w:rsidRPr="00FB6C62">
              <w:t>Implement Occupational Health and Safety workplace procedures and practices including the use of risk control measures as specified in the performance criteria and range statement</w:t>
            </w:r>
          </w:p>
          <w:p w:rsidR="00000000" w:rsidRPr="00FB6C62" w:rsidP="00FB6C62">
            <w:pPr>
              <w:pStyle w:val="ListBullet2"/>
            </w:pPr>
            <w:r w:rsidRPr="00FB6C62">
              <w:t>Apply sustainable energy principles and practices as specified in the performance criteria and range statement</w:t>
            </w:r>
          </w:p>
          <w:p w:rsidR="00000000" w:rsidRPr="00FB6C62" w:rsidP="00FB6C62">
            <w:pPr>
              <w:pStyle w:val="ListBullet2"/>
            </w:pPr>
            <w:r w:rsidRPr="00FB6C62">
              <w:t>Demonstrate an understanding of the essential knowledge and associated skills as described in this unit.  It may be required by some jurisdiction</w:t>
            </w:r>
            <w:r w:rsidRPr="00FB6C62">
              <w:t xml:space="preserve">s that RTOs provide a percentile graded result for the purpose of regulatory or licensing requirements.   </w:t>
            </w:r>
          </w:p>
          <w:p w:rsidR="00000000" w:rsidRPr="00FB6C62" w:rsidP="00FB6C62">
            <w:pPr>
              <w:pStyle w:val="ListBullet2"/>
            </w:pPr>
            <w:r w:rsidRPr="00FB6C62">
              <w:t>Demonstrate an appropriate level of skills enabling employment</w:t>
            </w:r>
          </w:p>
          <w:p w:rsidR="00000000" w:rsidRPr="00FB6C62" w:rsidP="00FB6C62">
            <w:pPr>
              <w:pStyle w:val="ListBullet2"/>
            </w:pPr>
            <w:r w:rsidRPr="00FB6C62">
              <w:t>Conduct work observing the relevant Anti Discrimination legislation, regulations, poli</w:t>
            </w:r>
            <w:r w:rsidRPr="00FB6C62">
              <w:t>ces and workplace procedures</w:t>
            </w:r>
          </w:p>
          <w:p w:rsidR="00000000" w:rsidRPr="00FB6C62" w:rsidP="00FB6C62">
            <w:pPr>
              <w:pStyle w:val="ListBullet"/>
            </w:pPr>
            <w:r w:rsidRPr="00FB6C62">
              <w:t>Demonstrated consistent performance across a representative range of contexts from the prescribed items below:</w:t>
            </w:r>
          </w:p>
          <w:p w:rsidR="00000000" w:rsidRPr="00FB6C62" w:rsidP="00FB6C62">
            <w:pPr>
              <w:pStyle w:val="ListBullet2"/>
            </w:pPr>
            <w:r w:rsidRPr="00FB6C62">
              <w:t>Install and maintain emergency safety systems as described in 8) and including:</w:t>
            </w:r>
          </w:p>
          <w:p w:rsidR="00000000" w:rsidRPr="00FB6C62" w:rsidP="00FB6C62">
            <w:pPr>
              <w:pStyle w:val="BodyText"/>
            </w:pPr>
            <w:r w:rsidRPr="00FB6C62">
              <w:t>A</w:t>
            </w:r>
            <w:r w:rsidRPr="00FB6C62">
              <w:tab/>
              <w:t>Determining the operating parame</w:t>
            </w:r>
            <w:r w:rsidRPr="00FB6C62">
              <w:t xml:space="preserve">ters of existing electrical safety systems. </w:t>
            </w:r>
          </w:p>
          <w:p w:rsidR="00000000" w:rsidRPr="00FB6C62" w:rsidP="00FB6C62">
            <w:pPr>
              <w:pStyle w:val="BodyText"/>
            </w:pPr>
            <w:r w:rsidRPr="00FB6C62">
              <w:t>B</w:t>
            </w:r>
            <w:r w:rsidRPr="00FB6C62">
              <w:tab/>
              <w:t>Using established problem solving methods.</w:t>
            </w:r>
          </w:p>
          <w:p w:rsidR="00000000" w:rsidRPr="00FB6C62" w:rsidP="00FB6C62">
            <w:pPr>
              <w:pStyle w:val="BodyText"/>
            </w:pPr>
            <w:r w:rsidRPr="00FB6C62">
              <w:t>C</w:t>
            </w:r>
            <w:r w:rsidRPr="00FB6C62">
              <w:tab/>
              <w:t>Directing personnel to take relevant measurements.</w:t>
            </w:r>
          </w:p>
          <w:p w:rsidR="00000000" w:rsidRPr="00FB6C62" w:rsidP="00FB6C62">
            <w:pPr>
              <w:pStyle w:val="BodyText"/>
            </w:pPr>
            <w:r w:rsidRPr="00FB6C62">
              <w:t>D</w:t>
            </w:r>
            <w:r w:rsidRPr="00FB6C62">
              <w:tab/>
              <w:t>Interpreting measured values appropriately.</w:t>
            </w:r>
          </w:p>
          <w:p w:rsidR="00000000" w:rsidRPr="00FB6C62" w:rsidP="00FB6C62">
            <w:pPr>
              <w:pStyle w:val="BodyText"/>
            </w:pPr>
            <w:r w:rsidRPr="00FB6C62">
              <w:t>E</w:t>
            </w:r>
            <w:r w:rsidRPr="00FB6C62">
              <w:tab/>
              <w:t>Providing effective solutions to electrical safety system problem</w:t>
            </w:r>
            <w:r w:rsidRPr="00FB6C62">
              <w:t>s.</w:t>
            </w:r>
          </w:p>
          <w:p w:rsidR="00000000" w:rsidRPr="00FB6C62" w:rsidP="00FB6C62">
            <w:pPr>
              <w:pStyle w:val="BodyText"/>
            </w:pPr>
            <w:r w:rsidRPr="00FB6C62">
              <w:t>F</w:t>
            </w:r>
            <w:r w:rsidRPr="00FB6C62">
              <w:tab/>
              <w:t>Giving written justification of solutions provided.</w:t>
            </w:r>
          </w:p>
          <w:p w:rsidR="00000000" w:rsidRPr="00FB6C62" w:rsidP="00FB6C62">
            <w:pPr>
              <w:pStyle w:val="BodyText"/>
            </w:pPr>
            <w:r w:rsidRPr="00FB6C62">
              <w:t>G</w:t>
            </w:r>
            <w:r w:rsidRPr="00FB6C62">
              <w:tab/>
              <w:t>Dealing with unplanned events by drawing on essential knowledge and skills to provide appropriate solutions incorporated in the holistic assessment with the above listed items.</w:t>
            </w:r>
          </w:p>
        </w:tc>
      </w:tr>
    </w:tbl>
    <w:p w:rsidR="00000000" w:rsidRPr="00FB6C62" w:rsidP="00FB6C62">
      <w:pPr>
        <w:pStyle w:val="BodyText"/>
      </w:pPr>
    </w:p>
    <w:tbl>
      <w:tblPr>
        <w:tblW w:w="0" w:type="auto"/>
        <w:tblLayout w:type="fixed"/>
        <w:tblCellMar>
          <w:left w:w="62" w:type="dxa"/>
          <w:right w:w="62" w:type="dxa"/>
        </w:tblCellMar>
        <w:tblLook w:val="0000"/>
      </w:tblPr>
      <w:tblGrid>
        <w:gridCol w:w="1890"/>
        <w:gridCol w:w="6570"/>
      </w:tblGrid>
      <w:tr w:rsidTr="00DD051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9.3)</w:t>
            </w:r>
          </w:p>
        </w:tc>
      </w:tr>
      <w:tr w:rsidTr="00DD051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This unit should be assessed as it relates to normal work practice using procedures, information and resources typical of a workplace. This should include:</w:t>
            </w:r>
          </w:p>
          <w:p w:rsidR="00000000" w:rsidRPr="00FB6C62" w:rsidP="00FB6C62">
            <w:pPr>
              <w:pStyle w:val="ListBullet"/>
            </w:pPr>
            <w:r w:rsidRPr="00FB6C62">
              <w:t>OHS policy and work procedures and instruct</w:t>
            </w:r>
            <w:r w:rsidRPr="00FB6C62">
              <w:t>ions.</w:t>
            </w:r>
          </w:p>
          <w:p w:rsidR="00000000" w:rsidRPr="00FB6C62" w:rsidP="00FB6C62">
            <w:pPr>
              <w:pStyle w:val="ListBullet"/>
            </w:pPr>
            <w:r w:rsidRPr="00FB6C62">
              <w:t>Suitable work environment, facilities, equipment and materials to undertake actual work as prescribed by this unit.</w:t>
            </w:r>
          </w:p>
          <w:p w:rsidR="00000000" w:rsidRPr="00FB6C62" w:rsidP="00FB6C62">
            <w:pPr>
              <w:pStyle w:val="BodyText"/>
            </w:pPr>
            <w:r w:rsidRPr="00FB6C62">
              <w:t>These should be part of the formal learning/assessment environment.</w:t>
            </w:r>
          </w:p>
          <w:p w:rsidR="00000000" w:rsidRPr="00FB6C62" w:rsidP="00FB6C62">
            <w:pPr>
              <w:pStyle w:val="BodyText"/>
            </w:pPr>
            <w:r w:rsidRPr="00FB6C62">
              <w:t>Note:</w:t>
            </w:r>
          </w:p>
          <w:p w:rsidR="00000000" w:rsidRPr="00FB6C62" w:rsidP="00FB6C62">
            <w:pPr>
              <w:pStyle w:val="BodyText"/>
            </w:pPr>
            <w:r w:rsidRPr="00FB6C62">
              <w:t>Where simulation is considered a suitable strategy for assessment, conditions must be authentic and as far as possible reproduce and replicate the workplace and be consistent with the approved industry simulation policy.</w:t>
            </w:r>
          </w:p>
          <w:p w:rsidR="00000000" w:rsidRPr="00FB6C62" w:rsidP="00FB6C62">
            <w:pPr>
              <w:pStyle w:val="BodyText"/>
            </w:pPr>
            <w:r w:rsidRPr="00FB6C62">
              <w:t>The resources used for assessment s</w:t>
            </w:r>
            <w:r w:rsidRPr="00FB6C62">
              <w:t>hould reflect current industry practices in relation to installing and maintaining emergency systems.</w:t>
            </w:r>
          </w:p>
        </w:tc>
      </w:tr>
    </w:tbl>
    <w:p w:rsidR="00000000" w:rsidRPr="00FB6C62" w:rsidP="00FB6C62">
      <w:pPr>
        <w:pStyle w:val="BodyText"/>
      </w:pPr>
    </w:p>
    <w:tbl>
      <w:tblPr>
        <w:tblW w:w="0" w:type="auto"/>
        <w:tblLayout w:type="fixed"/>
        <w:tblCellMar>
          <w:left w:w="62" w:type="dxa"/>
          <w:right w:w="62" w:type="dxa"/>
        </w:tblCellMar>
        <w:tblLook w:val="0000"/>
      </w:tblPr>
      <w:tblGrid>
        <w:gridCol w:w="1890"/>
        <w:gridCol w:w="6570"/>
      </w:tblGrid>
      <w:tr w:rsidTr="00DD051D">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9.4)</w:t>
            </w:r>
          </w:p>
        </w:tc>
      </w:tr>
      <w:tr w:rsidTr="00DD0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This unit shall be assessed by methods given in Volume 1, Part 3 ‘Assessment Guidelines’.</w:t>
            </w:r>
          </w:p>
          <w:p w:rsidR="00000000" w:rsidRPr="00FB6C62" w:rsidP="00FB6C62">
            <w:pPr>
              <w:pStyle w:val="BodyText"/>
            </w:pPr>
            <w:r w:rsidRPr="00FB6C62">
              <w:t xml:space="preserve">Note: </w:t>
            </w:r>
          </w:p>
          <w:p w:rsidR="00000000" w:rsidRPr="00FB6C62" w:rsidP="00FB6C62">
            <w:pPr>
              <w:pStyle w:val="BodyText"/>
            </w:pPr>
            <w:r w:rsidRPr="00FB6C62">
              <w:t>Competent performance with inherent safe working practices is expected in the industry to which this unit applies. This requires assessment in a structured environment which is primarily intended for learning/assessment and incorporates all necessary equip</w:t>
            </w:r>
            <w:r w:rsidRPr="00FB6C62">
              <w:t>ment and facilities for learners to develop and demonstrate the essential knowledge and skills described in this unit.</w:t>
            </w:r>
          </w:p>
        </w:tc>
      </w:tr>
    </w:tbl>
    <w:p w:rsidR="00000000" w:rsidRPr="00FB6C62" w:rsidP="00FB6C62">
      <w:pPr>
        <w:pStyle w:val="BodyText"/>
      </w:pPr>
    </w:p>
    <w:tbl>
      <w:tblPr>
        <w:tblW w:w="0" w:type="auto"/>
        <w:tblLayout w:type="fixed"/>
        <w:tblCellMar>
          <w:left w:w="62" w:type="dxa"/>
          <w:right w:w="62" w:type="dxa"/>
        </w:tblCellMar>
        <w:tblLook w:val="0000"/>
      </w:tblPr>
      <w:tblGrid>
        <w:gridCol w:w="1890"/>
        <w:gridCol w:w="6570"/>
      </w:tblGrid>
      <w:tr w:rsidTr="00DD0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9.5)</w:t>
            </w:r>
          </w:p>
        </w:tc>
      </w:tr>
      <w:tr w:rsidTr="00DD05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For optimisation of training and assessment effort, competency developme</w:t>
            </w:r>
            <w:r w:rsidRPr="00FB6C62">
              <w:t>nt in this unit may be arranged concurrently with unit:</w:t>
            </w:r>
          </w:p>
          <w:p w:rsidR="00000000" w:rsidRPr="00FB6C62" w:rsidP="00FB6C62">
            <w:pPr>
              <w:pStyle w:val="BodyText"/>
            </w:pPr>
            <w:r w:rsidRPr="00FB6C62">
              <w:t>The critical aspects of occupational health and safety covered in unit UEENEEE101A and other discipline specific occupational health and safety units shall be incorporated in relation to this unit.</w:t>
            </w:r>
          </w:p>
        </w:tc>
      </w:tr>
    </w:tbl>
    <w:p w:rsidR="00000000" w:rsidRPr="00FB6C62" w:rsidP="00FB6C62">
      <w:pPr>
        <w:pStyle w:val="BodyText"/>
      </w:pPr>
    </w:p>
    <w:p w:rsidR="00000000" w:rsidRPr="00FB6C62" w:rsidP="00FB6C62">
      <w:pPr>
        <w:pStyle w:val="AllowPageBreak"/>
      </w:pPr>
    </w:p>
    <w:p w:rsidR="00000000" w:rsidRPr="00FB6C62" w:rsidP="00FB6C62">
      <w:pPr>
        <w:pStyle w:val="Heading1"/>
      </w:pPr>
      <w:bookmarkStart w:id="11" w:name="O_585097"/>
      <w:bookmarkEnd w:id="11"/>
      <w:r w:rsidRPr="00FB6C62">
        <w:t>Range Statement</w:t>
      </w:r>
    </w:p>
    <w:tbl>
      <w:tblPr>
        <w:tblW w:w="0" w:type="auto"/>
        <w:tblLayout w:type="fixed"/>
        <w:tblCellMar>
          <w:left w:w="62" w:type="dxa"/>
          <w:right w:w="62" w:type="dxa"/>
        </w:tblCellMar>
        <w:tblLook w:val="0000"/>
      </w:tblPr>
      <w:tblGrid>
        <w:gridCol w:w="8460"/>
      </w:tblGrid>
      <w:tr w:rsidTr="00DD05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RANGE STATEMENT</w:t>
            </w:r>
          </w:p>
        </w:tc>
      </w:tr>
      <w:tr w:rsidTr="00DD05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 xml:space="preserve">10) </w:t>
            </w:r>
            <w:r w:rsidRPr="00FB6C62">
              <w:t xml:space="preserve">This relates to the unit as a whole providing the range of contexts and conditions to which the </w:t>
            </w:r>
            <w:r w:rsidRPr="00FB6C62">
              <w:t>performance criteria apply. It allows for different work environments and situations that will affect performance.</w:t>
            </w:r>
          </w:p>
          <w:p w:rsidR="00000000" w:rsidRPr="00FB6C62" w:rsidP="00FB6C62">
            <w:pPr>
              <w:pStyle w:val="BodyText"/>
            </w:pPr>
            <w:r w:rsidRPr="00FB6C62">
              <w:t>This unit shall be demonstrated in relation to fire and smoke control, warning systems and emergency supplies.</w:t>
            </w:r>
          </w:p>
          <w:p w:rsidR="00000000" w:rsidRPr="00FB6C62" w:rsidP="00FB6C62">
            <w:pPr>
              <w:pStyle w:val="BodyText"/>
            </w:pPr>
            <w:r w:rsidRPr="00FB6C62">
              <w:t xml:space="preserve">Generic terms used throughout </w:t>
            </w:r>
            <w:r w:rsidRPr="00FB6C62">
              <w:t>this Vocational Standard shall be regarded as part of the Range Statement in which competency is demonstrated. The definition of these and other terms that apply are given in Volume 2, Part 2.1.</w:t>
            </w:r>
          </w:p>
        </w:tc>
      </w:tr>
    </w:tbl>
    <w:p w:rsidR="00000000" w:rsidRPr="00FB6C62" w:rsidP="00FB6C62">
      <w:pPr>
        <w:pStyle w:val="BodyText"/>
      </w:pPr>
    </w:p>
    <w:p w:rsidR="00000000" w:rsidRPr="00FB6C62" w:rsidP="00FB6C62">
      <w:pPr>
        <w:pStyle w:val="AllowPageBreak"/>
      </w:pPr>
    </w:p>
    <w:p w:rsidR="00000000" w:rsidRPr="00FB6C62" w:rsidP="00FB6C62">
      <w:pPr>
        <w:pStyle w:val="Heading1"/>
      </w:pPr>
      <w:bookmarkStart w:id="12" w:name="O_585096"/>
      <w:bookmarkEnd w:id="12"/>
      <w:r w:rsidRPr="00FB6C62">
        <w:t>Unit Sector(s)</w:t>
      </w:r>
    </w:p>
    <w:p w:rsidR="00000000" w:rsidRPr="00FB6C62" w:rsidP="00FB6C62">
      <w:pPr>
        <w:pStyle w:val="BodyText"/>
      </w:pPr>
      <w:r w:rsidRPr="00FB6C62">
        <w:t>Not applicable.</w:t>
      </w:r>
    </w:p>
    <w:p w:rsidR="00000000" w:rsidRPr="00FB6C62" w:rsidP="00FB6C62">
      <w:pPr>
        <w:pStyle w:val="AllowPageBreak"/>
      </w:pPr>
    </w:p>
    <w:p w:rsidR="00000000" w:rsidRPr="00FB6C62" w:rsidP="00FB6C62">
      <w:pPr>
        <w:pStyle w:val="Heading1"/>
      </w:pPr>
      <w:bookmarkStart w:id="13" w:name="O_585095"/>
      <w:bookmarkEnd w:id="13"/>
      <w:r w:rsidRPr="00FB6C62">
        <w:t>Competency Field</w:t>
      </w:r>
    </w:p>
    <w:tbl>
      <w:tblPr>
        <w:tblW w:w="0" w:type="auto"/>
        <w:tblLayout w:type="fixed"/>
        <w:tblCellMar>
          <w:left w:w="62" w:type="dxa"/>
          <w:right w:w="62" w:type="dxa"/>
        </w:tblCellMar>
        <w:tblLook w:val="0000"/>
      </w:tblPr>
      <w:tblGrid>
        <w:gridCol w:w="2700"/>
        <w:gridCol w:w="5760"/>
      </w:tblGrid>
      <w:tr w:rsidTr="00DD05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B6C62">
            <w:pPr>
              <w:pStyle w:val="BodyText"/>
              <w:rPr>
                <w:lang w:val="en-NZ"/>
              </w:rPr>
            </w:pPr>
            <w:r w:rsidRPr="00FB6C62">
              <w:rPr>
                <w:rStyle w:val="SpecialBold"/>
              </w:rPr>
              <w:t xml:space="preserve">11) </w:t>
            </w:r>
          </w:p>
        </w:tc>
      </w:tr>
      <w:tr w:rsidTr="00DD05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6C62" w:rsidP="00FB6C62">
            <w:pPr>
              <w:pStyle w:val="BodyText"/>
            </w:pPr>
            <w:r w:rsidRPr="00FB6C62">
              <w:t>Electrical</w:t>
            </w:r>
          </w:p>
        </w:tc>
      </w:tr>
    </w:tbl>
    <w:p w:rsidR="00000000" w:rsidRPr="00FB6C62" w:rsidP="00FB6C62">
      <w:pPr>
        <w:pStyle w:val="BodyText"/>
      </w:pPr>
    </w:p>
    <w:p w:rsidR="00000000" w:rsidRPr="00FB6C62" w:rsidP="00FB6C62"/>
    <w:sectPr w:rsidSect="00FB6C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62" w:rsidRPr="00DD051D" w:rsidP="00DD0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51D" w:rsidP="00FB6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D051D" w:rsidP="00FB6C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D051D" w:rsidP="00FB6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62" w:rsidRPr="00DD051D" w:rsidP="00DD05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51D" w:rsidRPr="002D2AF8" w:rsidP="00FB6C62">
    <w:pPr>
      <w:pStyle w:val="Header"/>
      <w:framePr w:wrap="around"/>
    </w:pPr>
    <w:r>
      <w:fldChar w:fldCharType="begin"/>
    </w:r>
    <w:r>
      <w:instrText xml:space="preserve"> TITLE   \* MERGEFORMAT </w:instrText>
    </w:r>
    <w:r>
      <w:fldChar w:fldCharType="separate"/>
    </w:r>
    <w:r>
      <w:t>UEENEEG113A Install and maintain emergency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D051D" w:rsidP="00FB6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467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605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1CA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C62"/>
    <w:pPr>
      <w:spacing w:before="360" w:after="60"/>
      <w:outlineLvl w:val="0"/>
    </w:pPr>
    <w:rPr>
      <w:sz w:val="32"/>
    </w:rPr>
  </w:style>
  <w:style w:type="paragraph" w:styleId="Heading2">
    <w:name w:val="heading 2"/>
    <w:basedOn w:val="HeadingBase"/>
    <w:next w:val="BodyText"/>
    <w:link w:val="Heading2Char"/>
    <w:qFormat/>
    <w:rsid w:val="00FB6C62"/>
    <w:pPr>
      <w:keepLines/>
      <w:spacing w:before="240" w:after="120"/>
      <w:outlineLvl w:val="1"/>
    </w:pPr>
    <w:rPr>
      <w:sz w:val="28"/>
      <w:szCs w:val="40"/>
    </w:rPr>
  </w:style>
  <w:style w:type="paragraph" w:styleId="Heading3">
    <w:name w:val="heading 3"/>
    <w:basedOn w:val="HeadingBase"/>
    <w:next w:val="BodyText"/>
    <w:link w:val="Heading3Char"/>
    <w:qFormat/>
    <w:rsid w:val="00FB6C62"/>
    <w:pPr>
      <w:spacing w:before="180" w:after="120"/>
      <w:outlineLvl w:val="2"/>
    </w:pPr>
    <w:rPr>
      <w:spacing w:val="-10"/>
      <w:kern w:val="32"/>
    </w:rPr>
  </w:style>
  <w:style w:type="paragraph" w:styleId="Heading4">
    <w:name w:val="heading 4"/>
    <w:basedOn w:val="HeadingBase"/>
    <w:next w:val="BodyText"/>
    <w:link w:val="Heading4Char"/>
    <w:qFormat/>
    <w:rsid w:val="00FB6C62"/>
    <w:pPr>
      <w:spacing w:before="160" w:after="120"/>
      <w:outlineLvl w:val="3"/>
    </w:pPr>
    <w:rPr>
      <w:sz w:val="22"/>
    </w:rPr>
  </w:style>
  <w:style w:type="paragraph" w:styleId="Heading5">
    <w:name w:val="heading 5"/>
    <w:basedOn w:val="HeadingBase"/>
    <w:next w:val="Normal"/>
    <w:link w:val="Heading5Char"/>
    <w:qFormat/>
    <w:rsid w:val="00FB6C62"/>
    <w:pPr>
      <w:spacing w:before="80"/>
      <w:outlineLvl w:val="4"/>
    </w:pPr>
    <w:rPr>
      <w:color w:val="918585"/>
      <w:sz w:val="20"/>
    </w:rPr>
  </w:style>
  <w:style w:type="paragraph" w:styleId="Heading6">
    <w:name w:val="heading 6"/>
    <w:basedOn w:val="HeadingBase"/>
    <w:next w:val="Normal"/>
    <w:link w:val="Heading6Char"/>
    <w:qFormat/>
    <w:rsid w:val="00FB6C62"/>
    <w:pPr>
      <w:spacing w:before="60"/>
      <w:outlineLvl w:val="5"/>
    </w:pPr>
    <w:rPr>
      <w:color w:val="918585"/>
      <w:sz w:val="20"/>
    </w:rPr>
  </w:style>
  <w:style w:type="paragraph" w:styleId="Heading7">
    <w:name w:val="heading 7"/>
    <w:basedOn w:val="Normal"/>
    <w:next w:val="Normal"/>
    <w:link w:val="Heading7Char"/>
    <w:qFormat/>
    <w:rsid w:val="00FB6C62"/>
    <w:pPr>
      <w:ind w:left="720"/>
      <w:outlineLvl w:val="6"/>
    </w:pPr>
    <w:rPr>
      <w:i/>
    </w:rPr>
  </w:style>
  <w:style w:type="paragraph" w:styleId="Heading8">
    <w:name w:val="heading 8"/>
    <w:basedOn w:val="Normal"/>
    <w:next w:val="Normal"/>
    <w:link w:val="Heading8Char"/>
    <w:qFormat/>
    <w:rsid w:val="00FB6C62"/>
    <w:pPr>
      <w:ind w:left="720"/>
      <w:outlineLvl w:val="7"/>
    </w:pPr>
    <w:rPr>
      <w:i/>
    </w:rPr>
  </w:style>
  <w:style w:type="paragraph" w:styleId="Heading9">
    <w:name w:val="heading 9"/>
    <w:basedOn w:val="Normal"/>
    <w:next w:val="Normal"/>
    <w:link w:val="Heading9Char"/>
    <w:qFormat/>
    <w:rsid w:val="00FB6C62"/>
    <w:pPr>
      <w:ind w:left="720"/>
      <w:outlineLvl w:val="8"/>
    </w:pPr>
    <w:rPr>
      <w:i/>
    </w:rPr>
  </w:style>
  <w:style w:type="character" w:default="1" w:styleId="DefaultParagraphFont">
    <w:name w:val="Default Paragraph Font"/>
    <w:uiPriority w:val="1"/>
    <w:unhideWhenUsed/>
    <w:rsid w:val="00FB6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C62"/>
  </w:style>
  <w:style w:type="character" w:customStyle="1" w:styleId="Heading1Char">
    <w:name w:val="Heading 1 Char"/>
    <w:basedOn w:val="DefaultParagraphFont"/>
    <w:link w:val="Heading1"/>
    <w:rsid w:val="00FB6C62"/>
    <w:rPr>
      <w:rFonts w:ascii="Times New Roman" w:eastAsia="Times New Roman" w:hAnsi="Times New Roman" w:cs="Times New Roman"/>
      <w:b/>
      <w:sz w:val="32"/>
      <w:szCs w:val="20"/>
      <w:lang w:eastAsia="en-US"/>
    </w:rPr>
  </w:style>
  <w:style w:type="paragraph" w:styleId="BodyText">
    <w:name w:val="Body Text"/>
    <w:basedOn w:val="Normal"/>
    <w:link w:val="BodyTextChar"/>
    <w:rsid w:val="00FB6C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C62"/>
    <w:rPr>
      <w:rFonts w:ascii="Times New Roman" w:eastAsia="Times New Roman" w:hAnsi="Times New Roman" w:cs="Times New Roman"/>
      <w:sz w:val="24"/>
      <w:lang w:eastAsia="en-US"/>
    </w:rPr>
  </w:style>
  <w:style w:type="paragraph" w:styleId="ListBullet">
    <w:name w:val="List Bullet"/>
    <w:basedOn w:val="List"/>
    <w:rsid w:val="00FB6C62"/>
    <w:pPr>
      <w:numPr>
        <w:numId w:val="13"/>
      </w:numPr>
      <w:tabs>
        <w:tab w:val="clear" w:pos="340"/>
      </w:tabs>
      <w:spacing w:before="40" w:after="40"/>
    </w:pPr>
  </w:style>
  <w:style w:type="character" w:customStyle="1" w:styleId="SpecialBold">
    <w:name w:val="Special Bold"/>
    <w:basedOn w:val="DefaultParagraphFont"/>
    <w:rsid w:val="00FB6C62"/>
    <w:rPr>
      <w:b/>
      <w:spacing w:val="0"/>
    </w:rPr>
  </w:style>
  <w:style w:type="paragraph" w:styleId="ListBullet2">
    <w:name w:val="List Bullet 2"/>
    <w:basedOn w:val="List2"/>
    <w:rsid w:val="00FB6C62"/>
    <w:pPr>
      <w:numPr>
        <w:numId w:val="14"/>
      </w:numPr>
      <w:tabs>
        <w:tab w:val="clear" w:pos="680"/>
      </w:tabs>
    </w:pPr>
  </w:style>
  <w:style w:type="paragraph" w:customStyle="1" w:styleId="SuperHeading">
    <w:name w:val="SuperHeading"/>
    <w:basedOn w:val="Normal"/>
    <w:rsid w:val="00FB6C62"/>
    <w:pPr>
      <w:spacing w:before="240" w:after="120"/>
      <w:outlineLvl w:val="0"/>
    </w:pPr>
    <w:rPr>
      <w:rFonts w:ascii="Times New Roman" w:hAnsi="Times New Roman"/>
      <w:b/>
      <w:sz w:val="32"/>
    </w:rPr>
  </w:style>
  <w:style w:type="paragraph" w:customStyle="1" w:styleId="AllowPageBreak">
    <w:name w:val="AllowPageBreak"/>
    <w:rsid w:val="00FB6C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C62"/>
    <w:rPr>
      <w:rFonts w:ascii="Courier New" w:eastAsia="Times New Roman" w:hAnsi="Courier New" w:cs="Times New Roman"/>
      <w:i/>
      <w:szCs w:val="20"/>
      <w:lang w:eastAsia="en-US"/>
    </w:rPr>
  </w:style>
  <w:style w:type="paragraph" w:customStyle="1" w:styleId="HeadingBase">
    <w:name w:val="Heading Base"/>
    <w:rsid w:val="00FB6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C62"/>
    <w:pPr>
      <w:tabs>
        <w:tab w:val="right" w:leader="dot" w:pos="9072"/>
      </w:tabs>
      <w:ind w:left="567"/>
    </w:pPr>
    <w:rPr>
      <w:szCs w:val="22"/>
    </w:rPr>
  </w:style>
  <w:style w:type="paragraph" w:customStyle="1" w:styleId="TOCBase">
    <w:name w:val="TOC Base"/>
    <w:rsid w:val="00FB6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C62"/>
    <w:pPr>
      <w:tabs>
        <w:tab w:val="right" w:leader="dot" w:pos="9072"/>
      </w:tabs>
      <w:spacing w:before="40" w:after="40"/>
      <w:ind w:left="284"/>
    </w:pPr>
    <w:rPr>
      <w:rFonts w:ascii="Times New Roman" w:hAnsi="Times New Roman"/>
    </w:rPr>
  </w:style>
  <w:style w:type="paragraph" w:styleId="TOC1">
    <w:name w:val="toc 1"/>
    <w:basedOn w:val="TOCBase"/>
    <w:next w:val="Normal"/>
    <w:rsid w:val="00FB6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C62"/>
    <w:rPr>
      <w:rFonts w:ascii="Times New Roman" w:eastAsia="Times New Roman" w:hAnsi="Times New Roman" w:cs="Times New Roman"/>
      <w:sz w:val="16"/>
      <w:lang w:eastAsia="en-US"/>
    </w:rPr>
  </w:style>
  <w:style w:type="paragraph" w:styleId="Title">
    <w:name w:val="Title"/>
    <w:basedOn w:val="HeadingBase"/>
    <w:link w:val="TitleChar"/>
    <w:qFormat/>
    <w:rsid w:val="00FB6C62"/>
    <w:pPr>
      <w:spacing w:before="5040"/>
      <w:jc w:val="center"/>
    </w:pPr>
    <w:rPr>
      <w:sz w:val="48"/>
      <w:szCs w:val="72"/>
      <w:lang w:val="en-US"/>
    </w:rPr>
  </w:style>
  <w:style w:type="character" w:customStyle="1" w:styleId="TitleChar">
    <w:name w:val="Title Char"/>
    <w:basedOn w:val="DefaultParagraphFont"/>
    <w:link w:val="Title"/>
    <w:rsid w:val="00FB6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C62"/>
    <w:pPr>
      <w:tabs>
        <w:tab w:val="left" w:pos="3600"/>
        <w:tab w:val="left" w:pos="3958"/>
      </w:tabs>
    </w:pPr>
  </w:style>
  <w:style w:type="paragraph" w:styleId="List">
    <w:name w:val="List"/>
    <w:basedOn w:val="BodyText"/>
    <w:next w:val="BodyText"/>
    <w:rsid w:val="00FB6C62"/>
    <w:pPr>
      <w:tabs>
        <w:tab w:val="left" w:pos="340"/>
      </w:tabs>
      <w:spacing w:before="60" w:after="60"/>
      <w:ind w:left="340" w:hanging="340"/>
    </w:pPr>
  </w:style>
  <w:style w:type="paragraph" w:customStyle="1" w:styleId="Note">
    <w:name w:val="Note"/>
    <w:basedOn w:val="BodyText"/>
    <w:rsid w:val="00FB6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C62"/>
    <w:pPr>
      <w:framePr w:wrap="auto" w:hAnchor="text" w:y="6049"/>
    </w:pPr>
    <w:rPr>
      <w:color w:val="000000"/>
      <w:sz w:val="40"/>
    </w:rPr>
  </w:style>
  <w:style w:type="paragraph" w:customStyle="1" w:styleId="TOCTitle">
    <w:name w:val="TOCTitle"/>
    <w:basedOn w:val="Heading1"/>
    <w:rsid w:val="00FB6C62"/>
    <w:pPr>
      <w:spacing w:after="240"/>
      <w:jc w:val="center"/>
      <w:outlineLvl w:val="9"/>
    </w:pPr>
    <w:rPr>
      <w:caps/>
    </w:rPr>
  </w:style>
  <w:style w:type="paragraph" w:customStyle="1" w:styleId="Version">
    <w:name w:val="Version"/>
    <w:rsid w:val="00FB6C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C62"/>
    <w:pPr>
      <w:keepNext w:val="0"/>
      <w:tabs>
        <w:tab w:val="right" w:pos="4176"/>
      </w:tabs>
      <w:ind w:left="198" w:hanging="198"/>
    </w:pPr>
    <w:rPr>
      <w:rFonts w:ascii="Garamond" w:hAnsi="Garamond"/>
    </w:rPr>
  </w:style>
  <w:style w:type="paragraph" w:styleId="IndexHeading">
    <w:name w:val="index heading"/>
    <w:basedOn w:val="Normal"/>
    <w:next w:val="Index1"/>
    <w:semiHidden/>
    <w:rsid w:val="00FB6C62"/>
    <w:pPr>
      <w:spacing w:before="120" w:after="120"/>
    </w:pPr>
    <w:rPr>
      <w:rFonts w:ascii="Arial" w:hAnsi="Arial"/>
      <w:b/>
      <w:color w:val="918585"/>
      <w:sz w:val="24"/>
    </w:rPr>
  </w:style>
  <w:style w:type="paragraph" w:styleId="Header">
    <w:name w:val="header"/>
    <w:basedOn w:val="Normal"/>
    <w:link w:val="HeaderChar"/>
    <w:rsid w:val="00FB6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C62"/>
    <w:rPr>
      <w:rFonts w:ascii="Times New Roman" w:eastAsia="Times New Roman" w:hAnsi="Times New Roman" w:cs="Times New Roman"/>
      <w:sz w:val="16"/>
      <w:szCs w:val="20"/>
      <w:lang w:val="en-GB" w:eastAsia="en-US"/>
    </w:rPr>
  </w:style>
  <w:style w:type="paragraph" w:customStyle="1" w:styleId="Chapter">
    <w:name w:val="Chapter"/>
    <w:basedOn w:val="Normal"/>
    <w:rsid w:val="00FB6C62"/>
    <w:pPr>
      <w:spacing w:before="240"/>
    </w:pPr>
    <w:rPr>
      <w:rFonts w:ascii="Times New Roman" w:hAnsi="Times New Roman"/>
      <w:smallCaps/>
      <w:spacing w:val="80"/>
      <w:sz w:val="28"/>
    </w:rPr>
  </w:style>
  <w:style w:type="paragraph" w:customStyle="1" w:styleId="InChapter">
    <w:name w:val="InChapter"/>
    <w:basedOn w:val="Heading3"/>
    <w:rsid w:val="00FB6C62"/>
    <w:pPr>
      <w:spacing w:after="240"/>
      <w:outlineLvl w:val="9"/>
    </w:pPr>
    <w:rPr>
      <w:noProof/>
    </w:rPr>
  </w:style>
  <w:style w:type="paragraph" w:styleId="Index2">
    <w:name w:val="index 2"/>
    <w:basedOn w:val="Normal"/>
    <w:next w:val="Normal"/>
    <w:semiHidden/>
    <w:rsid w:val="00FB6C62"/>
    <w:pPr>
      <w:tabs>
        <w:tab w:val="right" w:pos="4176"/>
      </w:tabs>
      <w:ind w:left="568" w:hanging="284"/>
    </w:pPr>
    <w:rPr>
      <w:rFonts w:ascii="Garamond" w:hAnsi="Garamond"/>
    </w:rPr>
  </w:style>
  <w:style w:type="paragraph" w:customStyle="1" w:styleId="Byline">
    <w:name w:val="Byline"/>
    <w:rsid w:val="00FB6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C62"/>
    <w:pPr>
      <w:tabs>
        <w:tab w:val="clear" w:pos="3600"/>
        <w:tab w:val="clear" w:pos="3958"/>
      </w:tabs>
      <w:jc w:val="right"/>
    </w:pPr>
  </w:style>
  <w:style w:type="character" w:styleId="Emphasis">
    <w:name w:val="Emphasis"/>
    <w:basedOn w:val="DefaultParagraphFont"/>
    <w:qFormat/>
    <w:rsid w:val="00FB6C62"/>
    <w:rPr>
      <w:i/>
    </w:rPr>
  </w:style>
  <w:style w:type="paragraph" w:styleId="Caption">
    <w:name w:val="caption"/>
    <w:basedOn w:val="BodyText"/>
    <w:next w:val="Normal"/>
    <w:qFormat/>
    <w:rsid w:val="00FB6C62"/>
    <w:pPr>
      <w:framePr w:w="2268" w:hSpace="181" w:vSpace="181" w:wrap="around" w:vAnchor="text" w:hAnchor="page" w:x="1135" w:y="285" w:anchorLock="1"/>
    </w:pPr>
    <w:rPr>
      <w:i/>
    </w:rPr>
  </w:style>
  <w:style w:type="paragraph" w:customStyle="1" w:styleId="MiniTOCTitle">
    <w:name w:val="MiniTOCTitle"/>
    <w:basedOn w:val="Heading4"/>
    <w:rsid w:val="00FB6C62"/>
    <w:pPr>
      <w:spacing w:before="240"/>
      <w:outlineLvl w:val="9"/>
    </w:pPr>
    <w:rPr>
      <w:noProof/>
      <w:sz w:val="24"/>
    </w:rPr>
  </w:style>
  <w:style w:type="paragraph" w:customStyle="1" w:styleId="MiniTOCItem">
    <w:name w:val="MiniTOCItem"/>
    <w:basedOn w:val="ListBullet"/>
    <w:rsid w:val="00FB6C62"/>
    <w:pPr>
      <w:numPr>
        <w:numId w:val="0"/>
      </w:numPr>
      <w:tabs>
        <w:tab w:val="right" w:leader="dot" w:pos="6521"/>
      </w:tabs>
      <w:spacing w:before="0" w:after="0"/>
    </w:pPr>
  </w:style>
  <w:style w:type="paragraph" w:customStyle="1" w:styleId="TOFTitle">
    <w:name w:val="TOFTitle"/>
    <w:basedOn w:val="TOCTitle"/>
    <w:rsid w:val="00FB6C62"/>
  </w:style>
  <w:style w:type="paragraph" w:styleId="TableofFigures">
    <w:name w:val="table of figures"/>
    <w:basedOn w:val="Normal"/>
    <w:next w:val="Normal"/>
    <w:semiHidden/>
    <w:rsid w:val="00FB6C62"/>
    <w:pPr>
      <w:tabs>
        <w:tab w:val="right" w:leader="dot" w:pos="9072"/>
      </w:tabs>
      <w:ind w:left="970" w:hanging="403"/>
    </w:pPr>
    <w:rPr>
      <w:rFonts w:ascii="Times New Roman" w:hAnsi="Times New Roman"/>
      <w:b/>
    </w:rPr>
  </w:style>
  <w:style w:type="paragraph" w:styleId="ListNumber">
    <w:name w:val="List Number"/>
    <w:basedOn w:val="List"/>
    <w:rsid w:val="00FB6C62"/>
    <w:pPr>
      <w:numPr>
        <w:numId w:val="11"/>
      </w:numPr>
    </w:pPr>
  </w:style>
  <w:style w:type="character" w:customStyle="1" w:styleId="WingdingSymbols">
    <w:name w:val="Wingding Symbols"/>
    <w:rsid w:val="00FB6C62"/>
    <w:rPr>
      <w:rFonts w:ascii="Wingdings" w:hAnsi="Wingdings"/>
    </w:rPr>
  </w:style>
  <w:style w:type="paragraph" w:customStyle="1" w:styleId="TableHeading">
    <w:name w:val="Table Heading"/>
    <w:basedOn w:val="HeadingBase"/>
    <w:rsid w:val="00FB6C62"/>
    <w:pPr>
      <w:keepLines/>
      <w:pBdr>
        <w:bottom w:val="single" w:sz="6" w:space="1" w:color="918585"/>
      </w:pBdr>
      <w:spacing w:before="240"/>
    </w:pPr>
  </w:style>
  <w:style w:type="character" w:customStyle="1" w:styleId="HotSpot">
    <w:name w:val="HotSpot"/>
    <w:rsid w:val="00FB6C62"/>
    <w:rPr>
      <w:color w:val="0033CC"/>
      <w:u w:val="none"/>
    </w:rPr>
  </w:style>
  <w:style w:type="paragraph" w:customStyle="1" w:styleId="BodyTextRight">
    <w:name w:val="Body Text Right"/>
    <w:basedOn w:val="BodyText"/>
    <w:rsid w:val="00FB6C62"/>
    <w:pPr>
      <w:spacing w:before="0" w:after="0"/>
      <w:jc w:val="right"/>
    </w:pPr>
  </w:style>
  <w:style w:type="paragraph" w:styleId="Index3">
    <w:name w:val="index 3"/>
    <w:basedOn w:val="ListNumber2"/>
    <w:next w:val="Normal"/>
    <w:semiHidden/>
    <w:rsid w:val="00FB6C62"/>
    <w:pPr>
      <w:numPr>
        <w:numId w:val="0"/>
      </w:numPr>
      <w:tabs>
        <w:tab w:val="right" w:leader="dot" w:pos="4176"/>
      </w:tabs>
    </w:pPr>
  </w:style>
  <w:style w:type="paragraph" w:styleId="ListNumber2">
    <w:name w:val="List Number 2"/>
    <w:basedOn w:val="List2"/>
    <w:rsid w:val="00FB6C62"/>
    <w:pPr>
      <w:numPr>
        <w:numId w:val="10"/>
      </w:numPr>
      <w:tabs>
        <w:tab w:val="clear" w:pos="1060"/>
      </w:tabs>
    </w:pPr>
  </w:style>
  <w:style w:type="paragraph" w:customStyle="1" w:styleId="MarginNote">
    <w:name w:val="Margin Note"/>
    <w:basedOn w:val="BodyText"/>
    <w:rsid w:val="00FB6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C62"/>
    <w:rPr>
      <w:sz w:val="32"/>
    </w:rPr>
  </w:style>
  <w:style w:type="paragraph" w:customStyle="1" w:styleId="HeadingProcedure">
    <w:name w:val="Heading Procedure"/>
    <w:basedOn w:val="HeadingBase"/>
    <w:next w:val="Normal"/>
    <w:rsid w:val="00FB6C62"/>
    <w:pPr>
      <w:tabs>
        <w:tab w:val="left" w:pos="0"/>
      </w:tabs>
      <w:spacing w:before="120" w:after="60"/>
    </w:pPr>
    <w:rPr>
      <w:i/>
      <w:color w:val="918585"/>
      <w:sz w:val="22"/>
    </w:rPr>
  </w:style>
  <w:style w:type="paragraph" w:customStyle="1" w:styleId="TableBodyText">
    <w:name w:val="Table Body Text"/>
    <w:basedOn w:val="BodyText"/>
    <w:rsid w:val="00FB6C62"/>
    <w:pPr>
      <w:spacing w:before="60" w:after="60"/>
    </w:pPr>
  </w:style>
  <w:style w:type="paragraph" w:styleId="ListContinue">
    <w:name w:val="List Continue"/>
    <w:basedOn w:val="List"/>
    <w:rsid w:val="00FB6C62"/>
    <w:pPr>
      <w:ind w:firstLine="0"/>
    </w:pPr>
  </w:style>
  <w:style w:type="paragraph" w:customStyle="1" w:styleId="ListNote">
    <w:name w:val="List Note"/>
    <w:basedOn w:val="List"/>
    <w:rsid w:val="00FB6C62"/>
    <w:pPr>
      <w:pBdr>
        <w:top w:val="single" w:sz="6" w:space="2" w:color="918585"/>
        <w:bottom w:val="single" w:sz="6" w:space="2" w:color="918585"/>
      </w:pBdr>
      <w:tabs>
        <w:tab w:val="left" w:pos="1021"/>
      </w:tabs>
      <w:ind w:firstLine="0"/>
    </w:pPr>
  </w:style>
  <w:style w:type="paragraph" w:customStyle="1" w:styleId="Warning">
    <w:name w:val="Warning"/>
    <w:basedOn w:val="BodyText"/>
    <w:rsid w:val="00FB6C62"/>
    <w:pPr>
      <w:shd w:val="clear" w:color="auto" w:fill="D9D9D9"/>
      <w:tabs>
        <w:tab w:val="left" w:pos="992"/>
      </w:tabs>
      <w:ind w:left="119" w:right="119"/>
    </w:pPr>
    <w:rPr>
      <w:sz w:val="20"/>
    </w:rPr>
  </w:style>
  <w:style w:type="paragraph" w:customStyle="1" w:styleId="MarginIcons">
    <w:name w:val="Margin Icons"/>
    <w:basedOn w:val="BodyText"/>
    <w:rsid w:val="00FB6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C62"/>
    <w:rPr>
      <w:rFonts w:ascii="Courier New" w:hAnsi="Courier New"/>
    </w:rPr>
  </w:style>
  <w:style w:type="paragraph" w:customStyle="1" w:styleId="NoteBullet">
    <w:name w:val="Note Bullet"/>
    <w:basedOn w:val="Note"/>
    <w:rsid w:val="00FB6C62"/>
    <w:pPr>
      <w:tabs>
        <w:tab w:val="clear" w:pos="680"/>
      </w:tabs>
      <w:spacing w:before="60" w:after="60"/>
    </w:pPr>
  </w:style>
  <w:style w:type="paragraph" w:customStyle="1" w:styleId="SubHeading2">
    <w:name w:val="SubHeading2"/>
    <w:basedOn w:val="HeadingBase"/>
    <w:rsid w:val="00FB6C62"/>
    <w:pPr>
      <w:spacing w:before="240" w:after="60"/>
    </w:pPr>
    <w:rPr>
      <w:sz w:val="20"/>
    </w:rPr>
  </w:style>
  <w:style w:type="paragraph" w:customStyle="1" w:styleId="SubHeading1">
    <w:name w:val="SubHeading1"/>
    <w:basedOn w:val="HeadingBase"/>
    <w:rsid w:val="00FB6C62"/>
    <w:pPr>
      <w:spacing w:before="240" w:after="60"/>
    </w:pPr>
    <w:rPr>
      <w:color w:val="918585"/>
      <w:sz w:val="22"/>
    </w:rPr>
  </w:style>
  <w:style w:type="paragraph" w:customStyle="1" w:styleId="SideHeading">
    <w:name w:val="Side Heading"/>
    <w:basedOn w:val="HeadingBase"/>
    <w:rsid w:val="00FB6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C62"/>
    <w:pPr>
      <w:numPr>
        <w:numId w:val="12"/>
      </w:numPr>
    </w:pPr>
  </w:style>
  <w:style w:type="paragraph" w:styleId="PlainText">
    <w:name w:val="Plain Text"/>
    <w:basedOn w:val="Normal"/>
    <w:link w:val="PlainTextChar"/>
    <w:rsid w:val="00FB6C62"/>
    <w:rPr>
      <w:sz w:val="20"/>
    </w:rPr>
  </w:style>
  <w:style w:type="character" w:customStyle="1" w:styleId="PlainTextChar">
    <w:name w:val="Plain Text Char"/>
    <w:basedOn w:val="DefaultParagraphFont"/>
    <w:link w:val="PlainText"/>
    <w:rsid w:val="00FB6C62"/>
    <w:rPr>
      <w:rFonts w:ascii="Courier New" w:eastAsia="Times New Roman" w:hAnsi="Courier New" w:cs="Times New Roman"/>
      <w:sz w:val="20"/>
      <w:szCs w:val="20"/>
      <w:lang w:eastAsia="en-US"/>
    </w:rPr>
  </w:style>
  <w:style w:type="character" w:customStyle="1" w:styleId="MenuOption">
    <w:name w:val="Menu Option"/>
    <w:basedOn w:val="DefaultParagraphFont"/>
    <w:rsid w:val="00FB6C62"/>
    <w:rPr>
      <w:b/>
      <w:smallCaps/>
    </w:rPr>
  </w:style>
  <w:style w:type="paragraph" w:customStyle="1" w:styleId="TableListNumber">
    <w:name w:val="Table List Number"/>
    <w:basedOn w:val="ListNumber"/>
    <w:rsid w:val="00FB6C62"/>
    <w:pPr>
      <w:numPr>
        <w:numId w:val="0"/>
      </w:numPr>
    </w:pPr>
  </w:style>
  <w:style w:type="paragraph" w:styleId="TOC4">
    <w:name w:val="toc 4"/>
    <w:basedOn w:val="TOCBase"/>
    <w:next w:val="Normal"/>
    <w:semiHidden/>
    <w:rsid w:val="00FB6C62"/>
    <w:pPr>
      <w:tabs>
        <w:tab w:val="right" w:leader="dot" w:pos="9071"/>
      </w:tabs>
      <w:ind w:left="1701"/>
    </w:pPr>
  </w:style>
  <w:style w:type="paragraph" w:customStyle="1" w:styleId="ListAlpha">
    <w:name w:val="List Alpha"/>
    <w:basedOn w:val="List"/>
    <w:rsid w:val="00FB6C62"/>
    <w:pPr>
      <w:numPr>
        <w:numId w:val="9"/>
      </w:numPr>
    </w:pPr>
  </w:style>
  <w:style w:type="paragraph" w:customStyle="1" w:styleId="ListAlpha2">
    <w:name w:val="List Alpha 2"/>
    <w:basedOn w:val="List2"/>
    <w:rsid w:val="00FB6C62"/>
    <w:pPr>
      <w:numPr>
        <w:numId w:val="8"/>
      </w:numPr>
    </w:pPr>
  </w:style>
  <w:style w:type="paragraph" w:styleId="List2">
    <w:name w:val="List 2"/>
    <w:basedOn w:val="BodyText"/>
    <w:rsid w:val="00FB6C62"/>
    <w:pPr>
      <w:tabs>
        <w:tab w:val="left" w:pos="680"/>
      </w:tabs>
      <w:spacing w:before="60" w:after="60"/>
      <w:ind w:left="680" w:hanging="340"/>
    </w:pPr>
  </w:style>
  <w:style w:type="paragraph" w:styleId="List3">
    <w:name w:val="List 3"/>
    <w:basedOn w:val="BodyText"/>
    <w:rsid w:val="00FB6C62"/>
    <w:pPr>
      <w:tabs>
        <w:tab w:val="left" w:pos="1021"/>
      </w:tabs>
      <w:spacing w:before="60" w:after="60"/>
      <w:ind w:left="1020" w:hanging="340"/>
    </w:pPr>
  </w:style>
  <w:style w:type="paragraph" w:styleId="List4">
    <w:name w:val="List 4"/>
    <w:basedOn w:val="BodyText"/>
    <w:rsid w:val="00FB6C62"/>
    <w:pPr>
      <w:tabs>
        <w:tab w:val="left" w:pos="1361"/>
      </w:tabs>
      <w:spacing w:before="60" w:after="60"/>
      <w:ind w:left="1361" w:hanging="340"/>
    </w:pPr>
  </w:style>
  <w:style w:type="paragraph" w:styleId="List5">
    <w:name w:val="List 5"/>
    <w:basedOn w:val="BodyText"/>
    <w:rsid w:val="00FB6C62"/>
    <w:pPr>
      <w:tabs>
        <w:tab w:val="left" w:pos="1701"/>
      </w:tabs>
      <w:spacing w:before="60" w:after="60"/>
      <w:ind w:left="1701" w:hanging="340"/>
    </w:pPr>
  </w:style>
  <w:style w:type="paragraph" w:styleId="ListBullet3">
    <w:name w:val="List Bullet 3"/>
    <w:basedOn w:val="List3"/>
    <w:rsid w:val="00FB6C62"/>
    <w:pPr>
      <w:numPr>
        <w:numId w:val="15"/>
      </w:numPr>
      <w:tabs>
        <w:tab w:val="clear" w:pos="1021"/>
      </w:tabs>
      <w:ind w:left="1037" w:hanging="357"/>
    </w:pPr>
  </w:style>
  <w:style w:type="paragraph" w:styleId="ListBullet4">
    <w:name w:val="List Bullet 4"/>
    <w:basedOn w:val="List4"/>
    <w:rsid w:val="00FB6C62"/>
    <w:pPr>
      <w:numPr>
        <w:numId w:val="3"/>
      </w:numPr>
    </w:pPr>
  </w:style>
  <w:style w:type="paragraph" w:styleId="ListBullet5">
    <w:name w:val="List Bullet 5"/>
    <w:basedOn w:val="List5"/>
    <w:rsid w:val="00FB6C62"/>
    <w:pPr>
      <w:numPr>
        <w:numId w:val="4"/>
      </w:numPr>
    </w:pPr>
  </w:style>
  <w:style w:type="paragraph" w:styleId="ListContinue2">
    <w:name w:val="List Continue 2"/>
    <w:basedOn w:val="List2"/>
    <w:rsid w:val="00FB6C62"/>
    <w:pPr>
      <w:ind w:firstLine="0"/>
    </w:pPr>
  </w:style>
  <w:style w:type="paragraph" w:styleId="ListContinue3">
    <w:name w:val="List Continue 3"/>
    <w:basedOn w:val="List3"/>
    <w:rsid w:val="00FB6C62"/>
    <w:pPr>
      <w:ind w:left="1021" w:firstLine="0"/>
    </w:pPr>
  </w:style>
  <w:style w:type="paragraph" w:styleId="ListContinue4">
    <w:name w:val="List Continue 4"/>
    <w:basedOn w:val="List4"/>
    <w:rsid w:val="00FB6C62"/>
    <w:pPr>
      <w:ind w:firstLine="0"/>
    </w:pPr>
  </w:style>
  <w:style w:type="paragraph" w:styleId="ListContinue5">
    <w:name w:val="List Continue 5"/>
    <w:basedOn w:val="List5"/>
    <w:rsid w:val="00FB6C62"/>
    <w:pPr>
      <w:ind w:firstLine="0"/>
    </w:pPr>
  </w:style>
  <w:style w:type="paragraph" w:styleId="ListNumber3">
    <w:name w:val="List Number 3"/>
    <w:basedOn w:val="List3"/>
    <w:rsid w:val="00FB6C62"/>
    <w:pPr>
      <w:numPr>
        <w:numId w:val="5"/>
      </w:numPr>
    </w:pPr>
  </w:style>
  <w:style w:type="paragraph" w:styleId="ListNumber4">
    <w:name w:val="List Number 4"/>
    <w:basedOn w:val="List4"/>
    <w:rsid w:val="00FB6C62"/>
    <w:pPr>
      <w:numPr>
        <w:numId w:val="6"/>
      </w:numPr>
    </w:pPr>
  </w:style>
  <w:style w:type="paragraph" w:styleId="ListNumber5">
    <w:name w:val="List Number 5"/>
    <w:basedOn w:val="List5"/>
    <w:rsid w:val="00FB6C62"/>
    <w:pPr>
      <w:numPr>
        <w:numId w:val="7"/>
      </w:numPr>
    </w:pPr>
  </w:style>
  <w:style w:type="paragraph" w:styleId="BlockText">
    <w:name w:val="Block Text"/>
    <w:basedOn w:val="Normal"/>
    <w:rsid w:val="00FB6C62"/>
    <w:pPr>
      <w:spacing w:after="120"/>
      <w:ind w:left="1440" w:right="1440"/>
    </w:pPr>
  </w:style>
  <w:style w:type="character" w:customStyle="1" w:styleId="Subscript">
    <w:name w:val="Subscript"/>
    <w:basedOn w:val="DefaultParagraphFont"/>
    <w:rsid w:val="00FB6C62"/>
    <w:rPr>
      <w:sz w:val="16"/>
      <w:vertAlign w:val="subscript"/>
    </w:rPr>
  </w:style>
  <w:style w:type="character" w:customStyle="1" w:styleId="Superscript">
    <w:name w:val="Superscript"/>
    <w:basedOn w:val="DefaultParagraphFont"/>
    <w:rsid w:val="00FB6C62"/>
    <w:rPr>
      <w:sz w:val="16"/>
      <w:vertAlign w:val="superscript"/>
    </w:rPr>
  </w:style>
  <w:style w:type="character" w:customStyle="1" w:styleId="Symbols">
    <w:name w:val="Symbols"/>
    <w:basedOn w:val="DefaultParagraphFont"/>
    <w:rsid w:val="00FB6C62"/>
    <w:rPr>
      <w:rFonts w:ascii="Symbol" w:hAnsi="Symbol"/>
    </w:rPr>
  </w:style>
  <w:style w:type="character" w:customStyle="1" w:styleId="MenuOptions">
    <w:name w:val="Menu Options"/>
    <w:basedOn w:val="DefaultParagraphFont"/>
    <w:rsid w:val="00FB6C62"/>
    <w:rPr>
      <w:rFonts w:ascii="Arial Narrow" w:hAnsi="Arial Narrow"/>
      <w:smallCaps/>
    </w:rPr>
  </w:style>
  <w:style w:type="character" w:customStyle="1" w:styleId="Buttons">
    <w:name w:val="Buttons"/>
    <w:basedOn w:val="DefaultParagraphFont"/>
    <w:rsid w:val="00FB6C62"/>
    <w:rPr>
      <w:b/>
    </w:rPr>
  </w:style>
  <w:style w:type="character" w:customStyle="1" w:styleId="Underlined">
    <w:name w:val="Underlined"/>
    <w:basedOn w:val="DefaultParagraphFont"/>
    <w:rsid w:val="00FB6C62"/>
    <w:rPr>
      <w:u w:val="single"/>
    </w:rPr>
  </w:style>
  <w:style w:type="paragraph" w:customStyle="1" w:styleId="TableBodyTextRight">
    <w:name w:val="Table Body Text Right"/>
    <w:basedOn w:val="TableBodyText"/>
    <w:rsid w:val="00FB6C62"/>
    <w:pPr>
      <w:widowControl w:val="0"/>
      <w:autoSpaceDE w:val="0"/>
      <w:autoSpaceDN w:val="0"/>
      <w:adjustRightInd w:val="0"/>
      <w:jc w:val="right"/>
    </w:pPr>
    <w:rPr>
      <w:rFonts w:cs="Arial"/>
      <w:szCs w:val="18"/>
    </w:rPr>
  </w:style>
  <w:style w:type="paragraph" w:customStyle="1" w:styleId="CopyrightText">
    <w:name w:val="Copyright Text"/>
    <w:basedOn w:val="BodyText"/>
    <w:rsid w:val="00FB6C62"/>
    <w:rPr>
      <w:sz w:val="18"/>
    </w:rPr>
  </w:style>
  <w:style w:type="paragraph" w:customStyle="1" w:styleId="BodySmallRight">
    <w:name w:val="Body Small Right"/>
    <w:basedOn w:val="BodyTextRight"/>
    <w:rsid w:val="00FB6C62"/>
    <w:rPr>
      <w:sz w:val="18"/>
      <w:szCs w:val="18"/>
    </w:rPr>
  </w:style>
  <w:style w:type="paragraph" w:customStyle="1" w:styleId="MarginEdition">
    <w:name w:val="Margin Edition"/>
    <w:basedOn w:val="MarginNote"/>
    <w:rsid w:val="00FB6C62"/>
    <w:pPr>
      <w:spacing w:before="0" w:after="0"/>
    </w:pPr>
    <w:rPr>
      <w:rFonts w:ascii="Times New Roman" w:hAnsi="Times New Roman"/>
      <w:color w:val="999999"/>
    </w:rPr>
  </w:style>
  <w:style w:type="paragraph" w:customStyle="1" w:styleId="Spacer">
    <w:name w:val="Spacer"/>
    <w:basedOn w:val="Normal"/>
    <w:rsid w:val="00FB6C62"/>
    <w:rPr>
      <w:sz w:val="2"/>
      <w:szCs w:val="2"/>
    </w:rPr>
  </w:style>
  <w:style w:type="character" w:customStyle="1" w:styleId="Small">
    <w:name w:val="Small"/>
    <w:basedOn w:val="DefaultParagraphFont"/>
    <w:rsid w:val="00FB6C62"/>
    <w:rPr>
      <w:sz w:val="16"/>
    </w:rPr>
  </w:style>
  <w:style w:type="paragraph" w:customStyle="1" w:styleId="WideTable">
    <w:name w:val="Wide Table"/>
    <w:basedOn w:val="Normal"/>
    <w:rsid w:val="00FB6C62"/>
    <w:pPr>
      <w:ind w:left="-1418"/>
    </w:pPr>
    <w:rPr>
      <w:sz w:val="2"/>
      <w:szCs w:val="2"/>
    </w:rPr>
  </w:style>
  <w:style w:type="character" w:styleId="PageNumber">
    <w:name w:val="page number"/>
    <w:basedOn w:val="DefaultParagraphFont"/>
    <w:rsid w:val="00FB6C62"/>
  </w:style>
  <w:style w:type="paragraph" w:styleId="Quote">
    <w:name w:val="Quote"/>
    <w:basedOn w:val="Heading1"/>
    <w:link w:val="QuoteChar"/>
    <w:qFormat/>
    <w:rsid w:val="00FB6C62"/>
    <w:rPr>
      <w:b w:val="0"/>
      <w:sz w:val="72"/>
      <w:szCs w:val="72"/>
      <w:lang w:val="en-NZ"/>
    </w:rPr>
  </w:style>
  <w:style w:type="character" w:customStyle="1" w:styleId="QuoteChar">
    <w:name w:val="Quote Char"/>
    <w:basedOn w:val="DefaultParagraphFont"/>
    <w:link w:val="Quote"/>
    <w:rsid w:val="00FB6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C62"/>
    <w:pPr>
      <w:pageBreakBefore/>
    </w:pPr>
  </w:style>
  <w:style w:type="paragraph" w:customStyle="1" w:styleId="Border">
    <w:name w:val="Border"/>
    <w:basedOn w:val="Normal"/>
    <w:qFormat/>
    <w:rsid w:val="00FB6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C62"/>
    <w:rPr>
      <w:b/>
      <w:bCs/>
      <w:i/>
      <w:iCs/>
      <w:color w:val="auto"/>
    </w:rPr>
  </w:style>
  <w:style w:type="paragraph" w:styleId="IntenseQuote">
    <w:name w:val="Intense Quote"/>
    <w:basedOn w:val="Normal"/>
    <w:next w:val="Normal"/>
    <w:link w:val="IntenseQuoteChar"/>
    <w:uiPriority w:val="30"/>
    <w:qFormat/>
    <w:rsid w:val="00FB6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C62"/>
    <w:rPr>
      <w:smallCaps/>
      <w:color w:val="auto"/>
      <w:u w:val="single"/>
    </w:rPr>
  </w:style>
  <w:style w:type="character" w:styleId="IntenseReference">
    <w:name w:val="Intense Reference"/>
    <w:basedOn w:val="DefaultParagraphFont"/>
    <w:uiPriority w:val="32"/>
    <w:qFormat/>
    <w:rsid w:val="00FB6C62"/>
    <w:rPr>
      <w:b/>
      <w:bCs/>
      <w:smallCaps/>
      <w:color w:val="auto"/>
      <w:spacing w:val="5"/>
      <w:u w:val="single"/>
    </w:rPr>
  </w:style>
  <w:style w:type="paragraph" w:customStyle="1" w:styleId="2ColumnHeading">
    <w:name w:val="2Column Heading"/>
    <w:basedOn w:val="BodyText"/>
    <w:qFormat/>
    <w:rsid w:val="00FB6C62"/>
    <w:pPr>
      <w:spacing w:after="60"/>
      <w:ind w:left="-2268"/>
    </w:pPr>
    <w:rPr>
      <w:b/>
    </w:rPr>
  </w:style>
  <w:style w:type="paragraph" w:customStyle="1" w:styleId="Heading1TOC">
    <w:name w:val="Heading1 TOC"/>
    <w:basedOn w:val="Normal"/>
    <w:qFormat/>
    <w:rsid w:val="00FB6C62"/>
    <w:pPr>
      <w:spacing w:before="240" w:after="120"/>
    </w:pPr>
    <w:rPr>
      <w:rFonts w:ascii="Times New Roman" w:hAnsi="Times New Roman"/>
      <w:b/>
      <w:sz w:val="32"/>
    </w:rPr>
  </w:style>
  <w:style w:type="paragraph" w:customStyle="1" w:styleId="Heading2TOC">
    <w:name w:val="Heading2 TOC"/>
    <w:basedOn w:val="Normal"/>
    <w:qFormat/>
    <w:rsid w:val="00FB6C62"/>
    <w:pPr>
      <w:spacing w:before="240" w:after="60"/>
    </w:pPr>
    <w:rPr>
      <w:rFonts w:ascii="Times New Roman" w:hAnsi="Times New Roman"/>
      <w:b/>
      <w:sz w:val="28"/>
    </w:rPr>
  </w:style>
  <w:style w:type="character" w:customStyle="1" w:styleId="Underline">
    <w:name w:val="Underline"/>
    <w:basedOn w:val="DefaultParagraphFont"/>
    <w:qFormat/>
    <w:rsid w:val="00FB6C62"/>
    <w:rPr>
      <w:u w:val="single"/>
    </w:rPr>
  </w:style>
  <w:style w:type="character" w:customStyle="1" w:styleId="BoldandItalics">
    <w:name w:val="Bold and Italics"/>
    <w:qFormat/>
    <w:rsid w:val="00FB6C62"/>
    <w:rPr>
      <w:b/>
      <w:i/>
      <w:u w:val="none"/>
    </w:rPr>
  </w:style>
  <w:style w:type="paragraph" w:styleId="BalloonText">
    <w:name w:val="Balloon Text"/>
    <w:basedOn w:val="Normal"/>
    <w:link w:val="BalloonTextChar"/>
    <w:rsid w:val="00FB6C62"/>
    <w:rPr>
      <w:rFonts w:ascii="Tahoma" w:hAnsi="Tahoma" w:cs="Tahoma"/>
      <w:sz w:val="16"/>
      <w:szCs w:val="16"/>
    </w:rPr>
  </w:style>
  <w:style w:type="character" w:customStyle="1" w:styleId="BalloonTextChar">
    <w:name w:val="Balloon Text Char"/>
    <w:basedOn w:val="DefaultParagraphFont"/>
    <w:link w:val="BalloonText"/>
    <w:rsid w:val="00FB6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C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C62"/>
    <w:rPr>
      <w:b/>
      <w:color w:val="660033"/>
      <w:spacing w:val="0"/>
    </w:rPr>
  </w:style>
  <w:style w:type="paragraph" w:customStyle="1" w:styleId="Nameditemlist">
    <w:name w:val="Named item list"/>
    <w:basedOn w:val="BodyText"/>
    <w:qFormat/>
    <w:rsid w:val="00FB6C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2162</Words>
  <Characters>13279</Characters>
  <Application>Microsoft Office Word</Application>
  <DocSecurity>0</DocSecurity>
  <Lines>542</Lines>
  <Paragraphs>209</Paragraphs>
  <ScaleCrop>false</ScaleCrop>
  <Company>Author-it Software Corporation Ltd.</Company>
  <LinksUpToDate>false</LinksUpToDate>
  <CharactersWithSpaces>15291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UEENEEG113A Install and maintain emergency safety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2013-08-14T07:30:00Z</dcterms:created>
  <dcterms:modified xsi:type="dcterms:W3CDTF">2013-08-14T07:30:00Z</dcterms:modified>
</cp:coreProperties>
</file>