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1F5C" w:rsidP="00531F5C">
      <w:pPr>
        <w:pStyle w:val="Title"/>
      </w:pPr>
      <w:r>
        <w:fldChar w:fldCharType="begin"/>
      </w:r>
      <w:r>
        <w:instrText xml:space="preserve"> TITLE   \* MERGEFORMAT </w:instrText>
      </w:r>
      <w:r>
        <w:fldChar w:fldCharType="separate"/>
      </w:r>
      <w:r>
        <w:t>UEENEEG111A Carry out basic repairs to electrical components and equipment</w:t>
      </w:r>
      <w:r>
        <w:fldChar w:fldCharType="end"/>
      </w:r>
    </w:p>
    <w:p w:rsidR="00531F5C" w:rsidP="00531F5C">
      <w:pPr>
        <w:pStyle w:val="Version"/>
        <w:sectPr w:rsidSect="00CF29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F29FD" w:rsidP="00CF29FD">
      <w:pPr>
        <w:pStyle w:val="SuperHeading"/>
      </w:pPr>
      <w:r w:rsidRPr="00CF29FD">
        <w:t>UEENEEG111A Carry out basic repairs to electrical components and equipment</w:t>
      </w:r>
    </w:p>
    <w:p w:rsidR="00000000" w:rsidRPr="00CF29FD" w:rsidP="00CF29FD">
      <w:pPr>
        <w:pStyle w:val="Heading1"/>
      </w:pPr>
      <w:bookmarkStart w:id="1" w:name="O_585093"/>
      <w:bookmarkEnd w:id="1"/>
      <w:r w:rsidRPr="00CF29FD">
        <w:t>Modification History</w:t>
      </w:r>
    </w:p>
    <w:p w:rsidR="00000000" w:rsidRPr="00CF29FD" w:rsidP="00CF29FD">
      <w:pPr>
        <w:pStyle w:val="BodyText"/>
      </w:pPr>
      <w:r w:rsidRPr="00CF29FD">
        <w:t>Not applicable.</w:t>
      </w:r>
    </w:p>
    <w:p w:rsidR="00000000" w:rsidRPr="00CF29FD" w:rsidP="00CF29FD">
      <w:pPr>
        <w:pStyle w:val="AllowPageBreak"/>
      </w:pPr>
    </w:p>
    <w:p w:rsidR="00000000" w:rsidRPr="00CF29FD" w:rsidP="00CF29FD">
      <w:pPr>
        <w:pStyle w:val="Heading1"/>
      </w:pPr>
      <w:bookmarkStart w:id="2" w:name="O_585092"/>
      <w:bookmarkEnd w:id="2"/>
      <w:r w:rsidRPr="00CF29FD">
        <w:t>Unit Descriptor</w:t>
      </w:r>
    </w:p>
    <w:tbl>
      <w:tblPr>
        <w:tblW w:w="0" w:type="auto"/>
        <w:tblLayout w:type="fixed"/>
        <w:tblCellMar>
          <w:left w:w="62" w:type="dxa"/>
          <w:right w:w="62" w:type="dxa"/>
        </w:tblCellMar>
        <w:tblLook w:val="0000"/>
      </w:tblPr>
      <w:tblGrid>
        <w:gridCol w:w="2700"/>
        <w:gridCol w:w="5760"/>
      </w:tblGrid>
      <w:tr w:rsidTr="00531F5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F29FD" w:rsidP="00CF29FD">
            <w:pPr>
              <w:pStyle w:val="BodyText"/>
            </w:pPr>
            <w:r w:rsidRPr="00CF29F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rPr>
                <w:rStyle w:val="SpecialBold"/>
              </w:rPr>
              <w:t>1)</w:t>
            </w:r>
            <w:r w:rsidRPr="00CF29FD">
              <w:t xml:space="preserve"> </w:t>
            </w:r>
            <w:r w:rsidRPr="00CF29FD">
              <w:rPr>
                <w:rStyle w:val="SpecialBold"/>
              </w:rPr>
              <w:t>Scope:</w:t>
            </w:r>
          </w:p>
        </w:tc>
      </w:tr>
      <w:tr w:rsidTr="00531F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F29F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rPr>
                <w:rStyle w:val="SpecialBold"/>
              </w:rPr>
              <w:t>1.1) Descriptor</w:t>
            </w:r>
          </w:p>
        </w:tc>
      </w:tr>
      <w:tr w:rsidTr="00531F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F29FD" w:rsidP="00CF29FD">
            <w:pPr>
              <w:pStyle w:val="BodyText"/>
            </w:pPr>
            <w:r w:rsidRPr="00CF29FD">
              <w:t>This unit deals with the repair and/or replacement of mechanical and electrical components of electrical apparatus. It encompasses safe working practices, following written and oral instruction and procedures, basic testing and techniques for dismantling a</w:t>
            </w:r>
            <w:r w:rsidRPr="00CF29FD">
              <w:t>nd assembling apparatus and disconnecting and reconnecting components</w:t>
            </w:r>
          </w:p>
        </w:tc>
      </w:tr>
    </w:tbl>
    <w:p w:rsidR="00000000" w:rsidRPr="00CF29FD" w:rsidP="00CF29FD">
      <w:pPr>
        <w:pStyle w:val="BodyText"/>
      </w:pPr>
    </w:p>
    <w:p w:rsidR="00000000" w:rsidRPr="00CF29FD" w:rsidP="00CF29FD">
      <w:pPr>
        <w:pStyle w:val="AllowPageBreak"/>
      </w:pPr>
    </w:p>
    <w:p w:rsidR="00000000" w:rsidRPr="00CF29FD" w:rsidP="00CF29FD">
      <w:pPr>
        <w:pStyle w:val="Heading1"/>
      </w:pPr>
      <w:bookmarkStart w:id="3" w:name="O_585091"/>
      <w:bookmarkEnd w:id="3"/>
      <w:r w:rsidRPr="00CF29FD">
        <w:t>Application of the Unit</w:t>
      </w:r>
    </w:p>
    <w:tbl>
      <w:tblPr>
        <w:tblW w:w="0" w:type="auto"/>
        <w:tblLayout w:type="fixed"/>
        <w:tblCellMar>
          <w:left w:w="62" w:type="dxa"/>
          <w:right w:w="62" w:type="dxa"/>
        </w:tblCellMar>
        <w:tblLook w:val="0000"/>
      </w:tblPr>
      <w:tblGrid>
        <w:gridCol w:w="2672"/>
        <w:gridCol w:w="5699"/>
      </w:tblGrid>
      <w:tr w:rsidTr="00531F5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CF29FD" w:rsidP="00CF29FD">
            <w:pPr>
              <w:pStyle w:val="BodyText"/>
            </w:pPr>
            <w:r w:rsidRPr="00CF29FD">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rPr>
                <w:rStyle w:val="SpecialBold"/>
              </w:rPr>
              <w:t>2)</w:t>
            </w:r>
          </w:p>
        </w:tc>
      </w:tr>
      <w:tr w:rsidTr="00531F5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F29FD" w:rsidP="00CF29FD">
            <w:pPr>
              <w:pStyle w:val="BodyText"/>
            </w:pPr>
            <w:r w:rsidRPr="00CF29FD">
              <w:t>This unit may apply to persons entering work in electrotechnology and may be used in school based vocational programs.</w:t>
            </w:r>
          </w:p>
        </w:tc>
      </w:tr>
    </w:tbl>
    <w:p w:rsidR="00000000" w:rsidRPr="00CF29FD" w:rsidP="00CF29FD">
      <w:pPr>
        <w:pStyle w:val="BodyText"/>
      </w:pPr>
    </w:p>
    <w:p w:rsidR="00000000" w:rsidRPr="00CF29FD" w:rsidP="00CF29FD">
      <w:pPr>
        <w:pStyle w:val="AllowPageBreak"/>
      </w:pPr>
    </w:p>
    <w:p w:rsidR="00000000" w:rsidRPr="00CF29FD" w:rsidP="00CF29FD">
      <w:pPr>
        <w:pStyle w:val="Heading1"/>
      </w:pPr>
      <w:bookmarkStart w:id="4" w:name="O_585090"/>
      <w:bookmarkEnd w:id="4"/>
      <w:r w:rsidRPr="00CF29FD">
        <w:t>Licensing/Regulatory Information</w:t>
      </w:r>
    </w:p>
    <w:tbl>
      <w:tblPr>
        <w:tblW w:w="0" w:type="auto"/>
        <w:tblLayout w:type="fixed"/>
        <w:tblCellMar>
          <w:left w:w="62" w:type="dxa"/>
          <w:right w:w="62" w:type="dxa"/>
        </w:tblCellMar>
        <w:tblLook w:val="0000"/>
      </w:tblPr>
      <w:tblGrid>
        <w:gridCol w:w="2700"/>
        <w:gridCol w:w="5760"/>
      </w:tblGrid>
      <w:tr w:rsidTr="00531F5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F29FD" w:rsidP="00CF29FD">
            <w:pPr>
              <w:pStyle w:val="BodyText"/>
            </w:pPr>
            <w:r w:rsidRPr="00CF29F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rPr>
                <w:rStyle w:val="SpecialBold"/>
              </w:rPr>
              <w:t xml:space="preserve">3) </w:t>
            </w:r>
          </w:p>
        </w:tc>
      </w:tr>
      <w:tr w:rsidTr="00531F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F29FD" w:rsidP="00CF29FD">
            <w:pPr>
              <w:pStyle w:val="BodyText"/>
            </w:pPr>
            <w:r w:rsidRPr="00CF29FD">
              <w:t>The skills and knowledge described in this unit do not requ</w:t>
            </w:r>
            <w:r w:rsidRPr="00CF29FD">
              <w:t>ire a license to practice in the workplace provided equipment is not connected to installation wiring at voltage above 50 V a.c. or 120 V d.c. However, practice in this unit is subject to regulations directly related to occupational health and safety and w</w:t>
            </w:r>
            <w:r w:rsidRPr="00CF29FD">
              <w:t>here applicable contracts of training such as apprenticeships.</w:t>
            </w:r>
          </w:p>
          <w:p w:rsidR="00000000" w:rsidRPr="00CF29FD" w:rsidP="00CF29FD">
            <w:pPr>
              <w:pStyle w:val="BodyText"/>
            </w:pPr>
            <w:r w:rsidRPr="00CF29FD">
              <w:t xml:space="preserve">Note: </w:t>
            </w:r>
          </w:p>
          <w:p w:rsidR="00000000" w:rsidRPr="00CF29FD" w:rsidP="00CF29FD">
            <w:pPr>
              <w:pStyle w:val="BodyText"/>
            </w:pPr>
            <w:r w:rsidRPr="00CF29FD">
              <w:t>1. Compliance with permits may be required</w:t>
            </w:r>
            <w:r w:rsidRPr="00CF29FD">
              <w:t xml:space="preserve"> in various jurisdictions and typically relates to the operation of plant, machinery and equipment such as elevating work platforms, powder operated fixing tools, power operated tools, vehicles, road signage and traffic control and lifting equipment. Permi</w:t>
            </w:r>
            <w:r w:rsidRPr="00CF29FD">
              <w:t>ts may also be required for some work environments such as confined spaces, working aloft, near live electrical apparatus and site rehabilitation.</w:t>
            </w:r>
          </w:p>
          <w:p w:rsidR="00000000" w:rsidRPr="00CF29FD" w:rsidP="00CF29FD">
            <w:pPr>
              <w:pStyle w:val="BodyText"/>
            </w:pPr>
            <w:r w:rsidRPr="00CF29FD">
              <w:t>2. Compliance may be required in various jurisdictions relating to currency in First Aid, confined space, lif</w:t>
            </w:r>
            <w:r w:rsidRPr="00CF29FD">
              <w:t>ting and risk safety measures.</w:t>
            </w:r>
          </w:p>
        </w:tc>
      </w:tr>
    </w:tbl>
    <w:p w:rsidR="00000000" w:rsidRPr="00CF29FD" w:rsidP="00CF29FD">
      <w:pPr>
        <w:pStyle w:val="BodyText"/>
      </w:pPr>
    </w:p>
    <w:p w:rsidR="00000000" w:rsidRPr="00CF29FD" w:rsidP="00CF29FD">
      <w:pPr>
        <w:pStyle w:val="AllowPageBreak"/>
      </w:pPr>
    </w:p>
    <w:p w:rsidR="00000000" w:rsidRPr="00CF29FD" w:rsidP="00CF29FD">
      <w:pPr>
        <w:pStyle w:val="Heading1"/>
      </w:pPr>
      <w:bookmarkStart w:id="5" w:name="O_585088"/>
      <w:bookmarkEnd w:id="5"/>
      <w:r w:rsidRPr="00CF29FD">
        <w:t>Pre-Requisites</w:t>
      </w:r>
    </w:p>
    <w:tbl>
      <w:tblPr>
        <w:tblW w:w="0" w:type="auto"/>
        <w:tblLayout w:type="fixed"/>
        <w:tblCellMar>
          <w:left w:w="62" w:type="dxa"/>
          <w:right w:w="62" w:type="dxa"/>
        </w:tblCellMar>
        <w:tblLook w:val="0000"/>
      </w:tblPr>
      <w:tblGrid>
        <w:gridCol w:w="2700"/>
        <w:gridCol w:w="1710"/>
        <w:gridCol w:w="4050"/>
      </w:tblGrid>
      <w:tr w:rsidTr="00531F5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F29FD" w:rsidP="00CF29FD">
            <w:pPr>
              <w:pStyle w:val="BodyText"/>
            </w:pPr>
            <w:r w:rsidRPr="00CF29FD">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rPr>
                <w:rStyle w:val="SpecialBold"/>
              </w:rPr>
              <w:t xml:space="preserve">4) </w:t>
            </w:r>
          </w:p>
        </w:tc>
      </w:tr>
      <w:tr w:rsidTr="00531F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F29FD" w:rsidP="00CF29FD">
            <w:pPr>
              <w:pStyle w:val="BodyText"/>
            </w:pPr>
            <w:r w:rsidRPr="00CF29FD">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rPr>
                <w:rStyle w:val="SpecialBold"/>
              </w:rPr>
              <w:t>4.1)</w:t>
            </w:r>
          </w:p>
        </w:tc>
      </w:tr>
      <w:tr w:rsidTr="00531F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t>Granting competency in this unit shall be made only after competency in the following unit(s) has/have been confirmed.</w:t>
            </w:r>
          </w:p>
        </w:tc>
      </w:tr>
      <w:tr w:rsidTr="00531F5C">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t>UEENEEE101A</w:t>
            </w:r>
          </w:p>
        </w:tc>
        <w:tc>
          <w:tcPr>
            <w:tcW w:w="4050" w:type="dxa"/>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t>Apply Occupational Health and Safety regulations, codes and practices in the workplace</w:t>
            </w:r>
          </w:p>
        </w:tc>
      </w:tr>
      <w:tr w:rsidTr="00531F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t>UEENEEE102A</w:t>
            </w:r>
          </w:p>
        </w:tc>
        <w:tc>
          <w:tcPr>
            <w:tcW w:w="4050" w:type="dxa"/>
            <w:tcBorders>
              <w:top w:val="nil"/>
              <w:left w:val="nil"/>
              <w:bottom w:val="nil"/>
              <w:right w:val="nil"/>
            </w:tcBorders>
            <w:tcMar>
              <w:top w:w="0" w:type="dxa"/>
              <w:left w:w="62" w:type="dxa"/>
              <w:bottom w:w="0" w:type="dxa"/>
              <w:right w:w="62" w:type="dxa"/>
            </w:tcMar>
          </w:tcPr>
          <w:p w:rsidR="00000000" w:rsidRPr="00CF29FD" w:rsidP="00CF29FD">
            <w:pPr>
              <w:pStyle w:val="BodyText"/>
            </w:pPr>
            <w:r w:rsidRPr="00CF29FD">
              <w:t>Fabricate, assemble and dismantle utilities industry components</w:t>
            </w:r>
          </w:p>
        </w:tc>
      </w:tr>
    </w:tbl>
    <w:p w:rsidR="00000000" w:rsidRPr="00CF29FD" w:rsidP="00CF29F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531F5C">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CF29FD" w:rsidP="00CF29FD">
            <w:pPr>
              <w:pStyle w:val="BodyText"/>
            </w:pPr>
            <w:r w:rsidRPr="00CF29F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rPr>
                <w:rStyle w:val="SpecialBold"/>
              </w:rPr>
              <w:t xml:space="preserve">4.2) </w:t>
            </w:r>
          </w:p>
        </w:tc>
      </w:tr>
      <w:tr w:rsidTr="00531F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t>Participants are best equipped to achieve competency in this unit if they have reading, writing and numeracy skills indicated by the following scales. Description of each scale is given in Volume 2, Part 3 ‘Literacy and Numeracy’</w:t>
            </w:r>
          </w:p>
        </w:tc>
      </w:tr>
      <w:tr w:rsidTr="00531F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t>Reading</w:t>
            </w:r>
          </w:p>
        </w:tc>
        <w:tc>
          <w:tcPr>
            <w:tcW w:w="810" w:type="dxa"/>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t>3</w:t>
            </w:r>
          </w:p>
        </w:tc>
        <w:tc>
          <w:tcPr>
            <w:tcW w:w="990" w:type="dxa"/>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t>Writing</w:t>
            </w:r>
          </w:p>
        </w:tc>
        <w:tc>
          <w:tcPr>
            <w:tcW w:w="900" w:type="dxa"/>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t>3</w:t>
            </w:r>
          </w:p>
        </w:tc>
        <w:tc>
          <w:tcPr>
            <w:tcW w:w="1260" w:type="dxa"/>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t>Numeracy</w:t>
            </w:r>
          </w:p>
        </w:tc>
        <w:tc>
          <w:tcPr>
            <w:tcW w:w="720" w:type="dxa"/>
            <w:tcBorders>
              <w:top w:val="nil"/>
              <w:left w:val="nil"/>
              <w:bottom w:val="nil"/>
              <w:right w:val="nil"/>
            </w:tcBorders>
            <w:tcMar>
              <w:top w:w="0" w:type="dxa"/>
              <w:left w:w="62" w:type="dxa"/>
              <w:bottom w:w="0" w:type="dxa"/>
              <w:right w:w="62" w:type="dxa"/>
            </w:tcMar>
          </w:tcPr>
          <w:p w:rsidR="00000000" w:rsidRPr="00CF29FD" w:rsidP="00CF29FD">
            <w:pPr>
              <w:pStyle w:val="BodyText"/>
            </w:pPr>
            <w:r w:rsidRPr="00CF29FD">
              <w:t>3</w:t>
            </w:r>
          </w:p>
        </w:tc>
      </w:tr>
    </w:tbl>
    <w:p w:rsidR="00000000" w:rsidRPr="00CF29FD" w:rsidP="00CF29FD">
      <w:pPr>
        <w:pStyle w:val="BodyText"/>
      </w:pPr>
    </w:p>
    <w:p w:rsidR="00000000" w:rsidRPr="00CF29FD" w:rsidP="00CF29FD">
      <w:pPr>
        <w:pStyle w:val="AllowPageBreak"/>
      </w:pPr>
    </w:p>
    <w:p w:rsidR="00000000" w:rsidRPr="00CF29FD" w:rsidP="00CF29FD">
      <w:pPr>
        <w:pStyle w:val="Heading1"/>
      </w:pPr>
      <w:bookmarkStart w:id="6" w:name="O_585086"/>
      <w:bookmarkEnd w:id="6"/>
      <w:r w:rsidRPr="00CF29FD">
        <w:t>Employability Skills Information</w:t>
      </w:r>
    </w:p>
    <w:tbl>
      <w:tblPr>
        <w:tblW w:w="0" w:type="auto"/>
        <w:tblLayout w:type="fixed"/>
        <w:tblCellMar>
          <w:left w:w="62" w:type="dxa"/>
          <w:right w:w="62" w:type="dxa"/>
        </w:tblCellMar>
        <w:tblLook w:val="0000"/>
      </w:tblPr>
      <w:tblGrid>
        <w:gridCol w:w="2700"/>
        <w:gridCol w:w="5760"/>
      </w:tblGrid>
      <w:tr w:rsidTr="00531F5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F29FD" w:rsidP="00CF29FD">
            <w:pPr>
              <w:pStyle w:val="BodyText"/>
            </w:pPr>
            <w:r w:rsidRPr="00CF29F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rPr>
                <w:rStyle w:val="SpecialBold"/>
              </w:rPr>
              <w:t xml:space="preserve">5) </w:t>
            </w:r>
          </w:p>
        </w:tc>
      </w:tr>
      <w:tr w:rsidTr="00531F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F29FD" w:rsidP="00CF29FD">
            <w:pPr>
              <w:pStyle w:val="BodyText"/>
            </w:pPr>
            <w:r w:rsidRPr="00CF29FD">
              <w:t>This unit contains Employability Skills</w:t>
            </w:r>
          </w:p>
          <w:p w:rsidR="00000000" w:rsidRPr="00CF29FD" w:rsidP="00CF29FD">
            <w:pPr>
              <w:pStyle w:val="BodyText"/>
            </w:pPr>
            <w:r w:rsidRPr="00CF29FD">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CF29FD">
              <w:t>requirements.</w:t>
            </w:r>
          </w:p>
        </w:tc>
      </w:tr>
    </w:tbl>
    <w:p w:rsidR="00000000" w:rsidRPr="00CF29FD" w:rsidP="00CF29FD">
      <w:pPr>
        <w:pStyle w:val="BodyText"/>
      </w:pPr>
    </w:p>
    <w:p w:rsidR="00000000" w:rsidRPr="00CF29FD" w:rsidP="00CF29FD">
      <w:pPr>
        <w:pStyle w:val="AllowPageBreak"/>
      </w:pPr>
    </w:p>
    <w:p w:rsidR="00000000" w:rsidRPr="00CF29FD" w:rsidP="00CF29FD">
      <w:pPr>
        <w:pStyle w:val="Heading1"/>
      </w:pPr>
      <w:bookmarkStart w:id="7" w:name="O_585084"/>
      <w:bookmarkEnd w:id="7"/>
      <w:r w:rsidRPr="00CF29FD">
        <w:t>Elements and Performance Criteria Pre-Content</w:t>
      </w:r>
    </w:p>
    <w:tbl>
      <w:tblPr>
        <w:tblW w:w="0" w:type="auto"/>
        <w:tblLayout w:type="fixed"/>
        <w:tblCellMar>
          <w:left w:w="62" w:type="dxa"/>
          <w:right w:w="62" w:type="dxa"/>
        </w:tblCellMar>
        <w:tblLook w:val="0000"/>
      </w:tblPr>
      <w:tblGrid>
        <w:gridCol w:w="2700"/>
        <w:gridCol w:w="5760"/>
      </w:tblGrid>
      <w:tr w:rsidTr="00531F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rPr>
                <w:rStyle w:val="SpecialBold"/>
              </w:rPr>
              <w:t>6)</w:t>
            </w:r>
            <w:r w:rsidRPr="00CF29FD">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F29FD" w:rsidP="00CF29FD">
            <w:pPr>
              <w:pStyle w:val="BodyText"/>
            </w:pPr>
            <w:r w:rsidRPr="00CF29FD">
              <w:t>Performance Criteria describe the required performance needed to demonstrate achievement of the element</w:t>
            </w:r>
            <w:r w:rsidRPr="00CF29FD">
              <w:t>. Assessment of performance is to be consistent with the Evidence Guide.</w:t>
            </w:r>
          </w:p>
        </w:tc>
      </w:tr>
    </w:tbl>
    <w:p w:rsidR="00000000" w:rsidRPr="00CF29FD" w:rsidP="00CF29FD">
      <w:pPr>
        <w:pStyle w:val="BodyText"/>
      </w:pPr>
    </w:p>
    <w:p w:rsidR="00000000" w:rsidRPr="00CF29FD" w:rsidP="00CF29FD">
      <w:pPr>
        <w:pStyle w:val="AllowPageBreak"/>
      </w:pPr>
    </w:p>
    <w:p w:rsidR="00000000" w:rsidRPr="00CF29FD" w:rsidP="00CF29FD">
      <w:pPr>
        <w:pStyle w:val="Heading1"/>
      </w:pPr>
      <w:bookmarkStart w:id="8" w:name="O_585082"/>
      <w:bookmarkEnd w:id="8"/>
      <w:r w:rsidRPr="00CF29FD">
        <w:t>Elements and Performance Criteria</w:t>
      </w:r>
    </w:p>
    <w:tbl>
      <w:tblPr>
        <w:tblW w:w="0" w:type="auto"/>
        <w:tblLayout w:type="fixed"/>
        <w:tblCellMar>
          <w:left w:w="62" w:type="dxa"/>
          <w:right w:w="62" w:type="dxa"/>
        </w:tblCellMar>
        <w:tblLook w:val="0000"/>
      </w:tblPr>
      <w:tblGrid>
        <w:gridCol w:w="413"/>
        <w:gridCol w:w="2065"/>
        <w:gridCol w:w="222"/>
        <w:gridCol w:w="604"/>
        <w:gridCol w:w="4460"/>
        <w:gridCol w:w="696"/>
      </w:tblGrid>
      <w:tr w:rsidTr="00531F5C">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CF29FD" w:rsidP="00CF29FD">
            <w:pPr>
              <w:pStyle w:val="BodyText"/>
            </w:pPr>
            <w:r w:rsidRPr="00CF29FD">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rPr>
                <w:rStyle w:val="SpecialBold"/>
              </w:rPr>
              <w:t>PERFORMANCE CRITERIA</w:t>
            </w:r>
          </w:p>
        </w:tc>
      </w:tr>
      <w:tr w:rsidTr="00531F5C">
        <w:tblPrEx>
          <w:tblW w:w="0" w:type="auto"/>
          <w:tblLayout w:type="fixed"/>
          <w:tblCellMar>
            <w:left w:w="62" w:type="dxa"/>
            <w:right w:w="62" w:type="dxa"/>
          </w:tblCellMar>
          <w:tblLook w:val="0000"/>
        </w:tblPrEx>
        <w:trPr>
          <w:gridAfter w:val="1"/>
          <w:wAfter w:w="696" w:type="dxa"/>
        </w:trPr>
        <w:tc>
          <w:tcPr>
            <w:tcW w:w="413" w:type="dxa"/>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t>1</w:t>
            </w:r>
          </w:p>
        </w:tc>
        <w:tc>
          <w:tcPr>
            <w:tcW w:w="2065" w:type="dxa"/>
            <w:vMerge w:val="restart"/>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t xml:space="preserve">Prepare to repair electrical apparatus. </w:t>
            </w:r>
          </w:p>
        </w:tc>
        <w:tc>
          <w:tcPr>
            <w:tcW w:w="826" w:type="dxa"/>
            <w:gridSpan w:val="2"/>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t>1.1</w:t>
            </w:r>
          </w:p>
        </w:tc>
        <w:tc>
          <w:tcPr>
            <w:tcW w:w="4460" w:type="dxa"/>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t>OHS procedures for a given work area are obtained and understood through established routines and procedures.</w:t>
            </w:r>
          </w:p>
        </w:tc>
      </w:tr>
      <w:tr w:rsidTr="00531F5C">
        <w:tblPrEx>
          <w:tblW w:w="0" w:type="auto"/>
          <w:tblLayout w:type="fixed"/>
          <w:tblCellMar>
            <w:left w:w="62" w:type="dxa"/>
            <w:right w:w="62" w:type="dxa"/>
          </w:tblCellMar>
          <w:tblLook w:val="0000"/>
        </w:tblPrEx>
        <w:trPr>
          <w:gridAfter w:val="1"/>
          <w:wAfter w:w="696" w:type="dxa"/>
        </w:trPr>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t>1.2</w:t>
            </w:r>
          </w:p>
        </w:tc>
        <w:tc>
          <w:tcPr>
            <w:tcW w:w="4460" w:type="dxa"/>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t>Established OHS risk control measures and procedures in preparation for the work are followed.</w:t>
            </w:r>
          </w:p>
        </w:tc>
      </w:tr>
      <w:tr w:rsidTr="00531F5C">
        <w:tblPrEx>
          <w:tblW w:w="0" w:type="auto"/>
          <w:tblLayout w:type="fixed"/>
          <w:tblCellMar>
            <w:left w:w="62" w:type="dxa"/>
            <w:right w:w="62" w:type="dxa"/>
          </w:tblCellMar>
          <w:tblLook w:val="0000"/>
        </w:tblPrEx>
        <w:trPr>
          <w:gridAfter w:val="1"/>
          <w:wAfter w:w="696" w:type="dxa"/>
        </w:trPr>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t>1.3</w:t>
            </w:r>
          </w:p>
        </w:tc>
        <w:tc>
          <w:tcPr>
            <w:tcW w:w="4460" w:type="dxa"/>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t>The nature of the repair is obtained from documentation or from work supervisor to establish the scope of work to be undertaken.</w:t>
            </w:r>
          </w:p>
        </w:tc>
      </w:tr>
      <w:tr w:rsidTr="00531F5C">
        <w:tblPrEx>
          <w:tblW w:w="0" w:type="auto"/>
          <w:tblLayout w:type="fixed"/>
          <w:tblCellMar>
            <w:left w:w="62" w:type="dxa"/>
            <w:right w:w="62" w:type="dxa"/>
          </w:tblCellMar>
          <w:tblLook w:val="0000"/>
        </w:tblPrEx>
        <w:trPr>
          <w:gridAfter w:val="1"/>
          <w:wAfter w:w="696" w:type="dxa"/>
        </w:trPr>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t>1.4</w:t>
            </w:r>
          </w:p>
        </w:tc>
        <w:tc>
          <w:tcPr>
            <w:tcW w:w="4460" w:type="dxa"/>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t xml:space="preserve">Advice is sought from the work supervisor to ensure the work is coordinated effectively with others. </w:t>
            </w:r>
          </w:p>
        </w:tc>
      </w:tr>
      <w:tr w:rsidTr="00531F5C">
        <w:tblPrEx>
          <w:tblW w:w="0" w:type="auto"/>
          <w:tblLayout w:type="fixed"/>
          <w:tblCellMar>
            <w:left w:w="62" w:type="dxa"/>
            <w:right w:w="62" w:type="dxa"/>
          </w:tblCellMar>
          <w:tblLook w:val="0000"/>
        </w:tblPrEx>
        <w:trPr>
          <w:gridAfter w:val="1"/>
          <w:wAfter w:w="696" w:type="dxa"/>
        </w:trPr>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t>1.5</w:t>
            </w:r>
          </w:p>
        </w:tc>
        <w:tc>
          <w:tcPr>
            <w:tcW w:w="4460" w:type="dxa"/>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t>Sources of materials that may be required for the work are established in accordance with established routines and procedures.</w:t>
            </w:r>
          </w:p>
        </w:tc>
      </w:tr>
      <w:tr w:rsidTr="00531F5C">
        <w:tblPrEx>
          <w:tblW w:w="0" w:type="auto"/>
          <w:tblLayout w:type="fixed"/>
          <w:tblCellMar>
            <w:left w:w="62" w:type="dxa"/>
            <w:right w:w="62" w:type="dxa"/>
          </w:tblCellMar>
          <w:tblLook w:val="0000"/>
        </w:tblPrEx>
        <w:trPr>
          <w:gridAfter w:val="1"/>
          <w:wAfter w:w="696" w:type="dxa"/>
        </w:trPr>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t>1.6</w:t>
            </w:r>
          </w:p>
        </w:tc>
        <w:tc>
          <w:tcPr>
            <w:tcW w:w="4460" w:type="dxa"/>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t>Tools, apparatus and testing devices needed to carry out the work are obtained and checked for correct operation and safe</w:t>
            </w:r>
            <w:r w:rsidRPr="00CF29FD">
              <w:t>ty.</w:t>
            </w:r>
          </w:p>
        </w:tc>
      </w:tr>
      <w:tr w:rsidTr="00531F5C">
        <w:tblPrEx>
          <w:tblW w:w="0" w:type="auto"/>
          <w:tblLayout w:type="fixed"/>
          <w:tblCellMar>
            <w:left w:w="62" w:type="dxa"/>
            <w:right w:w="62" w:type="dxa"/>
          </w:tblCellMar>
          <w:tblLook w:val="0000"/>
        </w:tblPrEx>
        <w:trPr>
          <w:gridAfter w:val="1"/>
          <w:wAfter w:w="696" w:type="dxa"/>
        </w:trPr>
        <w:tc>
          <w:tcPr>
            <w:tcW w:w="413" w:type="dxa"/>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t>2</w:t>
            </w:r>
          </w:p>
        </w:tc>
        <w:tc>
          <w:tcPr>
            <w:tcW w:w="2065" w:type="dxa"/>
            <w:vMerge w:val="restart"/>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t>Repair electrical apparatus.</w:t>
            </w:r>
          </w:p>
        </w:tc>
        <w:tc>
          <w:tcPr>
            <w:tcW w:w="826" w:type="dxa"/>
            <w:gridSpan w:val="2"/>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t>2.1</w:t>
            </w:r>
          </w:p>
        </w:tc>
        <w:tc>
          <w:tcPr>
            <w:tcW w:w="4460" w:type="dxa"/>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t>Established OHS risk control measures and procedures for carrying out the work are followed.</w:t>
            </w:r>
          </w:p>
        </w:tc>
      </w:tr>
      <w:tr w:rsidTr="00531F5C">
        <w:tblPrEx>
          <w:tblW w:w="0" w:type="auto"/>
          <w:tblLayout w:type="fixed"/>
          <w:tblCellMar>
            <w:left w:w="62" w:type="dxa"/>
            <w:right w:w="62" w:type="dxa"/>
          </w:tblCellMar>
          <w:tblLook w:val="0000"/>
        </w:tblPrEx>
        <w:trPr>
          <w:gridAfter w:val="1"/>
          <w:wAfter w:w="696" w:type="dxa"/>
        </w:trPr>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t>2.2</w:t>
            </w:r>
          </w:p>
        </w:tc>
        <w:tc>
          <w:tcPr>
            <w:tcW w:w="4460" w:type="dxa"/>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t>The need to test or measure live is determined in strict accordance with OHS requirements and when necessary conducted within established safety procedures.</w:t>
            </w:r>
          </w:p>
        </w:tc>
      </w:tr>
      <w:tr w:rsidTr="00531F5C">
        <w:tblPrEx>
          <w:tblW w:w="0" w:type="auto"/>
          <w:tblLayout w:type="fixed"/>
          <w:tblCellMar>
            <w:left w:w="62" w:type="dxa"/>
            <w:right w:w="62" w:type="dxa"/>
          </w:tblCellMar>
          <w:tblLook w:val="0000"/>
        </w:tblPrEx>
        <w:trPr>
          <w:gridAfter w:val="1"/>
          <w:wAfter w:w="696" w:type="dxa"/>
        </w:trPr>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t>2.3</w:t>
            </w:r>
          </w:p>
        </w:tc>
        <w:tc>
          <w:tcPr>
            <w:tcW w:w="4460" w:type="dxa"/>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t>Circuits/apparatus are checked as being isolated where necessary in strict accordance OHS requirements and procedures.</w:t>
            </w:r>
          </w:p>
        </w:tc>
      </w:tr>
      <w:tr w:rsidTr="00531F5C">
        <w:tblPrEx>
          <w:tblW w:w="0" w:type="auto"/>
          <w:tblLayout w:type="fixed"/>
          <w:tblCellMar>
            <w:left w:w="62" w:type="dxa"/>
            <w:right w:w="62" w:type="dxa"/>
          </w:tblCellMar>
          <w:tblLook w:val="0000"/>
        </w:tblPrEx>
        <w:trPr>
          <w:gridAfter w:val="1"/>
          <w:wAfter w:w="696" w:type="dxa"/>
        </w:trPr>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t>2.4</w:t>
            </w:r>
          </w:p>
        </w:tc>
        <w:tc>
          <w:tcPr>
            <w:tcW w:w="4460" w:type="dxa"/>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t>Apparatus is dismantled in accordance with manufacturer’s guide and supervisor’s instructions.</w:t>
            </w:r>
          </w:p>
        </w:tc>
      </w:tr>
      <w:tr w:rsidTr="00531F5C">
        <w:tblPrEx>
          <w:tblW w:w="0" w:type="auto"/>
          <w:tblLayout w:type="fixed"/>
          <w:tblCellMar>
            <w:left w:w="62" w:type="dxa"/>
            <w:right w:w="62" w:type="dxa"/>
          </w:tblCellMar>
          <w:tblLook w:val="0000"/>
        </w:tblPrEx>
        <w:trPr>
          <w:gridAfter w:val="1"/>
          <w:wAfter w:w="696" w:type="dxa"/>
        </w:trPr>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t>2.5</w:t>
            </w:r>
          </w:p>
        </w:tc>
        <w:tc>
          <w:tcPr>
            <w:tcW w:w="4460" w:type="dxa"/>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t>Component parts are tagged</w:t>
            </w:r>
            <w:r w:rsidRPr="00CF29FD">
              <w:t xml:space="preserve"> during the dismantling to help ensure correct and efficient reassembly and stored to protect them against loss or damage.</w:t>
            </w:r>
          </w:p>
        </w:tc>
      </w:tr>
      <w:tr w:rsidTr="00531F5C">
        <w:tblPrEx>
          <w:tblW w:w="0" w:type="auto"/>
          <w:tblLayout w:type="fixed"/>
          <w:tblCellMar>
            <w:left w:w="62" w:type="dxa"/>
            <w:right w:w="62" w:type="dxa"/>
          </w:tblCellMar>
          <w:tblLook w:val="0000"/>
        </w:tblPrEx>
        <w:trPr>
          <w:gridAfter w:val="1"/>
          <w:wAfter w:w="696" w:type="dxa"/>
        </w:trPr>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t>2.6</w:t>
            </w:r>
          </w:p>
        </w:tc>
        <w:tc>
          <w:tcPr>
            <w:tcW w:w="4460" w:type="dxa"/>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t>Repairs are affected efficiently without damage to other components, apparatus or circuits.</w:t>
            </w:r>
          </w:p>
        </w:tc>
      </w:tr>
      <w:tr w:rsidTr="00531F5C">
        <w:tblPrEx>
          <w:tblW w:w="0" w:type="auto"/>
          <w:tblLayout w:type="fixed"/>
          <w:tblCellMar>
            <w:left w:w="62" w:type="dxa"/>
            <w:right w:w="62" w:type="dxa"/>
          </w:tblCellMar>
          <w:tblLook w:val="0000"/>
        </w:tblPrEx>
        <w:trPr>
          <w:gridAfter w:val="1"/>
          <w:wAfter w:w="696" w:type="dxa"/>
        </w:trPr>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t>2.7</w:t>
            </w:r>
          </w:p>
        </w:tc>
        <w:tc>
          <w:tcPr>
            <w:tcW w:w="4460" w:type="dxa"/>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t>Apparatus is assembled in an appropriate sequence with all components parts placed, secured and connected in accordance with manufacturer’s guide or industry practice.</w:t>
            </w:r>
          </w:p>
        </w:tc>
      </w:tr>
      <w:tr w:rsidTr="00531F5C">
        <w:tblPrEx>
          <w:tblW w:w="0" w:type="auto"/>
          <w:tblLayout w:type="fixed"/>
          <w:tblCellMar>
            <w:left w:w="62" w:type="dxa"/>
            <w:right w:w="62" w:type="dxa"/>
          </w:tblCellMar>
          <w:tblLook w:val="0000"/>
        </w:tblPrEx>
        <w:trPr>
          <w:gridAfter w:val="1"/>
          <w:wAfter w:w="696" w:type="dxa"/>
        </w:trPr>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t>2.8</w:t>
            </w:r>
          </w:p>
        </w:tc>
        <w:tc>
          <w:tcPr>
            <w:tcW w:w="4460" w:type="dxa"/>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t>Procedures for referring non-routine events to immediate supervisor for directio</w:t>
            </w:r>
            <w:r w:rsidRPr="00CF29FD">
              <w:t>ns are followed.</w:t>
            </w:r>
          </w:p>
        </w:tc>
      </w:tr>
      <w:tr w:rsidTr="00531F5C">
        <w:tblPrEx>
          <w:tblW w:w="0" w:type="auto"/>
          <w:tblLayout w:type="fixed"/>
          <w:tblCellMar>
            <w:left w:w="62" w:type="dxa"/>
            <w:right w:w="62" w:type="dxa"/>
          </w:tblCellMar>
          <w:tblLook w:val="0000"/>
        </w:tblPrEx>
        <w:trPr>
          <w:gridAfter w:val="1"/>
          <w:wAfter w:w="696" w:type="dxa"/>
        </w:trPr>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t>2.9</w:t>
            </w:r>
          </w:p>
        </w:tc>
        <w:tc>
          <w:tcPr>
            <w:tcW w:w="4460" w:type="dxa"/>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t>Repairs are carried out efficiently without unnecessary waste of materials or damage to apparatus and the surrounding environment or services and using sustainable energy practices.</w:t>
            </w:r>
          </w:p>
        </w:tc>
      </w:tr>
      <w:tr w:rsidTr="00531F5C">
        <w:tblPrEx>
          <w:tblW w:w="0" w:type="auto"/>
          <w:tblLayout w:type="fixed"/>
          <w:tblCellMar>
            <w:left w:w="62" w:type="dxa"/>
            <w:right w:w="62" w:type="dxa"/>
          </w:tblCellMar>
          <w:tblLook w:val="0000"/>
        </w:tblPrEx>
        <w:trPr>
          <w:gridAfter w:val="1"/>
          <w:wAfter w:w="696" w:type="dxa"/>
        </w:trPr>
        <w:tc>
          <w:tcPr>
            <w:tcW w:w="413" w:type="dxa"/>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t>3</w:t>
            </w:r>
          </w:p>
        </w:tc>
        <w:tc>
          <w:tcPr>
            <w:tcW w:w="2065" w:type="dxa"/>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t>Complete and report repair work activities.</w:t>
            </w:r>
          </w:p>
        </w:tc>
        <w:tc>
          <w:tcPr>
            <w:tcW w:w="826" w:type="dxa"/>
            <w:gridSpan w:val="2"/>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t>3.1</w:t>
            </w:r>
          </w:p>
        </w:tc>
        <w:tc>
          <w:tcPr>
            <w:tcW w:w="4460" w:type="dxa"/>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t>OHS work completion risk control measures and procedures are followed.</w:t>
            </w:r>
          </w:p>
        </w:tc>
      </w:tr>
      <w:tr w:rsidTr="00531F5C">
        <w:tblPrEx>
          <w:tblW w:w="0" w:type="auto"/>
          <w:tblLayout w:type="fixed"/>
          <w:tblCellMar>
            <w:left w:w="62" w:type="dxa"/>
            <w:right w:w="62" w:type="dxa"/>
          </w:tblCellMar>
          <w:tblLook w:val="0000"/>
        </w:tblPrEx>
        <w:trPr>
          <w:gridAfter w:val="1"/>
          <w:wAfter w:w="696" w:type="dxa"/>
        </w:trPr>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5"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t>3.2</w:t>
            </w:r>
          </w:p>
        </w:tc>
        <w:tc>
          <w:tcPr>
            <w:tcW w:w="4460" w:type="dxa"/>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t>Repaired apparatus is prepared and forwarded to appropriate person(s) for testing.</w:t>
            </w:r>
          </w:p>
        </w:tc>
      </w:tr>
      <w:tr w:rsidTr="00531F5C">
        <w:tblPrEx>
          <w:tblW w:w="0" w:type="auto"/>
          <w:tblLayout w:type="fixed"/>
          <w:tblCellMar>
            <w:left w:w="62" w:type="dxa"/>
            <w:right w:w="62" w:type="dxa"/>
          </w:tblCellMar>
          <w:tblLook w:val="0000"/>
        </w:tblPrEx>
        <w:trPr>
          <w:gridAfter w:val="1"/>
          <w:wAfter w:w="696" w:type="dxa"/>
        </w:trPr>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t>3.3</w:t>
            </w:r>
          </w:p>
        </w:tc>
        <w:tc>
          <w:tcPr>
            <w:tcW w:w="4460" w:type="dxa"/>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t>Work area is cleaned and made safe in accordance with established procedures.</w:t>
            </w:r>
          </w:p>
        </w:tc>
      </w:tr>
      <w:tr w:rsidTr="00531F5C">
        <w:tblPrEx>
          <w:tblW w:w="0" w:type="auto"/>
          <w:tblLayout w:type="fixed"/>
          <w:tblCellMar>
            <w:left w:w="62" w:type="dxa"/>
            <w:right w:w="62" w:type="dxa"/>
          </w:tblCellMar>
          <w:tblLook w:val="0000"/>
        </w:tblPrEx>
        <w:trPr>
          <w:gridAfter w:val="1"/>
          <w:wAfter w:w="696" w:type="dxa"/>
        </w:trPr>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t>3.4</w:t>
            </w:r>
          </w:p>
        </w:tc>
        <w:tc>
          <w:tcPr>
            <w:tcW w:w="4460" w:type="dxa"/>
            <w:tcBorders>
              <w:top w:val="nil"/>
              <w:left w:val="nil"/>
              <w:bottom w:val="nil"/>
              <w:right w:val="nil"/>
            </w:tcBorders>
            <w:tcMar>
              <w:top w:w="0" w:type="dxa"/>
              <w:left w:w="62" w:type="dxa"/>
              <w:bottom w:w="0" w:type="dxa"/>
              <w:right w:w="62" w:type="dxa"/>
            </w:tcMar>
          </w:tcPr>
          <w:p w:rsidR="00000000" w:rsidRPr="00CF29FD" w:rsidP="00CF29FD">
            <w:pPr>
              <w:pStyle w:val="BodyText"/>
            </w:pPr>
            <w:r w:rsidRPr="00CF29FD">
              <w:t>Work supervisor is notified of the completion of the repair work in accordance with established procedures.</w:t>
            </w:r>
          </w:p>
        </w:tc>
      </w:tr>
    </w:tbl>
    <w:p w:rsidR="00000000" w:rsidRPr="00CF29FD" w:rsidP="00CF29FD">
      <w:pPr>
        <w:pStyle w:val="BodyText"/>
      </w:pPr>
    </w:p>
    <w:p w:rsidR="00000000" w:rsidRPr="00CF29FD" w:rsidP="00CF29FD">
      <w:pPr>
        <w:pStyle w:val="AllowPageBreak"/>
      </w:pPr>
    </w:p>
    <w:p w:rsidR="00000000" w:rsidRPr="00CF29FD" w:rsidP="00CF29FD">
      <w:pPr>
        <w:pStyle w:val="Heading1"/>
      </w:pPr>
      <w:bookmarkStart w:id="9" w:name="O_585080"/>
      <w:bookmarkEnd w:id="9"/>
      <w:r w:rsidRPr="00CF29FD">
        <w:t>Required Skills and Knowledge</w:t>
      </w:r>
    </w:p>
    <w:tbl>
      <w:tblPr>
        <w:tblW w:w="0" w:type="auto"/>
        <w:tblLayout w:type="fixed"/>
        <w:tblCellMar>
          <w:left w:w="62" w:type="dxa"/>
          <w:right w:w="62" w:type="dxa"/>
        </w:tblCellMar>
        <w:tblLook w:val="0000"/>
      </w:tblPr>
      <w:tblGrid>
        <w:gridCol w:w="8460"/>
      </w:tblGrid>
      <w:tr w:rsidTr="00531F5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rPr>
                <w:rStyle w:val="SpecialBold"/>
              </w:rPr>
              <w:t>REQUIRED SKILLS AND KNOWLEDGE</w:t>
            </w:r>
          </w:p>
        </w:tc>
      </w:tr>
      <w:tr w:rsidTr="00531F5C">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CF29FD" w:rsidP="00CF29FD">
            <w:pPr>
              <w:pStyle w:val="BodyText"/>
            </w:pPr>
            <w:r w:rsidRPr="00CF29FD">
              <w:rPr>
                <w:rStyle w:val="SpecialBold"/>
              </w:rPr>
              <w:t>8)</w:t>
            </w:r>
            <w:r w:rsidRPr="00CF29FD">
              <w:t xml:space="preserve"> This describes the essential skills and knowledge and their level, required for this unit.</w:t>
            </w:r>
          </w:p>
          <w:p w:rsidR="00000000" w:rsidRPr="00CF29FD" w:rsidP="00CF29FD">
            <w:pPr>
              <w:pStyle w:val="BodyText"/>
            </w:pPr>
            <w:r w:rsidRPr="00CF29FD">
              <w:t>Evidence shall show that knowledge has been acquired of safe working practices and carrying out basic repairs to electrical apparatus.</w:t>
            </w:r>
          </w:p>
          <w:p w:rsidR="00000000" w:rsidRPr="00CF29FD" w:rsidP="00CF29FD">
            <w:pPr>
              <w:pStyle w:val="BodyText"/>
            </w:pPr>
            <w:r w:rsidRPr="00CF29FD">
              <w:t>All knowledge and skills deta</w:t>
            </w:r>
            <w:r w:rsidRPr="00CF29FD">
              <w:t>iled in this unit should be contextualised to current industry practices and technologies.</w:t>
            </w:r>
          </w:p>
          <w:p w:rsidR="00000000" w:rsidRPr="00CF29FD" w:rsidP="00CF29FD">
            <w:pPr>
              <w:pStyle w:val="BodyText"/>
            </w:pPr>
            <w:r w:rsidRPr="00CF29FD">
              <w:rPr>
                <w:rStyle w:val="SpecialBold"/>
              </w:rPr>
              <w:t>KS01-EG111A                       Electrical basic equipment repair</w:t>
            </w:r>
          </w:p>
          <w:p w:rsidR="00000000" w:rsidRPr="00CF29FD" w:rsidP="00CF29FD">
            <w:pPr>
              <w:pStyle w:val="BodyText"/>
            </w:pPr>
            <w:r w:rsidRPr="00CF29FD">
              <w:t>Evidence shall show an understanding of electrical workshop and metal cutting and an ability to c</w:t>
            </w:r>
            <w:r w:rsidRPr="00CF29FD">
              <w:t>arry out those activities to an extent indicated by the following aspects:</w:t>
            </w:r>
          </w:p>
          <w:p w:rsidR="00000000" w:rsidRPr="00CF29FD" w:rsidP="00CF29FD">
            <w:pPr>
              <w:pStyle w:val="BodyText"/>
            </w:pPr>
            <w:r w:rsidRPr="00CF29FD">
              <w:t>T1</w:t>
            </w:r>
            <w:r w:rsidRPr="00CF29FD">
              <w:tab/>
              <w:t>Basic cable and conductor terminations encompassing:</w:t>
            </w:r>
          </w:p>
          <w:p w:rsidR="00000000" w:rsidRPr="00CF29FD" w:rsidP="00CF29FD">
            <w:pPr>
              <w:pStyle w:val="ListBullet"/>
            </w:pPr>
            <w:r w:rsidRPr="00CF29FD">
              <w:t>Insulation removal and replacement</w:t>
            </w:r>
          </w:p>
          <w:p w:rsidR="00000000" w:rsidRPr="00CF29FD" w:rsidP="00CF29FD">
            <w:pPr>
              <w:pStyle w:val="ListBullet"/>
            </w:pPr>
            <w:r w:rsidRPr="00CF29FD">
              <w:t>General aspects and</w:t>
            </w:r>
            <w:r w:rsidRPr="00CF29FD">
              <w:t xml:space="preserve"> soldering involving pins on electronic components and stranded conductors carrying current up to 25 amperes.</w:t>
            </w:r>
          </w:p>
          <w:p w:rsidR="00000000" w:rsidRPr="00CF29FD" w:rsidP="00CF29FD">
            <w:pPr>
              <w:pStyle w:val="ListBullet"/>
            </w:pPr>
            <w:r w:rsidRPr="00CF29FD">
              <w:t>Application of connecting devices for conductors and terminals</w:t>
            </w:r>
          </w:p>
          <w:p w:rsidR="00000000" w:rsidRPr="00CF29FD" w:rsidP="00CF29FD">
            <w:pPr>
              <w:pStyle w:val="ListBullet"/>
            </w:pPr>
            <w:r w:rsidRPr="00CF29FD">
              <w:t>Continuity through connections and insulation resistance testing</w:t>
            </w:r>
          </w:p>
          <w:p w:rsidR="00000000" w:rsidRPr="00CF29FD" w:rsidP="00CF29FD">
            <w:pPr>
              <w:pStyle w:val="ListBullet"/>
            </w:pPr>
            <w:r w:rsidRPr="00CF29FD">
              <w:t xml:space="preserve">Stress release on </w:t>
            </w:r>
            <w:r w:rsidRPr="00CF29FD">
              <w:t>cables/conductors</w:t>
            </w:r>
          </w:p>
          <w:p w:rsidR="00000000" w:rsidRPr="00CF29FD" w:rsidP="00CF29FD">
            <w:pPr>
              <w:pStyle w:val="BodyText"/>
            </w:pPr>
          </w:p>
          <w:p w:rsidR="00000000" w:rsidRPr="00CF29FD" w:rsidP="00CF29FD">
            <w:pPr>
              <w:pStyle w:val="BodyText"/>
            </w:pPr>
            <w:r w:rsidRPr="00CF29FD">
              <w:t>T2</w:t>
            </w:r>
            <w:r w:rsidRPr="00CF29FD">
              <w:tab/>
              <w:t>Electrical workshop machines encompassing:</w:t>
            </w:r>
          </w:p>
          <w:p w:rsidR="00000000" w:rsidRPr="00CF29FD" w:rsidP="00CF29FD">
            <w:pPr>
              <w:pStyle w:val="ListBullet"/>
            </w:pPr>
            <w:r w:rsidRPr="00CF29FD">
              <w:t>Fixed position power tools</w:t>
            </w:r>
          </w:p>
          <w:p w:rsidR="00000000" w:rsidRPr="00CF29FD" w:rsidP="00CF29FD">
            <w:pPr>
              <w:pStyle w:val="ListBullet"/>
            </w:pPr>
            <w:r w:rsidRPr="00CF29FD">
              <w:t>Tooling used on drilling machines</w:t>
            </w:r>
          </w:p>
          <w:p w:rsidR="00000000" w:rsidRPr="00CF29FD" w:rsidP="00CF29FD">
            <w:pPr>
              <w:pStyle w:val="ListBullet"/>
            </w:pPr>
            <w:r w:rsidRPr="00CF29FD">
              <w:t>Twist drills features, sharpening and faults</w:t>
            </w:r>
          </w:p>
          <w:p w:rsidR="00000000" w:rsidRPr="00CF29FD" w:rsidP="00CF29FD">
            <w:pPr>
              <w:pStyle w:val="ListBullet"/>
            </w:pPr>
            <w:r w:rsidRPr="00CF29FD">
              <w:t>Drilling operations</w:t>
            </w:r>
          </w:p>
          <w:p w:rsidR="00000000" w:rsidRPr="00CF29FD" w:rsidP="00CF29FD">
            <w:pPr>
              <w:pStyle w:val="ListBullet"/>
            </w:pPr>
            <w:r w:rsidRPr="00CF29FD">
              <w:t>Off hand grinding safety and machine set up</w:t>
            </w:r>
          </w:p>
          <w:p w:rsidR="00000000" w:rsidRPr="00CF29FD" w:rsidP="00CF29FD">
            <w:pPr>
              <w:pStyle w:val="BodyText"/>
            </w:pPr>
          </w:p>
          <w:p w:rsidR="00000000" w:rsidRPr="00CF29FD" w:rsidP="00CF29FD">
            <w:pPr>
              <w:pStyle w:val="BodyText"/>
            </w:pPr>
            <w:r w:rsidRPr="00CF29FD">
              <w:t>T3</w:t>
            </w:r>
            <w:r w:rsidRPr="00CF29FD">
              <w:tab/>
              <w:t xml:space="preserve"> Principles of m</w:t>
            </w:r>
            <w:r w:rsidRPr="00CF29FD">
              <w:t>etal cutting encompassing:</w:t>
            </w:r>
          </w:p>
          <w:p w:rsidR="00000000" w:rsidRPr="00CF29FD" w:rsidP="00CF29FD">
            <w:pPr>
              <w:pStyle w:val="ListBullet"/>
            </w:pPr>
            <w:r w:rsidRPr="00CF29FD">
              <w:t>Factors influencing the action of cutting tools</w:t>
            </w:r>
          </w:p>
          <w:p w:rsidR="00000000" w:rsidRPr="00CF29FD" w:rsidP="00CF29FD">
            <w:pPr>
              <w:pStyle w:val="ListBullet"/>
            </w:pPr>
            <w:r w:rsidRPr="00CF29FD">
              <w:t>Principles of chip formation</w:t>
            </w:r>
          </w:p>
          <w:p w:rsidR="00000000" w:rsidRPr="00CF29FD" w:rsidP="00CF29FD">
            <w:pPr>
              <w:pStyle w:val="ListBullet"/>
            </w:pPr>
            <w:r w:rsidRPr="00CF29FD">
              <w:t>Effects of cutting tool geometry</w:t>
            </w:r>
          </w:p>
          <w:p w:rsidR="00000000" w:rsidRPr="00CF29FD" w:rsidP="00CF29FD">
            <w:pPr>
              <w:pStyle w:val="ListBullet"/>
            </w:pPr>
            <w:r w:rsidRPr="00CF29FD">
              <w:t>Effects of coolants and cutting fluids</w:t>
            </w:r>
          </w:p>
          <w:p w:rsidR="00000000" w:rsidRPr="00CF29FD" w:rsidP="00CF29FD">
            <w:pPr>
              <w:pStyle w:val="BodyText"/>
            </w:pPr>
          </w:p>
          <w:p w:rsidR="00000000" w:rsidRPr="00CF29FD" w:rsidP="00CF29FD">
            <w:pPr>
              <w:pStyle w:val="BodyText"/>
            </w:pPr>
            <w:r w:rsidRPr="00CF29FD">
              <w:t>T4</w:t>
            </w:r>
            <w:r w:rsidRPr="00CF29FD">
              <w:tab/>
              <w:t xml:space="preserve"> Selection of cutting tools encompassing:</w:t>
            </w:r>
          </w:p>
          <w:p w:rsidR="00000000" w:rsidRPr="00CF29FD" w:rsidP="00CF29FD">
            <w:pPr>
              <w:pStyle w:val="ListBullet"/>
            </w:pPr>
            <w:r w:rsidRPr="00CF29FD">
              <w:t>Factors influencing tool selecti</w:t>
            </w:r>
            <w:r w:rsidRPr="00CF29FD">
              <w:t>on</w:t>
            </w:r>
          </w:p>
          <w:p w:rsidR="00000000" w:rsidRPr="00CF29FD" w:rsidP="00CF29FD">
            <w:pPr>
              <w:pStyle w:val="ListBullet"/>
            </w:pPr>
            <w:r w:rsidRPr="00CF29FD">
              <w:t>Cutting tool materials</w:t>
            </w:r>
          </w:p>
          <w:p w:rsidR="00000000" w:rsidRPr="00CF29FD" w:rsidP="00CF29FD">
            <w:pPr>
              <w:pStyle w:val="ListBullet"/>
            </w:pPr>
            <w:r w:rsidRPr="00CF29FD">
              <w:t>Turning cutting tool design</w:t>
            </w:r>
          </w:p>
          <w:p w:rsidR="00000000" w:rsidRPr="00CF29FD" w:rsidP="00CF29FD">
            <w:pPr>
              <w:pStyle w:val="ListBullet"/>
            </w:pPr>
            <w:r w:rsidRPr="00CF29FD">
              <w:t>Milling cutting tool design</w:t>
            </w:r>
          </w:p>
          <w:p w:rsidR="00000000" w:rsidRPr="00CF29FD" w:rsidP="00CF29FD">
            <w:pPr>
              <w:pStyle w:val="ListBullet"/>
            </w:pPr>
            <w:r w:rsidRPr="00CF29FD">
              <w:t>Principles of chip control</w:t>
            </w:r>
          </w:p>
          <w:p w:rsidR="00000000" w:rsidRPr="00CF29FD" w:rsidP="00CF29FD">
            <w:pPr>
              <w:pStyle w:val="ListBullet"/>
            </w:pPr>
            <w:r w:rsidRPr="00CF29FD">
              <w:t>Identification and selection of carbides</w:t>
            </w:r>
          </w:p>
          <w:p w:rsidR="00000000" w:rsidRPr="00CF29FD" w:rsidP="00CF29FD">
            <w:pPr>
              <w:pStyle w:val="BodyText"/>
            </w:pPr>
            <w:r w:rsidRPr="00CF29FD">
              <w:t>T5</w:t>
            </w:r>
            <w:r w:rsidRPr="00CF29FD">
              <w:tab/>
              <w:t>Metal cutting conditions encompassing:</w:t>
            </w:r>
          </w:p>
          <w:p w:rsidR="00000000" w:rsidRPr="00CF29FD" w:rsidP="00CF29FD">
            <w:pPr>
              <w:pStyle w:val="ListBullet"/>
            </w:pPr>
            <w:r w:rsidRPr="00CF29FD">
              <w:t>Conditions under which tools cut best</w:t>
            </w:r>
          </w:p>
          <w:p w:rsidR="00000000" w:rsidRPr="00CF29FD" w:rsidP="00CF29FD">
            <w:pPr>
              <w:pStyle w:val="ListBullet"/>
            </w:pPr>
            <w:r w:rsidRPr="00CF29FD">
              <w:t xml:space="preserve">Determining cutting data </w:t>
            </w:r>
          </w:p>
          <w:p w:rsidR="00000000" w:rsidRPr="00CF29FD" w:rsidP="00CF29FD">
            <w:pPr>
              <w:pStyle w:val="BodyText"/>
            </w:pPr>
            <w:r w:rsidRPr="00CF29FD">
              <w:t>T6</w:t>
            </w:r>
            <w:r w:rsidRPr="00CF29FD">
              <w:tab/>
              <w:t>Cutting tool defects encompassing:</w:t>
            </w:r>
          </w:p>
          <w:p w:rsidR="00000000" w:rsidRPr="00CF29FD" w:rsidP="00CF29FD">
            <w:pPr>
              <w:pStyle w:val="ListBullet"/>
            </w:pPr>
            <w:r w:rsidRPr="00CF29FD">
              <w:t>Identification of types of tool failures</w:t>
            </w:r>
          </w:p>
          <w:p w:rsidR="00000000" w:rsidRPr="00CF29FD" w:rsidP="00CF29FD">
            <w:pPr>
              <w:pStyle w:val="ListBullet"/>
            </w:pPr>
            <w:r w:rsidRPr="00CF29FD">
              <w:t>Causes of tool failure</w:t>
            </w:r>
          </w:p>
          <w:p w:rsidR="00000000" w:rsidRPr="00CF29FD" w:rsidP="00CF29FD">
            <w:pPr>
              <w:pStyle w:val="BodyText"/>
            </w:pPr>
            <w:r w:rsidRPr="00CF29FD">
              <w:t>T7</w:t>
            </w:r>
            <w:r w:rsidRPr="00CF29FD">
              <w:tab/>
              <w:t>Overcoming causes of tool failure</w:t>
            </w:r>
          </w:p>
        </w:tc>
      </w:tr>
    </w:tbl>
    <w:p w:rsidR="00000000" w:rsidRPr="00CF29FD" w:rsidP="00CF29FD">
      <w:pPr>
        <w:pStyle w:val="BodyText"/>
      </w:pPr>
    </w:p>
    <w:p w:rsidR="00000000" w:rsidRPr="00CF29FD" w:rsidP="00CF29FD">
      <w:pPr>
        <w:pStyle w:val="AllowPageBreak"/>
      </w:pPr>
    </w:p>
    <w:p w:rsidR="00000000" w:rsidRPr="00CF29FD" w:rsidP="00CF29FD">
      <w:pPr>
        <w:pStyle w:val="Heading1"/>
      </w:pPr>
      <w:bookmarkStart w:id="10" w:name="O_585077"/>
      <w:bookmarkEnd w:id="10"/>
      <w:r w:rsidRPr="00CF29FD">
        <w:t>Evidence Guide</w:t>
      </w:r>
    </w:p>
    <w:tbl>
      <w:tblPr>
        <w:tblW w:w="0" w:type="auto"/>
        <w:tblLayout w:type="fixed"/>
        <w:tblCellMar>
          <w:left w:w="62" w:type="dxa"/>
          <w:right w:w="62" w:type="dxa"/>
        </w:tblCellMar>
        <w:tblLook w:val="0000"/>
      </w:tblPr>
      <w:tblGrid>
        <w:gridCol w:w="8460"/>
      </w:tblGrid>
      <w:tr w:rsidTr="00531F5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rPr>
                <w:rStyle w:val="SpecialBold"/>
              </w:rPr>
              <w:t>EVIDENCE GUIDE</w:t>
            </w:r>
          </w:p>
        </w:tc>
      </w:tr>
      <w:tr w:rsidTr="00531F5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F29FD" w:rsidP="00CF29FD">
            <w:pPr>
              <w:pStyle w:val="BodyText"/>
            </w:pPr>
            <w:r w:rsidRPr="00CF29FD">
              <w:rPr>
                <w:rStyle w:val="SpecialBold"/>
              </w:rPr>
              <w:t>9)</w:t>
            </w:r>
            <w:r w:rsidRPr="00CF29FD">
              <w:t xml:space="preserve"> The evidence guide provides ad</w:t>
            </w:r>
            <w:r w:rsidRPr="00CF29FD">
              <w:t xml:space="preserve">vice on assessment and must be read in conjunction with the Performance Criteria, Required Skills and Knowledge, the Range Statement and the Assessment Guidelines for this Training Package. </w:t>
            </w:r>
          </w:p>
          <w:p w:rsidR="00000000" w:rsidRPr="00CF29FD" w:rsidP="00CF29FD">
            <w:pPr>
              <w:pStyle w:val="BodyText"/>
            </w:pPr>
            <w:r w:rsidRPr="00CF29FD">
              <w:t>The Evidence Guide forms an integral part of this unit. It must b</w:t>
            </w:r>
            <w:r w:rsidRPr="00CF29FD">
              <w:t>e used in conjunction with all parts of this unit and performed in accordance with the Assessment Guidelines of this Training Package.</w:t>
            </w:r>
          </w:p>
        </w:tc>
      </w:tr>
    </w:tbl>
    <w:p w:rsidR="00000000" w:rsidRPr="00CF29FD" w:rsidP="00CF29FD">
      <w:pPr>
        <w:pStyle w:val="BodyText"/>
      </w:pPr>
    </w:p>
    <w:tbl>
      <w:tblPr>
        <w:tblW w:w="0" w:type="auto"/>
        <w:tblLayout w:type="fixed"/>
        <w:tblCellMar>
          <w:left w:w="62" w:type="dxa"/>
          <w:right w:w="62" w:type="dxa"/>
        </w:tblCellMar>
        <w:tblLook w:val="0000"/>
      </w:tblPr>
      <w:tblGrid>
        <w:gridCol w:w="1890"/>
        <w:gridCol w:w="6570"/>
      </w:tblGrid>
      <w:tr w:rsidTr="00531F5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F29FD" w:rsidP="00CF29FD">
            <w:pPr>
              <w:pStyle w:val="BodyText"/>
            </w:pPr>
            <w:r w:rsidRPr="00CF29FD">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rPr>
                <w:rStyle w:val="SpecialBold"/>
              </w:rPr>
              <w:t>9.1)</w:t>
            </w:r>
          </w:p>
        </w:tc>
      </w:tr>
      <w:tr w:rsidTr="00531F5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F29FD" w:rsidP="00CF29FD">
            <w:pPr>
              <w:pStyle w:val="BodyText"/>
            </w:pPr>
            <w:r w:rsidRPr="00CF29FD">
              <w:t>Longitudinal competency development approaches to assessment, such as Profiling, require data to be reliably gathered in a form that can be consistently interpreted over time. This approach is best utilised in Apprenticeship programs and reduces assessment</w:t>
            </w:r>
            <w:r w:rsidRPr="00CF29FD">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CF29FD">
              <w:t>tency in a realistically simulated work environment. It is recognised that, in some circumstances, assessment in part or full can occur outside the workplace. However, it must be in accordance with industry and regulatory policy.</w:t>
            </w:r>
          </w:p>
          <w:p w:rsidR="00000000" w:rsidRPr="00CF29FD" w:rsidP="00CF29FD">
            <w:pPr>
              <w:pStyle w:val="BodyText"/>
            </w:pPr>
            <w:r w:rsidRPr="00CF29FD">
              <w:t>Methods chosen for a parti</w:t>
            </w:r>
            <w:r w:rsidRPr="00CF29FD">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CF29FD">
              <w:t>the critical nature of the competencies being assessed.</w:t>
            </w:r>
          </w:p>
          <w:p w:rsidR="00000000" w:rsidRPr="00CF29FD" w:rsidP="00CF29FD">
            <w:pPr>
              <w:pStyle w:val="BodyText"/>
            </w:pPr>
            <w:r w:rsidRPr="00CF29FD">
              <w:t>The critical safety nature of working with electricity, electrical equipment, gas or any other hazardous substance/material carries risk in deeming a person competent. Sources of evidence need to be ‘</w:t>
            </w:r>
            <w:r w:rsidRPr="00CF29FD">
              <w:t>rich’ in nature to minimise error in judgment.</w:t>
            </w:r>
          </w:p>
          <w:p w:rsidR="00000000" w:rsidRPr="00CF29FD" w:rsidP="00CF29FD">
            <w:pPr>
              <w:pStyle w:val="BodyText"/>
            </w:pPr>
            <w:r w:rsidRPr="00CF29FD">
              <w:t xml:space="preserve">Activities associated with normal every day work have a bearing on the decision as to how much and how detailed the data gathered will contribute to its ‘richness’. Some skills are more critical to safety and </w:t>
            </w:r>
            <w:r w:rsidRPr="00CF29FD">
              <w:t>operational requirements while the same skills may be more or less frequently practised. These points are raised for the assessors to consider when choosing an assessment method and developing assessment instruments. Sample assessment instruments are inclu</w:t>
            </w:r>
            <w:r w:rsidRPr="00CF29FD">
              <w:t>ded for Assessors in the Assessment Guidelines of this Training Package.</w:t>
            </w:r>
          </w:p>
        </w:tc>
      </w:tr>
    </w:tbl>
    <w:p w:rsidR="00000000" w:rsidRPr="00CF29FD" w:rsidP="00CF29FD">
      <w:pPr>
        <w:pStyle w:val="BodyText"/>
      </w:pPr>
    </w:p>
    <w:tbl>
      <w:tblPr>
        <w:tblW w:w="0" w:type="auto"/>
        <w:tblLayout w:type="fixed"/>
        <w:tblCellMar>
          <w:left w:w="62" w:type="dxa"/>
          <w:right w:w="62" w:type="dxa"/>
        </w:tblCellMar>
        <w:tblLook w:val="0000"/>
      </w:tblPr>
      <w:tblGrid>
        <w:gridCol w:w="1890"/>
        <w:gridCol w:w="6570"/>
      </w:tblGrid>
      <w:tr w:rsidTr="00531F5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F29FD" w:rsidP="00CF29FD">
            <w:pPr>
              <w:pStyle w:val="BodyText"/>
            </w:pPr>
            <w:r w:rsidRPr="00CF29FD">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rPr>
                <w:rStyle w:val="SpecialBold"/>
              </w:rPr>
              <w:t>9.2)</w:t>
            </w:r>
          </w:p>
        </w:tc>
      </w:tr>
      <w:tr w:rsidTr="00531F5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F29FD" w:rsidP="00CF29FD">
            <w:pPr>
              <w:pStyle w:val="BodyText"/>
            </w:pPr>
            <w:r w:rsidRPr="00CF29FD">
              <w:t>Before the critical aspects of evidence are considered all prerequisites shall be met.</w:t>
            </w:r>
          </w:p>
          <w:p w:rsidR="00000000" w:rsidRPr="00CF29FD" w:rsidP="00CF29FD">
            <w:pPr>
              <w:pStyle w:val="BodyText"/>
            </w:pPr>
            <w:r w:rsidRPr="00CF29FD">
              <w:t>Evidence f</w:t>
            </w:r>
            <w:r w:rsidRPr="00CF29FD">
              <w:t>or competence in this unit shall be considered holistically.  Each element and associated performance criteria shall be demonstrated on at least two occasions in accordance with the ‘Assessment Guidelines – UEE11’.  Evidence shall also comprise:</w:t>
            </w:r>
          </w:p>
          <w:p w:rsidR="00000000" w:rsidRPr="00CF29FD" w:rsidP="00CF29FD">
            <w:pPr>
              <w:pStyle w:val="ListBullet"/>
            </w:pPr>
            <w:r w:rsidRPr="00CF29FD">
              <w:t>A represe</w:t>
            </w:r>
            <w:r w:rsidRPr="00CF29FD">
              <w:t>ntative body of work performance demonstrated within the timeframes typically expected of the discipline, work function and industrial environment. In particular this shall incorporate evidence that shows a candidate is able to:</w:t>
            </w:r>
          </w:p>
          <w:p w:rsidR="00000000" w:rsidRPr="00CF29FD" w:rsidP="00CF29FD">
            <w:pPr>
              <w:pStyle w:val="ListBullet2"/>
            </w:pPr>
            <w:r w:rsidRPr="00CF29FD">
              <w:t>Implement Occupational Health and Safety workplace procedures and practices including the use of risk control measures as specified in the performance criteria and range statement</w:t>
            </w:r>
          </w:p>
          <w:p w:rsidR="00000000" w:rsidRPr="00CF29FD" w:rsidP="00CF29FD">
            <w:pPr>
              <w:pStyle w:val="ListBullet2"/>
            </w:pPr>
            <w:r w:rsidRPr="00CF29FD">
              <w:t>Apply sustainable energy principles and practices as specified in the perfor</w:t>
            </w:r>
            <w:r w:rsidRPr="00CF29FD">
              <w:t>mance criteria and range statement</w:t>
            </w:r>
          </w:p>
          <w:p w:rsidR="00000000" w:rsidRPr="00CF29FD" w:rsidP="00CF29FD">
            <w:pPr>
              <w:pStyle w:val="ListBullet2"/>
            </w:pPr>
            <w:r w:rsidRPr="00CF29FD">
              <w:t>Demonstrate an understanding of the essential knowledge and associated skills as described in this unit.  It may be required by some jurisdictions that RTOs provide a percentile graded result for the purpose of regulatory</w:t>
            </w:r>
            <w:r w:rsidRPr="00CF29FD">
              <w:t xml:space="preserve"> or licensing requirements.   </w:t>
            </w:r>
          </w:p>
          <w:p w:rsidR="00000000" w:rsidRPr="00CF29FD" w:rsidP="00CF29FD">
            <w:pPr>
              <w:pStyle w:val="ListBullet2"/>
            </w:pPr>
            <w:r w:rsidRPr="00CF29FD">
              <w:t>Demonstrate an appropriate level of skills enabling employment</w:t>
            </w:r>
          </w:p>
          <w:p w:rsidR="00000000" w:rsidRPr="00CF29FD" w:rsidP="00CF29FD">
            <w:pPr>
              <w:pStyle w:val="ListBullet2"/>
            </w:pPr>
            <w:r w:rsidRPr="00CF29FD">
              <w:t>Conduct work observing the relevant Anti Discrimination legislation, regulations, polices and workplace procedures</w:t>
            </w:r>
          </w:p>
          <w:p w:rsidR="00000000" w:rsidRPr="00CF29FD" w:rsidP="00CF29FD">
            <w:pPr>
              <w:pStyle w:val="ListBullet"/>
            </w:pPr>
            <w:r w:rsidRPr="00CF29FD">
              <w:t>Demonstrated consistent performance across a r</w:t>
            </w:r>
            <w:r w:rsidRPr="00CF29FD">
              <w:t>epresentative range of contexts from the prescribed items below:</w:t>
            </w:r>
          </w:p>
          <w:p w:rsidR="00000000" w:rsidRPr="00CF29FD" w:rsidP="00CF29FD">
            <w:pPr>
              <w:pStyle w:val="ListBullet2"/>
            </w:pPr>
            <w:r w:rsidRPr="00CF29FD">
              <w:t>Carry out basic repairs to electrical apparatus as described as described in 8) and including:</w:t>
            </w:r>
          </w:p>
          <w:p w:rsidR="00000000" w:rsidRPr="00CF29FD" w:rsidP="00CF29FD">
            <w:pPr>
              <w:pStyle w:val="BodyText"/>
            </w:pPr>
            <w:r w:rsidRPr="00CF29FD">
              <w:t>A</w:t>
            </w:r>
            <w:r w:rsidRPr="00CF29FD">
              <w:tab/>
              <w:t>Following manufactures service instructions for access to components.</w:t>
            </w:r>
          </w:p>
          <w:p w:rsidR="00000000" w:rsidRPr="00CF29FD" w:rsidP="00CF29FD">
            <w:pPr>
              <w:pStyle w:val="BodyText"/>
            </w:pPr>
            <w:r w:rsidRPr="00CF29FD">
              <w:t>B</w:t>
            </w:r>
            <w:r w:rsidRPr="00CF29FD">
              <w:tab/>
              <w:t>Removing at least thr</w:t>
            </w:r>
            <w:r w:rsidRPr="00CF29FD">
              <w:t>ee different types of components specified in the work instructions.</w:t>
            </w:r>
          </w:p>
          <w:p w:rsidR="00000000" w:rsidRPr="00CF29FD" w:rsidP="00CF29FD">
            <w:pPr>
              <w:pStyle w:val="BodyText"/>
            </w:pPr>
            <w:r w:rsidRPr="00CF29FD">
              <w:t>C</w:t>
            </w:r>
            <w:r w:rsidRPr="00CF29FD">
              <w:tab/>
              <w:t>Replacing components to manufacturer’s requirements.</w:t>
            </w:r>
          </w:p>
          <w:p w:rsidR="00000000" w:rsidRPr="00CF29FD" w:rsidP="00CF29FD">
            <w:pPr>
              <w:pStyle w:val="BodyText"/>
            </w:pPr>
            <w:r w:rsidRPr="00CF29FD">
              <w:t>D</w:t>
            </w:r>
            <w:r w:rsidRPr="00CF29FD">
              <w:tab/>
              <w:t>Terminating internal wiring correctly.</w:t>
            </w:r>
          </w:p>
          <w:p w:rsidR="00000000" w:rsidRPr="00CF29FD" w:rsidP="00CF29FD">
            <w:pPr>
              <w:pStyle w:val="BodyText"/>
            </w:pPr>
            <w:r w:rsidRPr="00CF29FD">
              <w:t>E</w:t>
            </w:r>
            <w:r w:rsidRPr="00CF29FD">
              <w:tab/>
              <w:t>Reassembling the apparatus correctly.</w:t>
            </w:r>
          </w:p>
          <w:p w:rsidR="00000000" w:rsidRPr="00CF29FD" w:rsidP="00CF29FD">
            <w:pPr>
              <w:pStyle w:val="BodyText"/>
            </w:pPr>
            <w:r w:rsidRPr="00CF29FD">
              <w:t>F</w:t>
            </w:r>
            <w:r w:rsidRPr="00CF29FD">
              <w:tab/>
              <w:t>Testing apparatus operation.</w:t>
            </w:r>
          </w:p>
          <w:p w:rsidR="00000000" w:rsidRPr="00CF29FD" w:rsidP="00CF29FD">
            <w:pPr>
              <w:pStyle w:val="BodyText"/>
            </w:pPr>
            <w:r w:rsidRPr="00CF29FD">
              <w:t>G</w:t>
            </w:r>
            <w:r w:rsidRPr="00CF29FD">
              <w:tab/>
              <w:t>Dealing wi</w:t>
            </w:r>
            <w:r w:rsidRPr="00CF29FD">
              <w:t>th unplanned events by drawing on essential knowledge and skills to provide appropriate solutions incorporated in the holistic assessment with the above listed items.</w:t>
            </w:r>
          </w:p>
          <w:p w:rsidR="00000000" w:rsidRPr="00CF29FD" w:rsidP="00CF29FD">
            <w:pPr>
              <w:pStyle w:val="BodyText"/>
            </w:pPr>
            <w:r w:rsidRPr="00CF29FD">
              <w:t xml:space="preserve">Note: </w:t>
            </w:r>
          </w:p>
          <w:p w:rsidR="00000000" w:rsidRPr="00CF29FD" w:rsidP="00CF29FD">
            <w:pPr>
              <w:pStyle w:val="BodyText"/>
            </w:pPr>
            <w:r w:rsidRPr="00CF29FD">
              <w:t>Successful completion of relevant vendor training may be used to contribute to evi</w:t>
            </w:r>
            <w:r w:rsidRPr="00CF29FD">
              <w:t>dence on which competency is deemed. In these cases the alignment of outcomes of vendor training with performance criteria and critical aspects of evidence shall be clearly identified.</w:t>
            </w:r>
          </w:p>
        </w:tc>
      </w:tr>
    </w:tbl>
    <w:p w:rsidR="00000000" w:rsidRPr="00CF29FD" w:rsidP="00CF29FD">
      <w:pPr>
        <w:pStyle w:val="BodyText"/>
      </w:pPr>
    </w:p>
    <w:tbl>
      <w:tblPr>
        <w:tblW w:w="0" w:type="auto"/>
        <w:tblLayout w:type="fixed"/>
        <w:tblCellMar>
          <w:left w:w="62" w:type="dxa"/>
          <w:right w:w="62" w:type="dxa"/>
        </w:tblCellMar>
        <w:tblLook w:val="0000"/>
      </w:tblPr>
      <w:tblGrid>
        <w:gridCol w:w="1890"/>
        <w:gridCol w:w="6570"/>
      </w:tblGrid>
      <w:tr w:rsidTr="00531F5C">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CF29FD" w:rsidP="00CF29FD">
            <w:pPr>
              <w:pStyle w:val="BodyText"/>
            </w:pPr>
            <w:r w:rsidRPr="00CF29FD">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rPr>
                <w:rStyle w:val="SpecialBold"/>
              </w:rPr>
              <w:t>9.3)</w:t>
            </w:r>
          </w:p>
        </w:tc>
      </w:tr>
      <w:tr w:rsidTr="00531F5C">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F29FD" w:rsidP="00CF29FD">
            <w:pPr>
              <w:pStyle w:val="BodyText"/>
            </w:pPr>
            <w:r w:rsidRPr="00CF29FD">
              <w:t>This unit sho</w:t>
            </w:r>
            <w:r w:rsidRPr="00CF29FD">
              <w:t>uld be assessed as it relates to normal work practice using procedures, information and resources typical of a workplace. This should include:</w:t>
            </w:r>
          </w:p>
          <w:p w:rsidR="00000000" w:rsidRPr="00CF29FD" w:rsidP="00CF29FD">
            <w:pPr>
              <w:pStyle w:val="BodyText"/>
            </w:pPr>
            <w:r w:rsidRPr="00CF29FD">
              <w:t>OHS policy and work procedures and instructions.</w:t>
            </w:r>
          </w:p>
          <w:p w:rsidR="00000000" w:rsidRPr="00CF29FD" w:rsidP="00CF29FD">
            <w:pPr>
              <w:pStyle w:val="BodyText"/>
            </w:pPr>
            <w:r w:rsidRPr="00CF29FD">
              <w:t>Suitable work environment, facilities, equipment and materials t</w:t>
            </w:r>
            <w:r w:rsidRPr="00CF29FD">
              <w:t>o undertake actual work as prescribed by this unit.</w:t>
            </w:r>
          </w:p>
          <w:p w:rsidR="00000000" w:rsidRPr="00CF29FD" w:rsidP="00CF29FD">
            <w:pPr>
              <w:pStyle w:val="BodyText"/>
            </w:pPr>
            <w:r w:rsidRPr="00CF29FD">
              <w:t>Resources required to assess this unit are listed above in Context of assessment’, which should also be used in the formal learning/assessment environment.</w:t>
            </w:r>
          </w:p>
          <w:p w:rsidR="00000000" w:rsidRPr="00CF29FD" w:rsidP="00CF29FD">
            <w:pPr>
              <w:pStyle w:val="BodyText"/>
            </w:pPr>
            <w:r w:rsidRPr="00CF29FD">
              <w:t>Note:</w:t>
            </w:r>
          </w:p>
          <w:p w:rsidR="00000000" w:rsidRPr="00CF29FD" w:rsidP="00CF29FD">
            <w:pPr>
              <w:pStyle w:val="BodyText"/>
            </w:pPr>
            <w:r w:rsidRPr="00CF29FD">
              <w:t xml:space="preserve">Where simulation is considered a suitable </w:t>
            </w:r>
            <w:r w:rsidRPr="00CF29FD">
              <w:t>strategy for assessment, conditions must be authentic and as far as possible reproduce and replicate the workplace and be consistent with the approved industry simulation policy.</w:t>
            </w:r>
          </w:p>
          <w:p w:rsidR="00000000" w:rsidRPr="00CF29FD" w:rsidP="00CF29FD">
            <w:pPr>
              <w:pStyle w:val="BodyText"/>
            </w:pPr>
            <w:r w:rsidRPr="00CF29FD">
              <w:t>The resources used for as</w:t>
            </w:r>
            <w:r w:rsidRPr="00CF29FD">
              <w:t>sessment should reflect current industry practices in relation to carrying out basic repairs to electrical apparatus.</w:t>
            </w:r>
          </w:p>
        </w:tc>
      </w:tr>
    </w:tbl>
    <w:p w:rsidR="00000000" w:rsidRPr="00CF29FD" w:rsidP="00CF29FD">
      <w:pPr>
        <w:pStyle w:val="BodyText"/>
      </w:pPr>
    </w:p>
    <w:tbl>
      <w:tblPr>
        <w:tblW w:w="0" w:type="auto"/>
        <w:tblLayout w:type="fixed"/>
        <w:tblCellMar>
          <w:left w:w="62" w:type="dxa"/>
          <w:right w:w="62" w:type="dxa"/>
        </w:tblCellMar>
        <w:tblLook w:val="0000"/>
      </w:tblPr>
      <w:tblGrid>
        <w:gridCol w:w="1890"/>
        <w:gridCol w:w="6570"/>
      </w:tblGrid>
      <w:tr w:rsidTr="00531F5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F29FD" w:rsidP="00CF29FD">
            <w:pPr>
              <w:pStyle w:val="BodyText"/>
            </w:pPr>
            <w:r w:rsidRPr="00CF29FD">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rPr>
                <w:rStyle w:val="SpecialBold"/>
              </w:rPr>
              <w:t>9.4)</w:t>
            </w:r>
          </w:p>
        </w:tc>
      </w:tr>
      <w:tr w:rsidTr="00531F5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F29FD" w:rsidP="00CF29FD">
            <w:pPr>
              <w:pStyle w:val="BodyText"/>
            </w:pPr>
            <w:r w:rsidRPr="00CF29FD">
              <w:t>This unit shall be assessed by methods given in Volume 1, Part 3 ‘Assessment Guidelines’.</w:t>
            </w:r>
          </w:p>
          <w:p w:rsidR="00000000" w:rsidRPr="00CF29FD" w:rsidP="00CF29FD">
            <w:pPr>
              <w:pStyle w:val="BodyText"/>
            </w:pPr>
            <w:r w:rsidRPr="00CF29FD">
              <w:t xml:space="preserve">Note: </w:t>
            </w:r>
          </w:p>
          <w:p w:rsidR="00000000" w:rsidRPr="00CF29FD" w:rsidP="00CF29FD">
            <w:pPr>
              <w:pStyle w:val="BodyText"/>
            </w:pPr>
            <w:r w:rsidRPr="00CF29FD">
              <w:t>Competent p</w:t>
            </w:r>
            <w:r w:rsidRPr="00CF29FD">
              <w:t>erformance with inherent safe working practices is expected in the industry to which this unit applies. This requires assessment in a structured environment which is primarily intended for learning/assessment and incorporates all necessary equipment and fa</w:t>
            </w:r>
            <w:r w:rsidRPr="00CF29FD">
              <w:t>cilities for learners to develop and demonstrate the essential knowledge and skills described in this unit.</w:t>
            </w:r>
          </w:p>
        </w:tc>
      </w:tr>
    </w:tbl>
    <w:p w:rsidR="00000000" w:rsidRPr="00CF29FD" w:rsidP="00CF29FD">
      <w:pPr>
        <w:pStyle w:val="BodyText"/>
      </w:pPr>
    </w:p>
    <w:tbl>
      <w:tblPr>
        <w:tblW w:w="0" w:type="auto"/>
        <w:tblLayout w:type="fixed"/>
        <w:tblCellMar>
          <w:left w:w="62" w:type="dxa"/>
          <w:right w:w="62" w:type="dxa"/>
        </w:tblCellMar>
        <w:tblLook w:val="0000"/>
      </w:tblPr>
      <w:tblGrid>
        <w:gridCol w:w="1890"/>
        <w:gridCol w:w="1530"/>
        <w:gridCol w:w="5040"/>
      </w:tblGrid>
      <w:tr w:rsidTr="00531F5C">
        <w:tblPrEx>
          <w:tblW w:w="0" w:type="auto"/>
          <w:tblLayout w:type="fixed"/>
          <w:tblCellMar>
            <w:left w:w="62" w:type="dxa"/>
            <w:right w:w="62" w:type="dxa"/>
          </w:tblCellMar>
          <w:tblLook w:val="0000"/>
        </w:tblPrEx>
        <w:trPr>
          <w:trHeight w:val="1024"/>
        </w:trPr>
        <w:tc>
          <w:tcPr>
            <w:tcW w:w="1890" w:type="dxa"/>
            <w:tcBorders>
              <w:top w:val="nil"/>
              <w:left w:val="nil"/>
              <w:bottom w:val="nil"/>
              <w:right w:val="nil"/>
            </w:tcBorders>
            <w:tcMar>
              <w:top w:w="0" w:type="dxa"/>
              <w:left w:w="62" w:type="dxa"/>
              <w:bottom w:w="0" w:type="dxa"/>
              <w:right w:w="62" w:type="dxa"/>
            </w:tcMar>
          </w:tcPr>
          <w:p w:rsidR="00000000" w:rsidRPr="00CF29FD" w:rsidP="00CF29FD">
            <w:pPr>
              <w:pStyle w:val="BodyText"/>
            </w:pPr>
            <w:r w:rsidRPr="00CF29FD">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rPr>
                <w:rStyle w:val="SpecialBold"/>
              </w:rPr>
              <w:t>9.5)</w:t>
            </w:r>
          </w:p>
        </w:tc>
      </w:tr>
      <w:tr w:rsidTr="00531F5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t>For optimisation of training and assessment effort, competency</w:t>
            </w:r>
            <w:r w:rsidRPr="00CF29FD">
              <w:t xml:space="preserve"> development in this unit may be arranged concurrently with unit:</w:t>
            </w:r>
          </w:p>
        </w:tc>
      </w:tr>
      <w:tr w:rsidTr="00531F5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t>UEENEEE102A</w:t>
            </w:r>
          </w:p>
        </w:tc>
        <w:tc>
          <w:tcPr>
            <w:tcW w:w="5040" w:type="dxa"/>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t>Fabricate, assemble and dismantle utilities industry components</w:t>
            </w:r>
          </w:p>
        </w:tc>
      </w:tr>
      <w:tr w:rsidTr="00531F5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CF29FD" w:rsidP="00CF29FD">
            <w:pPr>
              <w:pStyle w:val="BodyText"/>
            </w:pPr>
            <w:r w:rsidRPr="00CF29FD">
              <w:t>The critical aspects of occupational health and safety covered in unit UEENEEE101A and other discipline speci</w:t>
            </w:r>
            <w:r w:rsidRPr="00CF29FD">
              <w:t>fic occupational health and safety units shall be incorporated in relation to this unit.</w:t>
            </w:r>
          </w:p>
        </w:tc>
      </w:tr>
    </w:tbl>
    <w:p w:rsidR="00000000" w:rsidRPr="00CF29FD" w:rsidP="00CF29FD">
      <w:pPr>
        <w:pStyle w:val="BodyText"/>
      </w:pPr>
    </w:p>
    <w:p w:rsidR="00000000" w:rsidRPr="00CF29FD" w:rsidP="00CF29FD">
      <w:pPr>
        <w:pStyle w:val="AllowPageBreak"/>
      </w:pPr>
    </w:p>
    <w:p w:rsidR="00000000" w:rsidRPr="00CF29FD" w:rsidP="00CF29FD">
      <w:pPr>
        <w:pStyle w:val="Heading1"/>
      </w:pPr>
      <w:bookmarkStart w:id="11" w:name="O_585075"/>
      <w:bookmarkEnd w:id="11"/>
      <w:r w:rsidRPr="00CF29FD">
        <w:t>Range Statement</w:t>
      </w:r>
    </w:p>
    <w:tbl>
      <w:tblPr>
        <w:tblW w:w="0" w:type="auto"/>
        <w:tblLayout w:type="fixed"/>
        <w:tblCellMar>
          <w:left w:w="62" w:type="dxa"/>
          <w:right w:w="62" w:type="dxa"/>
        </w:tblCellMar>
        <w:tblLook w:val="0000"/>
      </w:tblPr>
      <w:tblGrid>
        <w:gridCol w:w="8460"/>
      </w:tblGrid>
      <w:tr w:rsidTr="00531F5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rPr>
                <w:rStyle w:val="SpecialBold"/>
              </w:rPr>
              <w:t>RANGE STATEMENT</w:t>
            </w:r>
          </w:p>
        </w:tc>
      </w:tr>
      <w:tr w:rsidTr="00531F5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F29FD" w:rsidP="00CF29FD">
            <w:pPr>
              <w:pStyle w:val="BodyText"/>
            </w:pPr>
            <w:r w:rsidRPr="00CF29FD">
              <w:rPr>
                <w:rStyle w:val="SpecialBold"/>
              </w:rPr>
              <w:t>10)</w:t>
            </w:r>
            <w:r w:rsidRPr="00CF29FD">
              <w:t xml:space="preserve"> 8) This relates to the unit as a whole providing the range of contexts and conditions to which the </w:t>
            </w:r>
            <w:r w:rsidRPr="00CF29FD">
              <w:t>performance criteria apply. It allows for different work environments and situations that will affect performance.</w:t>
            </w:r>
          </w:p>
          <w:p w:rsidR="00000000" w:rsidRPr="00CF29FD" w:rsidP="00CF29FD">
            <w:pPr>
              <w:pStyle w:val="BodyText"/>
            </w:pPr>
            <w:r w:rsidRPr="00CF29FD">
              <w:t>This unit shall be demonstrated in relation to carrying out basic repairs electrical apparatus limited to replacement or repair of components</w:t>
            </w:r>
            <w:r w:rsidRPr="00CF29FD">
              <w:t xml:space="preserve"> in which the fault has been previously established. This shall include at least two different electrical apparatus in which three different types of components are faulty one of which requires disconnecting and reconnecting internal wiring to affect repai</w:t>
            </w:r>
            <w:r w:rsidRPr="00CF29FD">
              <w:t>rs.</w:t>
            </w:r>
          </w:p>
          <w:p w:rsidR="00000000" w:rsidRPr="00CF29FD" w:rsidP="00CF29FD">
            <w:pPr>
              <w:pStyle w:val="BodyText"/>
            </w:pPr>
            <w:r w:rsidRPr="00CF29FD">
              <w:t>Generic terms used throughout this Vocational Standard shall be regarded as part of the Range Statement in which competency is demonstrated. The definition of these and other terms that apply are given in Volume 2, Part 2.1.</w:t>
            </w:r>
          </w:p>
        </w:tc>
      </w:tr>
    </w:tbl>
    <w:p w:rsidR="00000000" w:rsidRPr="00CF29FD" w:rsidP="00CF29FD">
      <w:pPr>
        <w:pStyle w:val="BodyText"/>
      </w:pPr>
    </w:p>
    <w:p w:rsidR="00000000" w:rsidRPr="00CF29FD" w:rsidP="00CF29FD">
      <w:pPr>
        <w:pStyle w:val="AllowPageBreak"/>
      </w:pPr>
    </w:p>
    <w:p w:rsidR="00000000" w:rsidRPr="00CF29FD" w:rsidP="00CF29FD">
      <w:pPr>
        <w:pStyle w:val="Heading1"/>
      </w:pPr>
      <w:bookmarkStart w:id="12" w:name="O_585074"/>
      <w:bookmarkEnd w:id="12"/>
      <w:r w:rsidRPr="00CF29FD">
        <w:t>Unit Sector(s)</w:t>
      </w:r>
    </w:p>
    <w:p w:rsidR="00000000" w:rsidRPr="00CF29FD" w:rsidP="00CF29FD">
      <w:pPr>
        <w:pStyle w:val="BodyText"/>
      </w:pPr>
      <w:r w:rsidRPr="00CF29FD">
        <w:t>Not applicable.</w:t>
      </w:r>
    </w:p>
    <w:p w:rsidR="00000000" w:rsidRPr="00CF29FD" w:rsidP="00CF29FD">
      <w:pPr>
        <w:pStyle w:val="AllowPageBreak"/>
      </w:pPr>
    </w:p>
    <w:p w:rsidR="00000000" w:rsidRPr="00CF29FD" w:rsidP="00CF29FD">
      <w:pPr>
        <w:pStyle w:val="Heading1"/>
      </w:pPr>
      <w:bookmarkStart w:id="13" w:name="O_585072"/>
      <w:bookmarkEnd w:id="13"/>
      <w:r w:rsidRPr="00CF29FD">
        <w:t>Competency Field</w:t>
      </w:r>
    </w:p>
    <w:tbl>
      <w:tblPr>
        <w:tblW w:w="0" w:type="auto"/>
        <w:tblLayout w:type="fixed"/>
        <w:tblCellMar>
          <w:left w:w="62" w:type="dxa"/>
          <w:right w:w="62" w:type="dxa"/>
        </w:tblCellMar>
        <w:tblLook w:val="0000"/>
      </w:tblPr>
      <w:tblGrid>
        <w:gridCol w:w="2700"/>
        <w:gridCol w:w="5760"/>
      </w:tblGrid>
      <w:tr w:rsidTr="00531F5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F29FD" w:rsidP="00CF29FD">
            <w:pPr>
              <w:pStyle w:val="BodyText"/>
            </w:pPr>
            <w:r w:rsidRPr="00CF29F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F29FD">
            <w:pPr>
              <w:pStyle w:val="BodyText"/>
              <w:rPr>
                <w:lang w:val="en-NZ"/>
              </w:rPr>
            </w:pPr>
            <w:r w:rsidRPr="00CF29FD">
              <w:rPr>
                <w:rStyle w:val="SpecialBold"/>
              </w:rPr>
              <w:t xml:space="preserve">11) </w:t>
            </w:r>
          </w:p>
        </w:tc>
      </w:tr>
      <w:tr w:rsidTr="00531F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F29FD" w:rsidP="00CF29FD">
            <w:pPr>
              <w:pStyle w:val="BodyText"/>
            </w:pPr>
            <w:r w:rsidRPr="00CF29FD">
              <w:t>Electrical</w:t>
            </w:r>
          </w:p>
        </w:tc>
      </w:tr>
    </w:tbl>
    <w:p w:rsidR="00000000" w:rsidRPr="00CF29FD" w:rsidP="00CF29FD">
      <w:pPr>
        <w:pStyle w:val="BodyText"/>
      </w:pPr>
    </w:p>
    <w:p w:rsidR="00000000" w:rsidRPr="00CF29FD" w:rsidP="00CF29FD"/>
    <w:sectPr w:rsidSect="00CF29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9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9FD" w:rsidRPr="00531F5C" w:rsidP="00531F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9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F5C" w:rsidP="00CF29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31F5C" w:rsidP="00CF29F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531F5C" w:rsidP="00CF29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9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9FD" w:rsidRPr="00531F5C" w:rsidP="00531F5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9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F5C" w:rsidRPr="002D2AF8" w:rsidP="00CF29FD">
    <w:pPr>
      <w:pStyle w:val="Header"/>
      <w:framePr w:wrap="around"/>
    </w:pPr>
    <w:r>
      <w:fldChar w:fldCharType="begin"/>
    </w:r>
    <w:r>
      <w:instrText xml:space="preserve"> TITLE   \* MERGEFORMAT </w:instrText>
    </w:r>
    <w:r>
      <w:fldChar w:fldCharType="separate"/>
    </w:r>
    <w:r>
      <w:t>UEENEEG111A Carry out basic repairs to electrical components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531F5C" w:rsidP="00CF29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CC21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20BF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747F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9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29FD"/>
    <w:pPr>
      <w:spacing w:before="360" w:after="60"/>
      <w:outlineLvl w:val="0"/>
    </w:pPr>
    <w:rPr>
      <w:sz w:val="32"/>
    </w:rPr>
  </w:style>
  <w:style w:type="paragraph" w:styleId="Heading2">
    <w:name w:val="heading 2"/>
    <w:basedOn w:val="HeadingBase"/>
    <w:next w:val="BodyText"/>
    <w:link w:val="Heading2Char"/>
    <w:qFormat/>
    <w:rsid w:val="00CF29FD"/>
    <w:pPr>
      <w:keepLines/>
      <w:spacing w:before="240" w:after="120"/>
      <w:outlineLvl w:val="1"/>
    </w:pPr>
    <w:rPr>
      <w:sz w:val="28"/>
      <w:szCs w:val="40"/>
    </w:rPr>
  </w:style>
  <w:style w:type="paragraph" w:styleId="Heading3">
    <w:name w:val="heading 3"/>
    <w:basedOn w:val="HeadingBase"/>
    <w:next w:val="BodyText"/>
    <w:link w:val="Heading3Char"/>
    <w:qFormat/>
    <w:rsid w:val="00CF29FD"/>
    <w:pPr>
      <w:spacing w:before="180" w:after="120"/>
      <w:outlineLvl w:val="2"/>
    </w:pPr>
    <w:rPr>
      <w:spacing w:val="-10"/>
      <w:kern w:val="32"/>
    </w:rPr>
  </w:style>
  <w:style w:type="paragraph" w:styleId="Heading4">
    <w:name w:val="heading 4"/>
    <w:basedOn w:val="HeadingBase"/>
    <w:next w:val="BodyText"/>
    <w:link w:val="Heading4Char"/>
    <w:qFormat/>
    <w:rsid w:val="00CF29FD"/>
    <w:pPr>
      <w:spacing w:before="160" w:after="120"/>
      <w:outlineLvl w:val="3"/>
    </w:pPr>
    <w:rPr>
      <w:sz w:val="22"/>
    </w:rPr>
  </w:style>
  <w:style w:type="paragraph" w:styleId="Heading5">
    <w:name w:val="heading 5"/>
    <w:basedOn w:val="HeadingBase"/>
    <w:next w:val="Normal"/>
    <w:link w:val="Heading5Char"/>
    <w:qFormat/>
    <w:rsid w:val="00CF29FD"/>
    <w:pPr>
      <w:spacing w:before="80"/>
      <w:outlineLvl w:val="4"/>
    </w:pPr>
    <w:rPr>
      <w:color w:val="918585"/>
      <w:sz w:val="20"/>
    </w:rPr>
  </w:style>
  <w:style w:type="paragraph" w:styleId="Heading6">
    <w:name w:val="heading 6"/>
    <w:basedOn w:val="HeadingBase"/>
    <w:next w:val="Normal"/>
    <w:link w:val="Heading6Char"/>
    <w:qFormat/>
    <w:rsid w:val="00CF29FD"/>
    <w:pPr>
      <w:spacing w:before="60"/>
      <w:outlineLvl w:val="5"/>
    </w:pPr>
    <w:rPr>
      <w:color w:val="918585"/>
      <w:sz w:val="20"/>
    </w:rPr>
  </w:style>
  <w:style w:type="paragraph" w:styleId="Heading7">
    <w:name w:val="heading 7"/>
    <w:basedOn w:val="Normal"/>
    <w:next w:val="Normal"/>
    <w:link w:val="Heading7Char"/>
    <w:qFormat/>
    <w:rsid w:val="00CF29FD"/>
    <w:pPr>
      <w:ind w:left="720"/>
      <w:outlineLvl w:val="6"/>
    </w:pPr>
    <w:rPr>
      <w:i/>
    </w:rPr>
  </w:style>
  <w:style w:type="paragraph" w:styleId="Heading8">
    <w:name w:val="heading 8"/>
    <w:basedOn w:val="Normal"/>
    <w:next w:val="Normal"/>
    <w:link w:val="Heading8Char"/>
    <w:qFormat/>
    <w:rsid w:val="00CF29FD"/>
    <w:pPr>
      <w:ind w:left="720"/>
      <w:outlineLvl w:val="7"/>
    </w:pPr>
    <w:rPr>
      <w:i/>
    </w:rPr>
  </w:style>
  <w:style w:type="paragraph" w:styleId="Heading9">
    <w:name w:val="heading 9"/>
    <w:basedOn w:val="Normal"/>
    <w:next w:val="Normal"/>
    <w:link w:val="Heading9Char"/>
    <w:qFormat/>
    <w:rsid w:val="00CF29FD"/>
    <w:pPr>
      <w:ind w:left="720"/>
      <w:outlineLvl w:val="8"/>
    </w:pPr>
    <w:rPr>
      <w:i/>
    </w:rPr>
  </w:style>
  <w:style w:type="character" w:default="1" w:styleId="DefaultParagraphFont">
    <w:name w:val="Default Paragraph Font"/>
    <w:uiPriority w:val="1"/>
    <w:unhideWhenUsed/>
    <w:rsid w:val="00CF29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29FD"/>
  </w:style>
  <w:style w:type="character" w:customStyle="1" w:styleId="Heading1Char">
    <w:name w:val="Heading 1 Char"/>
    <w:basedOn w:val="DefaultParagraphFont"/>
    <w:link w:val="Heading1"/>
    <w:rsid w:val="00CF29FD"/>
    <w:rPr>
      <w:rFonts w:ascii="Times New Roman" w:eastAsia="Times New Roman" w:hAnsi="Times New Roman" w:cs="Times New Roman"/>
      <w:b/>
      <w:sz w:val="32"/>
      <w:szCs w:val="20"/>
      <w:lang w:eastAsia="en-US"/>
    </w:rPr>
  </w:style>
  <w:style w:type="paragraph" w:styleId="BodyText">
    <w:name w:val="Body Text"/>
    <w:basedOn w:val="Normal"/>
    <w:link w:val="BodyTextChar"/>
    <w:rsid w:val="00CF29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29FD"/>
    <w:rPr>
      <w:rFonts w:ascii="Times New Roman" w:eastAsia="Times New Roman" w:hAnsi="Times New Roman" w:cs="Times New Roman"/>
      <w:sz w:val="24"/>
      <w:lang w:eastAsia="en-US"/>
    </w:rPr>
  </w:style>
  <w:style w:type="paragraph" w:styleId="ListBullet">
    <w:name w:val="List Bullet"/>
    <w:basedOn w:val="List"/>
    <w:rsid w:val="00CF29FD"/>
    <w:pPr>
      <w:numPr>
        <w:numId w:val="13"/>
      </w:numPr>
      <w:tabs>
        <w:tab w:val="clear" w:pos="340"/>
      </w:tabs>
      <w:spacing w:before="40" w:after="40"/>
    </w:pPr>
  </w:style>
  <w:style w:type="character" w:customStyle="1" w:styleId="SpecialBold">
    <w:name w:val="Special Bold"/>
    <w:basedOn w:val="DefaultParagraphFont"/>
    <w:rsid w:val="00CF29FD"/>
    <w:rPr>
      <w:b/>
      <w:spacing w:val="0"/>
    </w:rPr>
  </w:style>
  <w:style w:type="paragraph" w:styleId="ListBullet2">
    <w:name w:val="List Bullet 2"/>
    <w:basedOn w:val="List2"/>
    <w:rsid w:val="00CF29FD"/>
    <w:pPr>
      <w:numPr>
        <w:numId w:val="14"/>
      </w:numPr>
      <w:tabs>
        <w:tab w:val="clear" w:pos="680"/>
      </w:tabs>
    </w:pPr>
  </w:style>
  <w:style w:type="paragraph" w:customStyle="1" w:styleId="SuperHeading">
    <w:name w:val="SuperHeading"/>
    <w:basedOn w:val="Normal"/>
    <w:rsid w:val="00CF29FD"/>
    <w:pPr>
      <w:spacing w:before="240" w:after="120"/>
      <w:outlineLvl w:val="0"/>
    </w:pPr>
    <w:rPr>
      <w:rFonts w:ascii="Times New Roman" w:hAnsi="Times New Roman"/>
      <w:b/>
      <w:sz w:val="32"/>
    </w:rPr>
  </w:style>
  <w:style w:type="paragraph" w:customStyle="1" w:styleId="AllowPageBreak">
    <w:name w:val="AllowPageBreak"/>
    <w:rsid w:val="00CF29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29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29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29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29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29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29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29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29FD"/>
    <w:rPr>
      <w:rFonts w:ascii="Courier New" w:eastAsia="Times New Roman" w:hAnsi="Courier New" w:cs="Times New Roman"/>
      <w:i/>
      <w:szCs w:val="20"/>
      <w:lang w:eastAsia="en-US"/>
    </w:rPr>
  </w:style>
  <w:style w:type="paragraph" w:customStyle="1" w:styleId="HeadingBase">
    <w:name w:val="Heading Base"/>
    <w:rsid w:val="00CF29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29FD"/>
    <w:pPr>
      <w:tabs>
        <w:tab w:val="right" w:leader="dot" w:pos="9072"/>
      </w:tabs>
      <w:ind w:left="567"/>
    </w:pPr>
    <w:rPr>
      <w:szCs w:val="22"/>
    </w:rPr>
  </w:style>
  <w:style w:type="paragraph" w:customStyle="1" w:styleId="TOCBase">
    <w:name w:val="TOC Base"/>
    <w:rsid w:val="00CF29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29FD"/>
    <w:pPr>
      <w:tabs>
        <w:tab w:val="right" w:leader="dot" w:pos="9072"/>
      </w:tabs>
      <w:spacing w:before="40" w:after="40"/>
      <w:ind w:left="284"/>
    </w:pPr>
    <w:rPr>
      <w:rFonts w:ascii="Times New Roman" w:hAnsi="Times New Roman"/>
    </w:rPr>
  </w:style>
  <w:style w:type="paragraph" w:styleId="TOC1">
    <w:name w:val="toc 1"/>
    <w:basedOn w:val="TOCBase"/>
    <w:next w:val="Normal"/>
    <w:rsid w:val="00CF29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29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29FD"/>
    <w:rPr>
      <w:rFonts w:ascii="Times New Roman" w:eastAsia="Times New Roman" w:hAnsi="Times New Roman" w:cs="Times New Roman"/>
      <w:sz w:val="16"/>
      <w:lang w:eastAsia="en-US"/>
    </w:rPr>
  </w:style>
  <w:style w:type="paragraph" w:styleId="Title">
    <w:name w:val="Title"/>
    <w:basedOn w:val="HeadingBase"/>
    <w:link w:val="TitleChar"/>
    <w:qFormat/>
    <w:rsid w:val="00CF29FD"/>
    <w:pPr>
      <w:spacing w:before="5040"/>
      <w:jc w:val="center"/>
    </w:pPr>
    <w:rPr>
      <w:sz w:val="48"/>
      <w:szCs w:val="72"/>
      <w:lang w:val="en-US"/>
    </w:rPr>
  </w:style>
  <w:style w:type="character" w:customStyle="1" w:styleId="TitleChar">
    <w:name w:val="Title Char"/>
    <w:basedOn w:val="DefaultParagraphFont"/>
    <w:link w:val="Title"/>
    <w:rsid w:val="00CF29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29FD"/>
    <w:pPr>
      <w:tabs>
        <w:tab w:val="left" w:pos="3600"/>
        <w:tab w:val="left" w:pos="3958"/>
      </w:tabs>
    </w:pPr>
  </w:style>
  <w:style w:type="paragraph" w:styleId="List">
    <w:name w:val="List"/>
    <w:basedOn w:val="BodyText"/>
    <w:next w:val="BodyText"/>
    <w:rsid w:val="00CF29FD"/>
    <w:pPr>
      <w:tabs>
        <w:tab w:val="left" w:pos="340"/>
      </w:tabs>
      <w:spacing w:before="60" w:after="60"/>
      <w:ind w:left="340" w:hanging="340"/>
    </w:pPr>
  </w:style>
  <w:style w:type="paragraph" w:customStyle="1" w:styleId="Note">
    <w:name w:val="Note"/>
    <w:basedOn w:val="BodyText"/>
    <w:rsid w:val="00CF29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29FD"/>
    <w:pPr>
      <w:framePr w:wrap="auto" w:hAnchor="text" w:y="6049"/>
    </w:pPr>
    <w:rPr>
      <w:color w:val="000000"/>
      <w:sz w:val="40"/>
    </w:rPr>
  </w:style>
  <w:style w:type="paragraph" w:customStyle="1" w:styleId="TOCTitle">
    <w:name w:val="TOCTitle"/>
    <w:basedOn w:val="Heading1"/>
    <w:rsid w:val="00CF29FD"/>
    <w:pPr>
      <w:spacing w:after="240"/>
      <w:jc w:val="center"/>
      <w:outlineLvl w:val="9"/>
    </w:pPr>
    <w:rPr>
      <w:caps/>
    </w:rPr>
  </w:style>
  <w:style w:type="paragraph" w:customStyle="1" w:styleId="Version">
    <w:name w:val="Version"/>
    <w:rsid w:val="00CF29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29FD"/>
    <w:pPr>
      <w:keepNext w:val="0"/>
      <w:tabs>
        <w:tab w:val="right" w:pos="4176"/>
      </w:tabs>
      <w:ind w:left="198" w:hanging="198"/>
    </w:pPr>
    <w:rPr>
      <w:rFonts w:ascii="Garamond" w:hAnsi="Garamond"/>
    </w:rPr>
  </w:style>
  <w:style w:type="paragraph" w:styleId="IndexHeading">
    <w:name w:val="index heading"/>
    <w:basedOn w:val="Normal"/>
    <w:next w:val="Index1"/>
    <w:semiHidden/>
    <w:rsid w:val="00CF29FD"/>
    <w:pPr>
      <w:spacing w:before="120" w:after="120"/>
    </w:pPr>
    <w:rPr>
      <w:rFonts w:ascii="Arial" w:hAnsi="Arial"/>
      <w:b/>
      <w:color w:val="918585"/>
      <w:sz w:val="24"/>
    </w:rPr>
  </w:style>
  <w:style w:type="paragraph" w:styleId="Header">
    <w:name w:val="header"/>
    <w:basedOn w:val="Normal"/>
    <w:link w:val="HeaderChar"/>
    <w:rsid w:val="00CF29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29FD"/>
    <w:rPr>
      <w:rFonts w:ascii="Times New Roman" w:eastAsia="Times New Roman" w:hAnsi="Times New Roman" w:cs="Times New Roman"/>
      <w:sz w:val="16"/>
      <w:szCs w:val="20"/>
      <w:lang w:val="en-GB" w:eastAsia="en-US"/>
    </w:rPr>
  </w:style>
  <w:style w:type="paragraph" w:customStyle="1" w:styleId="Chapter">
    <w:name w:val="Chapter"/>
    <w:basedOn w:val="Normal"/>
    <w:rsid w:val="00CF29FD"/>
    <w:pPr>
      <w:spacing w:before="240"/>
    </w:pPr>
    <w:rPr>
      <w:rFonts w:ascii="Times New Roman" w:hAnsi="Times New Roman"/>
      <w:smallCaps/>
      <w:spacing w:val="80"/>
      <w:sz w:val="28"/>
    </w:rPr>
  </w:style>
  <w:style w:type="paragraph" w:customStyle="1" w:styleId="InChapter">
    <w:name w:val="InChapter"/>
    <w:basedOn w:val="Heading3"/>
    <w:rsid w:val="00CF29FD"/>
    <w:pPr>
      <w:spacing w:after="240"/>
      <w:outlineLvl w:val="9"/>
    </w:pPr>
    <w:rPr>
      <w:noProof/>
    </w:rPr>
  </w:style>
  <w:style w:type="paragraph" w:styleId="Index2">
    <w:name w:val="index 2"/>
    <w:basedOn w:val="Normal"/>
    <w:next w:val="Normal"/>
    <w:semiHidden/>
    <w:rsid w:val="00CF29FD"/>
    <w:pPr>
      <w:tabs>
        <w:tab w:val="right" w:pos="4176"/>
      </w:tabs>
      <w:ind w:left="568" w:hanging="284"/>
    </w:pPr>
    <w:rPr>
      <w:rFonts w:ascii="Garamond" w:hAnsi="Garamond"/>
    </w:rPr>
  </w:style>
  <w:style w:type="paragraph" w:customStyle="1" w:styleId="Byline">
    <w:name w:val="Byline"/>
    <w:rsid w:val="00CF29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29FD"/>
    <w:pPr>
      <w:tabs>
        <w:tab w:val="clear" w:pos="3600"/>
        <w:tab w:val="clear" w:pos="3958"/>
      </w:tabs>
      <w:jc w:val="right"/>
    </w:pPr>
  </w:style>
  <w:style w:type="character" w:styleId="Emphasis">
    <w:name w:val="Emphasis"/>
    <w:basedOn w:val="DefaultParagraphFont"/>
    <w:qFormat/>
    <w:rsid w:val="00CF29FD"/>
    <w:rPr>
      <w:i/>
    </w:rPr>
  </w:style>
  <w:style w:type="paragraph" w:styleId="Caption">
    <w:name w:val="caption"/>
    <w:basedOn w:val="BodyText"/>
    <w:next w:val="Normal"/>
    <w:qFormat/>
    <w:rsid w:val="00CF29FD"/>
    <w:pPr>
      <w:framePr w:w="2268" w:hSpace="181" w:vSpace="181" w:wrap="around" w:vAnchor="text" w:hAnchor="page" w:x="1135" w:y="285" w:anchorLock="1"/>
    </w:pPr>
    <w:rPr>
      <w:i/>
    </w:rPr>
  </w:style>
  <w:style w:type="paragraph" w:customStyle="1" w:styleId="MiniTOCTitle">
    <w:name w:val="MiniTOCTitle"/>
    <w:basedOn w:val="Heading4"/>
    <w:rsid w:val="00CF29FD"/>
    <w:pPr>
      <w:spacing w:before="240"/>
      <w:outlineLvl w:val="9"/>
    </w:pPr>
    <w:rPr>
      <w:noProof/>
      <w:sz w:val="24"/>
    </w:rPr>
  </w:style>
  <w:style w:type="paragraph" w:customStyle="1" w:styleId="MiniTOCItem">
    <w:name w:val="MiniTOCItem"/>
    <w:basedOn w:val="ListBullet"/>
    <w:rsid w:val="00CF29FD"/>
    <w:pPr>
      <w:numPr>
        <w:numId w:val="0"/>
      </w:numPr>
      <w:tabs>
        <w:tab w:val="right" w:leader="dot" w:pos="6521"/>
      </w:tabs>
      <w:spacing w:before="0" w:after="0"/>
    </w:pPr>
  </w:style>
  <w:style w:type="paragraph" w:customStyle="1" w:styleId="TOFTitle">
    <w:name w:val="TOFTitle"/>
    <w:basedOn w:val="TOCTitle"/>
    <w:rsid w:val="00CF29FD"/>
  </w:style>
  <w:style w:type="paragraph" w:styleId="TableofFigures">
    <w:name w:val="table of figures"/>
    <w:basedOn w:val="Normal"/>
    <w:next w:val="Normal"/>
    <w:semiHidden/>
    <w:rsid w:val="00CF29FD"/>
    <w:pPr>
      <w:tabs>
        <w:tab w:val="right" w:leader="dot" w:pos="9072"/>
      </w:tabs>
      <w:ind w:left="970" w:hanging="403"/>
    </w:pPr>
    <w:rPr>
      <w:rFonts w:ascii="Times New Roman" w:hAnsi="Times New Roman"/>
      <w:b/>
    </w:rPr>
  </w:style>
  <w:style w:type="paragraph" w:styleId="ListNumber">
    <w:name w:val="List Number"/>
    <w:basedOn w:val="List"/>
    <w:rsid w:val="00CF29FD"/>
    <w:pPr>
      <w:numPr>
        <w:numId w:val="11"/>
      </w:numPr>
    </w:pPr>
  </w:style>
  <w:style w:type="character" w:customStyle="1" w:styleId="WingdingSymbols">
    <w:name w:val="Wingding Symbols"/>
    <w:rsid w:val="00CF29FD"/>
    <w:rPr>
      <w:rFonts w:ascii="Wingdings" w:hAnsi="Wingdings"/>
    </w:rPr>
  </w:style>
  <w:style w:type="paragraph" w:customStyle="1" w:styleId="TableHeading">
    <w:name w:val="Table Heading"/>
    <w:basedOn w:val="HeadingBase"/>
    <w:rsid w:val="00CF29FD"/>
    <w:pPr>
      <w:keepLines/>
      <w:pBdr>
        <w:bottom w:val="single" w:sz="6" w:space="1" w:color="918585"/>
      </w:pBdr>
      <w:spacing w:before="240"/>
    </w:pPr>
  </w:style>
  <w:style w:type="character" w:customStyle="1" w:styleId="HotSpot">
    <w:name w:val="HotSpot"/>
    <w:rsid w:val="00CF29FD"/>
    <w:rPr>
      <w:color w:val="0033CC"/>
      <w:u w:val="none"/>
    </w:rPr>
  </w:style>
  <w:style w:type="paragraph" w:customStyle="1" w:styleId="BodyTextRight">
    <w:name w:val="Body Text Right"/>
    <w:basedOn w:val="BodyText"/>
    <w:rsid w:val="00CF29FD"/>
    <w:pPr>
      <w:spacing w:before="0" w:after="0"/>
      <w:jc w:val="right"/>
    </w:pPr>
  </w:style>
  <w:style w:type="paragraph" w:styleId="Index3">
    <w:name w:val="index 3"/>
    <w:basedOn w:val="ListNumber2"/>
    <w:next w:val="Normal"/>
    <w:semiHidden/>
    <w:rsid w:val="00CF29FD"/>
    <w:pPr>
      <w:numPr>
        <w:numId w:val="0"/>
      </w:numPr>
      <w:tabs>
        <w:tab w:val="right" w:leader="dot" w:pos="4176"/>
      </w:tabs>
    </w:pPr>
  </w:style>
  <w:style w:type="paragraph" w:styleId="ListNumber2">
    <w:name w:val="List Number 2"/>
    <w:basedOn w:val="List2"/>
    <w:rsid w:val="00CF29FD"/>
    <w:pPr>
      <w:numPr>
        <w:numId w:val="10"/>
      </w:numPr>
      <w:tabs>
        <w:tab w:val="clear" w:pos="1060"/>
      </w:tabs>
    </w:pPr>
  </w:style>
  <w:style w:type="paragraph" w:customStyle="1" w:styleId="MarginNote">
    <w:name w:val="Margin Note"/>
    <w:basedOn w:val="BodyText"/>
    <w:rsid w:val="00CF29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29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29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29FD"/>
    <w:rPr>
      <w:sz w:val="32"/>
    </w:rPr>
  </w:style>
  <w:style w:type="paragraph" w:customStyle="1" w:styleId="HeadingProcedure">
    <w:name w:val="Heading Procedure"/>
    <w:basedOn w:val="HeadingBase"/>
    <w:next w:val="Normal"/>
    <w:rsid w:val="00CF29FD"/>
    <w:pPr>
      <w:tabs>
        <w:tab w:val="left" w:pos="0"/>
      </w:tabs>
      <w:spacing w:before="120" w:after="60"/>
    </w:pPr>
    <w:rPr>
      <w:i/>
      <w:color w:val="918585"/>
      <w:sz w:val="22"/>
    </w:rPr>
  </w:style>
  <w:style w:type="paragraph" w:customStyle="1" w:styleId="TableBodyText">
    <w:name w:val="Table Body Text"/>
    <w:basedOn w:val="BodyText"/>
    <w:rsid w:val="00CF29FD"/>
    <w:pPr>
      <w:spacing w:before="60" w:after="60"/>
    </w:pPr>
  </w:style>
  <w:style w:type="paragraph" w:styleId="ListContinue">
    <w:name w:val="List Continue"/>
    <w:basedOn w:val="List"/>
    <w:rsid w:val="00CF29FD"/>
    <w:pPr>
      <w:ind w:firstLine="0"/>
    </w:pPr>
  </w:style>
  <w:style w:type="paragraph" w:customStyle="1" w:styleId="ListNote">
    <w:name w:val="List Note"/>
    <w:basedOn w:val="List"/>
    <w:rsid w:val="00CF29FD"/>
    <w:pPr>
      <w:pBdr>
        <w:top w:val="single" w:sz="6" w:space="2" w:color="918585"/>
        <w:bottom w:val="single" w:sz="6" w:space="2" w:color="918585"/>
      </w:pBdr>
      <w:tabs>
        <w:tab w:val="left" w:pos="1021"/>
      </w:tabs>
      <w:ind w:firstLine="0"/>
    </w:pPr>
  </w:style>
  <w:style w:type="paragraph" w:customStyle="1" w:styleId="Warning">
    <w:name w:val="Warning"/>
    <w:basedOn w:val="BodyText"/>
    <w:rsid w:val="00CF29FD"/>
    <w:pPr>
      <w:shd w:val="clear" w:color="auto" w:fill="D9D9D9"/>
      <w:tabs>
        <w:tab w:val="left" w:pos="992"/>
      </w:tabs>
      <w:ind w:left="119" w:right="119"/>
    </w:pPr>
    <w:rPr>
      <w:sz w:val="20"/>
    </w:rPr>
  </w:style>
  <w:style w:type="paragraph" w:customStyle="1" w:styleId="MarginIcons">
    <w:name w:val="Margin Icons"/>
    <w:basedOn w:val="BodyText"/>
    <w:rsid w:val="00CF29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29FD"/>
    <w:rPr>
      <w:rFonts w:ascii="Courier New" w:hAnsi="Courier New"/>
    </w:rPr>
  </w:style>
  <w:style w:type="paragraph" w:customStyle="1" w:styleId="NoteBullet">
    <w:name w:val="Note Bullet"/>
    <w:basedOn w:val="Note"/>
    <w:rsid w:val="00CF29FD"/>
    <w:pPr>
      <w:tabs>
        <w:tab w:val="clear" w:pos="680"/>
      </w:tabs>
      <w:spacing w:before="60" w:after="60"/>
    </w:pPr>
  </w:style>
  <w:style w:type="paragraph" w:customStyle="1" w:styleId="SubHeading2">
    <w:name w:val="SubHeading2"/>
    <w:basedOn w:val="HeadingBase"/>
    <w:rsid w:val="00CF29FD"/>
    <w:pPr>
      <w:spacing w:before="240" w:after="60"/>
    </w:pPr>
    <w:rPr>
      <w:sz w:val="20"/>
    </w:rPr>
  </w:style>
  <w:style w:type="paragraph" w:customStyle="1" w:styleId="SubHeading1">
    <w:name w:val="SubHeading1"/>
    <w:basedOn w:val="HeadingBase"/>
    <w:rsid w:val="00CF29FD"/>
    <w:pPr>
      <w:spacing w:before="240" w:after="60"/>
    </w:pPr>
    <w:rPr>
      <w:color w:val="918585"/>
      <w:sz w:val="22"/>
    </w:rPr>
  </w:style>
  <w:style w:type="paragraph" w:customStyle="1" w:styleId="SideHeading">
    <w:name w:val="Side Heading"/>
    <w:basedOn w:val="HeadingBase"/>
    <w:rsid w:val="00CF29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29FD"/>
    <w:pPr>
      <w:numPr>
        <w:numId w:val="12"/>
      </w:numPr>
    </w:pPr>
  </w:style>
  <w:style w:type="paragraph" w:styleId="PlainText">
    <w:name w:val="Plain Text"/>
    <w:basedOn w:val="Normal"/>
    <w:link w:val="PlainTextChar"/>
    <w:rsid w:val="00CF29FD"/>
    <w:rPr>
      <w:sz w:val="20"/>
    </w:rPr>
  </w:style>
  <w:style w:type="character" w:customStyle="1" w:styleId="PlainTextChar">
    <w:name w:val="Plain Text Char"/>
    <w:basedOn w:val="DefaultParagraphFont"/>
    <w:link w:val="PlainText"/>
    <w:rsid w:val="00CF29FD"/>
    <w:rPr>
      <w:rFonts w:ascii="Courier New" w:eastAsia="Times New Roman" w:hAnsi="Courier New" w:cs="Times New Roman"/>
      <w:sz w:val="20"/>
      <w:szCs w:val="20"/>
      <w:lang w:eastAsia="en-US"/>
    </w:rPr>
  </w:style>
  <w:style w:type="character" w:customStyle="1" w:styleId="MenuOption">
    <w:name w:val="Menu Option"/>
    <w:basedOn w:val="DefaultParagraphFont"/>
    <w:rsid w:val="00CF29FD"/>
    <w:rPr>
      <w:b/>
      <w:smallCaps/>
    </w:rPr>
  </w:style>
  <w:style w:type="paragraph" w:customStyle="1" w:styleId="TableListNumber">
    <w:name w:val="Table List Number"/>
    <w:basedOn w:val="ListNumber"/>
    <w:rsid w:val="00CF29FD"/>
    <w:pPr>
      <w:numPr>
        <w:numId w:val="0"/>
      </w:numPr>
    </w:pPr>
  </w:style>
  <w:style w:type="paragraph" w:styleId="TOC4">
    <w:name w:val="toc 4"/>
    <w:basedOn w:val="TOCBase"/>
    <w:next w:val="Normal"/>
    <w:semiHidden/>
    <w:rsid w:val="00CF29FD"/>
    <w:pPr>
      <w:tabs>
        <w:tab w:val="right" w:leader="dot" w:pos="9071"/>
      </w:tabs>
      <w:ind w:left="1701"/>
    </w:pPr>
  </w:style>
  <w:style w:type="paragraph" w:customStyle="1" w:styleId="ListAlpha">
    <w:name w:val="List Alpha"/>
    <w:basedOn w:val="List"/>
    <w:rsid w:val="00CF29FD"/>
    <w:pPr>
      <w:numPr>
        <w:numId w:val="9"/>
      </w:numPr>
    </w:pPr>
  </w:style>
  <w:style w:type="paragraph" w:customStyle="1" w:styleId="ListAlpha2">
    <w:name w:val="List Alpha 2"/>
    <w:basedOn w:val="List2"/>
    <w:rsid w:val="00CF29FD"/>
    <w:pPr>
      <w:numPr>
        <w:numId w:val="8"/>
      </w:numPr>
    </w:pPr>
  </w:style>
  <w:style w:type="paragraph" w:styleId="List2">
    <w:name w:val="List 2"/>
    <w:basedOn w:val="BodyText"/>
    <w:rsid w:val="00CF29FD"/>
    <w:pPr>
      <w:tabs>
        <w:tab w:val="left" w:pos="680"/>
      </w:tabs>
      <w:spacing w:before="60" w:after="60"/>
      <w:ind w:left="680" w:hanging="340"/>
    </w:pPr>
  </w:style>
  <w:style w:type="paragraph" w:styleId="List3">
    <w:name w:val="List 3"/>
    <w:basedOn w:val="BodyText"/>
    <w:rsid w:val="00CF29FD"/>
    <w:pPr>
      <w:tabs>
        <w:tab w:val="left" w:pos="1021"/>
      </w:tabs>
      <w:spacing w:before="60" w:after="60"/>
      <w:ind w:left="1020" w:hanging="340"/>
    </w:pPr>
  </w:style>
  <w:style w:type="paragraph" w:styleId="List4">
    <w:name w:val="List 4"/>
    <w:basedOn w:val="BodyText"/>
    <w:rsid w:val="00CF29FD"/>
    <w:pPr>
      <w:tabs>
        <w:tab w:val="left" w:pos="1361"/>
      </w:tabs>
      <w:spacing w:before="60" w:after="60"/>
      <w:ind w:left="1361" w:hanging="340"/>
    </w:pPr>
  </w:style>
  <w:style w:type="paragraph" w:styleId="List5">
    <w:name w:val="List 5"/>
    <w:basedOn w:val="BodyText"/>
    <w:rsid w:val="00CF29FD"/>
    <w:pPr>
      <w:tabs>
        <w:tab w:val="left" w:pos="1701"/>
      </w:tabs>
      <w:spacing w:before="60" w:after="60"/>
      <w:ind w:left="1701" w:hanging="340"/>
    </w:pPr>
  </w:style>
  <w:style w:type="paragraph" w:styleId="ListBullet3">
    <w:name w:val="List Bullet 3"/>
    <w:basedOn w:val="List3"/>
    <w:rsid w:val="00CF29FD"/>
    <w:pPr>
      <w:numPr>
        <w:numId w:val="15"/>
      </w:numPr>
      <w:tabs>
        <w:tab w:val="clear" w:pos="1021"/>
      </w:tabs>
      <w:ind w:left="1037" w:hanging="357"/>
    </w:pPr>
  </w:style>
  <w:style w:type="paragraph" w:styleId="ListBullet4">
    <w:name w:val="List Bullet 4"/>
    <w:basedOn w:val="List4"/>
    <w:rsid w:val="00CF29FD"/>
    <w:pPr>
      <w:numPr>
        <w:numId w:val="3"/>
      </w:numPr>
    </w:pPr>
  </w:style>
  <w:style w:type="paragraph" w:styleId="ListBullet5">
    <w:name w:val="List Bullet 5"/>
    <w:basedOn w:val="List5"/>
    <w:rsid w:val="00CF29FD"/>
    <w:pPr>
      <w:numPr>
        <w:numId w:val="4"/>
      </w:numPr>
    </w:pPr>
  </w:style>
  <w:style w:type="paragraph" w:styleId="ListContinue2">
    <w:name w:val="List Continue 2"/>
    <w:basedOn w:val="List2"/>
    <w:rsid w:val="00CF29FD"/>
    <w:pPr>
      <w:ind w:firstLine="0"/>
    </w:pPr>
  </w:style>
  <w:style w:type="paragraph" w:styleId="ListContinue3">
    <w:name w:val="List Continue 3"/>
    <w:basedOn w:val="List3"/>
    <w:rsid w:val="00CF29FD"/>
    <w:pPr>
      <w:ind w:left="1021" w:firstLine="0"/>
    </w:pPr>
  </w:style>
  <w:style w:type="paragraph" w:styleId="ListContinue4">
    <w:name w:val="List Continue 4"/>
    <w:basedOn w:val="List4"/>
    <w:rsid w:val="00CF29FD"/>
    <w:pPr>
      <w:ind w:firstLine="0"/>
    </w:pPr>
  </w:style>
  <w:style w:type="paragraph" w:styleId="ListContinue5">
    <w:name w:val="List Continue 5"/>
    <w:basedOn w:val="List5"/>
    <w:rsid w:val="00CF29FD"/>
    <w:pPr>
      <w:ind w:firstLine="0"/>
    </w:pPr>
  </w:style>
  <w:style w:type="paragraph" w:styleId="ListNumber3">
    <w:name w:val="List Number 3"/>
    <w:basedOn w:val="List3"/>
    <w:rsid w:val="00CF29FD"/>
    <w:pPr>
      <w:numPr>
        <w:numId w:val="5"/>
      </w:numPr>
    </w:pPr>
  </w:style>
  <w:style w:type="paragraph" w:styleId="ListNumber4">
    <w:name w:val="List Number 4"/>
    <w:basedOn w:val="List4"/>
    <w:rsid w:val="00CF29FD"/>
    <w:pPr>
      <w:numPr>
        <w:numId w:val="6"/>
      </w:numPr>
    </w:pPr>
  </w:style>
  <w:style w:type="paragraph" w:styleId="ListNumber5">
    <w:name w:val="List Number 5"/>
    <w:basedOn w:val="List5"/>
    <w:rsid w:val="00CF29FD"/>
    <w:pPr>
      <w:numPr>
        <w:numId w:val="7"/>
      </w:numPr>
    </w:pPr>
  </w:style>
  <w:style w:type="paragraph" w:styleId="BlockText">
    <w:name w:val="Block Text"/>
    <w:basedOn w:val="Normal"/>
    <w:rsid w:val="00CF29FD"/>
    <w:pPr>
      <w:spacing w:after="120"/>
      <w:ind w:left="1440" w:right="1440"/>
    </w:pPr>
  </w:style>
  <w:style w:type="character" w:customStyle="1" w:styleId="Subscript">
    <w:name w:val="Subscript"/>
    <w:basedOn w:val="DefaultParagraphFont"/>
    <w:rsid w:val="00CF29FD"/>
    <w:rPr>
      <w:sz w:val="16"/>
      <w:vertAlign w:val="subscript"/>
    </w:rPr>
  </w:style>
  <w:style w:type="character" w:customStyle="1" w:styleId="Superscript">
    <w:name w:val="Superscript"/>
    <w:basedOn w:val="DefaultParagraphFont"/>
    <w:rsid w:val="00CF29FD"/>
    <w:rPr>
      <w:sz w:val="16"/>
      <w:vertAlign w:val="superscript"/>
    </w:rPr>
  </w:style>
  <w:style w:type="character" w:customStyle="1" w:styleId="Symbols">
    <w:name w:val="Symbols"/>
    <w:basedOn w:val="DefaultParagraphFont"/>
    <w:rsid w:val="00CF29FD"/>
    <w:rPr>
      <w:rFonts w:ascii="Symbol" w:hAnsi="Symbol"/>
    </w:rPr>
  </w:style>
  <w:style w:type="character" w:customStyle="1" w:styleId="MenuOptions">
    <w:name w:val="Menu Options"/>
    <w:basedOn w:val="DefaultParagraphFont"/>
    <w:rsid w:val="00CF29FD"/>
    <w:rPr>
      <w:rFonts w:ascii="Arial Narrow" w:hAnsi="Arial Narrow"/>
      <w:smallCaps/>
    </w:rPr>
  </w:style>
  <w:style w:type="character" w:customStyle="1" w:styleId="Buttons">
    <w:name w:val="Buttons"/>
    <w:basedOn w:val="DefaultParagraphFont"/>
    <w:rsid w:val="00CF29FD"/>
    <w:rPr>
      <w:b/>
    </w:rPr>
  </w:style>
  <w:style w:type="character" w:customStyle="1" w:styleId="Underlined">
    <w:name w:val="Underlined"/>
    <w:basedOn w:val="DefaultParagraphFont"/>
    <w:rsid w:val="00CF29FD"/>
    <w:rPr>
      <w:u w:val="single"/>
    </w:rPr>
  </w:style>
  <w:style w:type="paragraph" w:customStyle="1" w:styleId="TableBodyTextRight">
    <w:name w:val="Table Body Text Right"/>
    <w:basedOn w:val="TableBodyText"/>
    <w:rsid w:val="00CF29FD"/>
    <w:pPr>
      <w:widowControl w:val="0"/>
      <w:autoSpaceDE w:val="0"/>
      <w:autoSpaceDN w:val="0"/>
      <w:adjustRightInd w:val="0"/>
      <w:jc w:val="right"/>
    </w:pPr>
    <w:rPr>
      <w:rFonts w:cs="Arial"/>
      <w:szCs w:val="18"/>
    </w:rPr>
  </w:style>
  <w:style w:type="paragraph" w:customStyle="1" w:styleId="CopyrightText">
    <w:name w:val="Copyright Text"/>
    <w:basedOn w:val="BodyText"/>
    <w:rsid w:val="00CF29FD"/>
    <w:rPr>
      <w:sz w:val="18"/>
    </w:rPr>
  </w:style>
  <w:style w:type="paragraph" w:customStyle="1" w:styleId="BodySmallRight">
    <w:name w:val="Body Small Right"/>
    <w:basedOn w:val="BodyTextRight"/>
    <w:rsid w:val="00CF29FD"/>
    <w:rPr>
      <w:sz w:val="18"/>
      <w:szCs w:val="18"/>
    </w:rPr>
  </w:style>
  <w:style w:type="paragraph" w:customStyle="1" w:styleId="MarginEdition">
    <w:name w:val="Margin Edition"/>
    <w:basedOn w:val="MarginNote"/>
    <w:rsid w:val="00CF29FD"/>
    <w:pPr>
      <w:spacing w:before="0" w:after="0"/>
    </w:pPr>
    <w:rPr>
      <w:rFonts w:ascii="Times New Roman" w:hAnsi="Times New Roman"/>
      <w:color w:val="999999"/>
    </w:rPr>
  </w:style>
  <w:style w:type="paragraph" w:customStyle="1" w:styleId="Spacer">
    <w:name w:val="Spacer"/>
    <w:basedOn w:val="Normal"/>
    <w:rsid w:val="00CF29FD"/>
    <w:rPr>
      <w:sz w:val="2"/>
      <w:szCs w:val="2"/>
    </w:rPr>
  </w:style>
  <w:style w:type="character" w:customStyle="1" w:styleId="Small">
    <w:name w:val="Small"/>
    <w:basedOn w:val="DefaultParagraphFont"/>
    <w:rsid w:val="00CF29FD"/>
    <w:rPr>
      <w:sz w:val="16"/>
    </w:rPr>
  </w:style>
  <w:style w:type="paragraph" w:customStyle="1" w:styleId="WideTable">
    <w:name w:val="Wide Table"/>
    <w:basedOn w:val="Normal"/>
    <w:rsid w:val="00CF29FD"/>
    <w:pPr>
      <w:ind w:left="-1418"/>
    </w:pPr>
    <w:rPr>
      <w:sz w:val="2"/>
      <w:szCs w:val="2"/>
    </w:rPr>
  </w:style>
  <w:style w:type="character" w:styleId="PageNumber">
    <w:name w:val="page number"/>
    <w:basedOn w:val="DefaultParagraphFont"/>
    <w:rsid w:val="00CF29FD"/>
  </w:style>
  <w:style w:type="paragraph" w:styleId="Quote">
    <w:name w:val="Quote"/>
    <w:basedOn w:val="Heading1"/>
    <w:link w:val="QuoteChar"/>
    <w:qFormat/>
    <w:rsid w:val="00CF29FD"/>
    <w:rPr>
      <w:b w:val="0"/>
      <w:sz w:val="72"/>
      <w:szCs w:val="72"/>
      <w:lang w:val="en-NZ"/>
    </w:rPr>
  </w:style>
  <w:style w:type="character" w:customStyle="1" w:styleId="QuoteChar">
    <w:name w:val="Quote Char"/>
    <w:basedOn w:val="DefaultParagraphFont"/>
    <w:link w:val="Quote"/>
    <w:rsid w:val="00CF29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29FD"/>
    <w:pPr>
      <w:pageBreakBefore/>
    </w:pPr>
  </w:style>
  <w:style w:type="paragraph" w:customStyle="1" w:styleId="Border">
    <w:name w:val="Border"/>
    <w:basedOn w:val="Normal"/>
    <w:qFormat/>
    <w:rsid w:val="00CF29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29FD"/>
    <w:rPr>
      <w:b/>
      <w:bCs/>
      <w:i/>
      <w:iCs/>
      <w:color w:val="auto"/>
    </w:rPr>
  </w:style>
  <w:style w:type="paragraph" w:styleId="IntenseQuote">
    <w:name w:val="Intense Quote"/>
    <w:basedOn w:val="Normal"/>
    <w:next w:val="Normal"/>
    <w:link w:val="IntenseQuoteChar"/>
    <w:uiPriority w:val="30"/>
    <w:qFormat/>
    <w:rsid w:val="00CF29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29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29FD"/>
    <w:rPr>
      <w:smallCaps/>
      <w:color w:val="auto"/>
      <w:u w:val="single"/>
    </w:rPr>
  </w:style>
  <w:style w:type="character" w:styleId="IntenseReference">
    <w:name w:val="Intense Reference"/>
    <w:basedOn w:val="DefaultParagraphFont"/>
    <w:uiPriority w:val="32"/>
    <w:qFormat/>
    <w:rsid w:val="00CF29FD"/>
    <w:rPr>
      <w:b/>
      <w:bCs/>
      <w:smallCaps/>
      <w:color w:val="auto"/>
      <w:spacing w:val="5"/>
      <w:u w:val="single"/>
    </w:rPr>
  </w:style>
  <w:style w:type="paragraph" w:customStyle="1" w:styleId="2ColumnHeading">
    <w:name w:val="2Column Heading"/>
    <w:basedOn w:val="BodyText"/>
    <w:qFormat/>
    <w:rsid w:val="00CF29FD"/>
    <w:pPr>
      <w:spacing w:after="60"/>
      <w:ind w:left="-2268"/>
    </w:pPr>
    <w:rPr>
      <w:b/>
    </w:rPr>
  </w:style>
  <w:style w:type="paragraph" w:customStyle="1" w:styleId="Heading1TOC">
    <w:name w:val="Heading1 TOC"/>
    <w:basedOn w:val="Normal"/>
    <w:qFormat/>
    <w:rsid w:val="00CF29FD"/>
    <w:pPr>
      <w:spacing w:before="240" w:after="120"/>
    </w:pPr>
    <w:rPr>
      <w:rFonts w:ascii="Times New Roman" w:hAnsi="Times New Roman"/>
      <w:b/>
      <w:sz w:val="32"/>
    </w:rPr>
  </w:style>
  <w:style w:type="paragraph" w:customStyle="1" w:styleId="Heading2TOC">
    <w:name w:val="Heading2 TOC"/>
    <w:basedOn w:val="Normal"/>
    <w:qFormat/>
    <w:rsid w:val="00CF29FD"/>
    <w:pPr>
      <w:spacing w:before="240" w:after="60"/>
    </w:pPr>
    <w:rPr>
      <w:rFonts w:ascii="Times New Roman" w:hAnsi="Times New Roman"/>
      <w:b/>
      <w:sz w:val="28"/>
    </w:rPr>
  </w:style>
  <w:style w:type="character" w:customStyle="1" w:styleId="Underline">
    <w:name w:val="Underline"/>
    <w:basedOn w:val="DefaultParagraphFont"/>
    <w:qFormat/>
    <w:rsid w:val="00CF29FD"/>
    <w:rPr>
      <w:u w:val="single"/>
    </w:rPr>
  </w:style>
  <w:style w:type="character" w:customStyle="1" w:styleId="BoldandItalics">
    <w:name w:val="Bold and Italics"/>
    <w:qFormat/>
    <w:rsid w:val="00CF29FD"/>
    <w:rPr>
      <w:b/>
      <w:i/>
      <w:u w:val="none"/>
    </w:rPr>
  </w:style>
  <w:style w:type="paragraph" w:styleId="BalloonText">
    <w:name w:val="Balloon Text"/>
    <w:basedOn w:val="Normal"/>
    <w:link w:val="BalloonTextChar"/>
    <w:rsid w:val="00CF29FD"/>
    <w:rPr>
      <w:rFonts w:ascii="Tahoma" w:hAnsi="Tahoma" w:cs="Tahoma"/>
      <w:sz w:val="16"/>
      <w:szCs w:val="16"/>
    </w:rPr>
  </w:style>
  <w:style w:type="character" w:customStyle="1" w:styleId="BalloonTextChar">
    <w:name w:val="Balloon Text Char"/>
    <w:basedOn w:val="DefaultParagraphFont"/>
    <w:link w:val="BalloonText"/>
    <w:rsid w:val="00CF29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29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29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29FD"/>
    <w:rPr>
      <w:b/>
      <w:color w:val="660033"/>
      <w:spacing w:val="0"/>
    </w:rPr>
  </w:style>
  <w:style w:type="paragraph" w:customStyle="1" w:styleId="Nameditemlist">
    <w:name w:val="Named item list"/>
    <w:basedOn w:val="BodyText"/>
    <w:qFormat/>
    <w:rsid w:val="00CF29F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2153</Words>
  <Characters>12822</Characters>
  <Application>Microsoft Office Word</Application>
  <DocSecurity>0</DocSecurity>
  <Lines>475</Lines>
  <Paragraphs>195</Paragraphs>
  <ScaleCrop>false</ScaleCrop>
  <Company>Author-it Software Corporation Ltd.</Company>
  <LinksUpToDate>false</LinksUpToDate>
  <CharactersWithSpaces>14854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UEENEEG111A Carry out basic repairs to electrical components and equipment</dc:title>
  <dc:subject>Approved</dc:subject>
  <dc:creator>E-OZ Training Standards</dc:creator>
  <cp:keywords>Release: 2</cp:keywords>
  <dc:description>Review Date: 12 April 2008</dc:description>
  <cp:lastModifiedBy>HSD_TPCMSd.prod</cp:lastModifiedBy>
  <cp:revision>3</cp:revision>
  <dcterms:created xsi:type="dcterms:W3CDTF">2013-08-14T06:39:00Z</dcterms:created>
  <dcterms:modified xsi:type="dcterms:W3CDTF">2013-08-14T06:39:00Z</dcterms:modified>
</cp:coreProperties>
</file>