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ACC" w:rsidP="00636ACC">
      <w:pPr>
        <w:pStyle w:val="Title"/>
      </w:pPr>
      <w:r>
        <w:fldChar w:fldCharType="begin"/>
      </w:r>
      <w:r>
        <w:instrText xml:space="preserve"> TITLE   \* MERGEFORMAT </w:instrText>
      </w:r>
      <w:r>
        <w:fldChar w:fldCharType="separate"/>
      </w:r>
      <w:r>
        <w:t>UEENEEF104A Install and modify performance data communication copper cabling</w:t>
      </w:r>
      <w:r>
        <w:fldChar w:fldCharType="end"/>
      </w:r>
    </w:p>
    <w:p w:rsidR="00636ACC" w:rsidP="00636ACC">
      <w:pPr>
        <w:pStyle w:val="Version"/>
        <w:sectPr w:rsidSect="00E87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7F02" w:rsidP="00E87F02">
      <w:pPr>
        <w:pStyle w:val="SuperHeading"/>
      </w:pPr>
      <w:r w:rsidRPr="00E87F02">
        <w:t>UEENEEF104A Install and modify performance data communication copper cabling</w:t>
      </w:r>
    </w:p>
    <w:p w:rsidR="00000000" w:rsidRPr="00E87F02" w:rsidP="00E87F02">
      <w:pPr>
        <w:pStyle w:val="Heading1"/>
      </w:pPr>
      <w:bookmarkStart w:id="1" w:name="O_584658"/>
      <w:bookmarkEnd w:id="1"/>
      <w:r w:rsidRPr="00E87F02">
        <w:t>Modification History</w:t>
      </w:r>
    </w:p>
    <w:p w:rsidR="00000000" w:rsidRPr="00E87F02" w:rsidP="00E87F02">
      <w:pPr>
        <w:pStyle w:val="BodyText"/>
      </w:pPr>
      <w:r w:rsidRPr="00E87F02">
        <w:t>Not applicable.</w:t>
      </w:r>
    </w:p>
    <w:p w:rsidR="00000000" w:rsidRPr="00E87F02" w:rsidP="00E87F02">
      <w:pPr>
        <w:pStyle w:val="AllowPageBreak"/>
      </w:pPr>
    </w:p>
    <w:p w:rsidR="00000000" w:rsidRPr="00E87F02" w:rsidP="00E87F02">
      <w:pPr>
        <w:pStyle w:val="Heading1"/>
      </w:pPr>
      <w:bookmarkStart w:id="2" w:name="O_584657"/>
      <w:bookmarkEnd w:id="2"/>
      <w:r w:rsidRPr="00E87F02">
        <w:t>Unit Descriptor</w:t>
      </w:r>
    </w:p>
    <w:tbl>
      <w:tblPr>
        <w:tblW w:w="0" w:type="auto"/>
        <w:tblLayout w:type="fixed"/>
        <w:tblCellMar>
          <w:left w:w="62" w:type="dxa"/>
          <w:right w:w="62" w:type="dxa"/>
        </w:tblCellMar>
        <w:tblLook w:val="0000"/>
      </w:tblPr>
      <w:tblGrid>
        <w:gridCol w:w="2700"/>
        <w:gridCol w:w="5760"/>
      </w:tblGrid>
      <w:tr w:rsidTr="00636A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1)</w:t>
            </w:r>
            <w:r w:rsidRPr="00E87F02">
              <w:t xml:space="preserve"> </w:t>
            </w:r>
            <w:r w:rsidRPr="00E87F02">
              <w:rPr>
                <w:rStyle w:val="SpecialBold"/>
              </w:rPr>
              <w:t>Scope:</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7F0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1.1) Descriptor</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This unit covers the installation and termination of high performance data copper cabling in buildings and premises and intended for connection a telecommunications network. It encompasses working safely and to standards, installing multiple data lines and</w:t>
            </w:r>
            <w:r w:rsidRPr="00E87F02">
              <w:t xml:space="preserve"> backbones using structured twisted pair cabling, terminating at distributors, termination modules and in socket outlets, testing and compliance checks and completing cabling documentation.</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3" w:name="O_584656"/>
      <w:bookmarkEnd w:id="3"/>
      <w:r w:rsidRPr="00E87F02">
        <w:t>Application of the Unit</w:t>
      </w:r>
    </w:p>
    <w:tbl>
      <w:tblPr>
        <w:tblW w:w="0" w:type="auto"/>
        <w:tblLayout w:type="fixed"/>
        <w:tblCellMar>
          <w:left w:w="62" w:type="dxa"/>
          <w:right w:w="62" w:type="dxa"/>
        </w:tblCellMar>
        <w:tblLook w:val="0000"/>
      </w:tblPr>
      <w:tblGrid>
        <w:gridCol w:w="2672"/>
        <w:gridCol w:w="5699"/>
      </w:tblGrid>
      <w:tr w:rsidTr="00636AC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2)</w:t>
            </w:r>
          </w:p>
        </w:tc>
      </w:tr>
      <w:tr w:rsidTr="00636AC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This unit is intended for competency development in entry-level employment based programs incorporated in approved contracts of training.</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4" w:name="O_584655"/>
      <w:bookmarkEnd w:id="4"/>
      <w:r w:rsidRPr="00E87F02">
        <w:t>Licensing/Regulatory Information</w:t>
      </w:r>
    </w:p>
    <w:tbl>
      <w:tblPr>
        <w:tblW w:w="0" w:type="auto"/>
        <w:tblLayout w:type="fixed"/>
        <w:tblCellMar>
          <w:left w:w="62" w:type="dxa"/>
          <w:right w:w="62" w:type="dxa"/>
        </w:tblCellMar>
        <w:tblLook w:val="0000"/>
      </w:tblPr>
      <w:tblGrid>
        <w:gridCol w:w="2700"/>
        <w:gridCol w:w="5760"/>
      </w:tblGrid>
      <w:tr w:rsidTr="00636A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 xml:space="preserve">3) </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The skills and knowledge described</w:t>
            </w:r>
            <w:r w:rsidRPr="00E87F02">
              <w:t xml:space="preserve"> in this unit require a registration to practise in the workplace subject to requirements set out ACMA ‘Open’ Cabling Provider Rule. Practice in workplace and during training is also subject to regulations directly related to occupational health and safety</w:t>
            </w:r>
            <w:r w:rsidRPr="00E87F02">
              <w:t xml:space="preserve"> and where applicable contracts of </w:t>
            </w:r>
            <w:r w:rsidRPr="00E87F02">
              <w:t>training such as apprenticeships.</w:t>
            </w:r>
          </w:p>
          <w:p w:rsidR="00000000" w:rsidRPr="00E87F02" w:rsidP="00E87F02">
            <w:pPr>
              <w:pStyle w:val="BodyText"/>
            </w:pPr>
            <w:r w:rsidRPr="00E87F02">
              <w:t xml:space="preserve">Note: </w:t>
            </w:r>
          </w:p>
          <w:p w:rsidR="00000000" w:rsidRPr="00E87F02" w:rsidP="00E87F02">
            <w:pPr>
              <w:pStyle w:val="BodyText"/>
            </w:pPr>
            <w:r w:rsidRPr="00E87F02">
              <w:t>1. Compliance with permits may be required in various jurisdictions and typically relates to the operation of plant, machinery and equipment such as elevating work platforms, powder operated fixing tools, power operated tools, vehicles, road signage and tr</w:t>
            </w:r>
            <w:r w:rsidRPr="00E87F02">
              <w:t>affic control and lifting equipment. Permits may also be required for some work environments such as confined spaces, working aloft, near live electrical apparatus and site rehabilitation.</w:t>
            </w:r>
          </w:p>
          <w:p w:rsidR="00000000" w:rsidRPr="00E87F02" w:rsidP="00E87F02">
            <w:pPr>
              <w:pStyle w:val="BodyText"/>
            </w:pPr>
            <w:r w:rsidRPr="00E87F02">
              <w:t xml:space="preserve">2. Compliance may be required in various jurisdictions relating to </w:t>
            </w:r>
            <w:r w:rsidRPr="00E87F02">
              <w:t>currency in First Aid, confined space, lifting and risk safety measures.</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5" w:name="O_584654"/>
      <w:bookmarkEnd w:id="5"/>
      <w:r w:rsidRPr="00E87F02">
        <w:t>Pre-Requisites</w:t>
      </w:r>
    </w:p>
    <w:tbl>
      <w:tblPr>
        <w:tblW w:w="0" w:type="auto"/>
        <w:tblLayout w:type="fixed"/>
        <w:tblCellMar>
          <w:left w:w="62" w:type="dxa"/>
          <w:right w:w="62" w:type="dxa"/>
        </w:tblCellMar>
        <w:tblLook w:val="0000"/>
      </w:tblPr>
      <w:tblGrid>
        <w:gridCol w:w="2700"/>
        <w:gridCol w:w="1440"/>
        <w:gridCol w:w="4320"/>
      </w:tblGrid>
      <w:tr w:rsidTr="00636A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 xml:space="preserve">4) </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4.1)</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Granting competency in this unit shall be made only after competency in the following unit(s) has/have been confirmed.</w:t>
            </w:r>
          </w:p>
        </w:tc>
      </w:tr>
      <w:tr w:rsidTr="00636AC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UEENEEE101A</w:t>
            </w:r>
          </w:p>
        </w:tc>
        <w:tc>
          <w:tcPr>
            <w:tcW w:w="43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Apply Occupational Health and Safety regulations, codes and practices in the workplace</w:t>
            </w:r>
          </w:p>
        </w:tc>
      </w:tr>
      <w:tr w:rsidTr="00636AC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UEENEEE102A</w:t>
            </w:r>
          </w:p>
        </w:tc>
        <w:tc>
          <w:tcPr>
            <w:tcW w:w="43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Fabricate, assemble a</w:t>
            </w:r>
            <w:r w:rsidRPr="00E87F02">
              <w:t xml:space="preserve">nd dismantle utilities industry components </w:t>
            </w:r>
          </w:p>
        </w:tc>
      </w:tr>
      <w:tr w:rsidTr="00636AC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UEENEEE104A</w:t>
            </w:r>
          </w:p>
        </w:tc>
        <w:tc>
          <w:tcPr>
            <w:tcW w:w="43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Solve problems in d.c. circuits</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UEENEEE105A</w:t>
            </w:r>
          </w:p>
        </w:tc>
        <w:tc>
          <w:tcPr>
            <w:tcW w:w="43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Fix and secure electrotechnology equipment</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UEENEEE107A</w:t>
            </w:r>
          </w:p>
        </w:tc>
        <w:tc>
          <w:tcPr>
            <w:tcW w:w="43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Use drawings, diagrams, schedules, standards, codes and specifications</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UEENEEF102A</w:t>
            </w:r>
          </w:p>
        </w:tc>
        <w:tc>
          <w:tcPr>
            <w:tcW w:w="432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Install and maintain cabling for multiple access to telecommunication services</w:t>
            </w:r>
          </w:p>
        </w:tc>
      </w:tr>
    </w:tbl>
    <w:p w:rsidR="00000000" w:rsidRPr="00E87F02" w:rsidP="00E87F0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36AC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 xml:space="preserve">4.2) </w:t>
            </w:r>
          </w:p>
        </w:tc>
      </w:tr>
      <w:tr w:rsidTr="00636AC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 xml:space="preserve">Participants are best equipped to achieve competency in this unit if they have reading, writing and numeracy skills indicated by the </w:t>
            </w:r>
            <w:r w:rsidRPr="00E87F02">
              <w:t>following scales. Description of each scale is given in Volume 2, Part 3 ‘Literacy and Numeracy’</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Reading</w:t>
            </w:r>
          </w:p>
        </w:tc>
        <w:tc>
          <w:tcPr>
            <w:tcW w:w="81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w:t>
            </w:r>
          </w:p>
        </w:tc>
        <w:tc>
          <w:tcPr>
            <w:tcW w:w="99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Writing</w:t>
            </w: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w:t>
            </w:r>
          </w:p>
        </w:tc>
        <w:tc>
          <w:tcPr>
            <w:tcW w:w="12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Numeracy</w:t>
            </w:r>
          </w:p>
        </w:tc>
        <w:tc>
          <w:tcPr>
            <w:tcW w:w="72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3</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6" w:name="O_584653"/>
      <w:bookmarkEnd w:id="6"/>
      <w:r w:rsidRPr="00E87F02">
        <w:t>Employability Skills Information</w:t>
      </w:r>
    </w:p>
    <w:tbl>
      <w:tblPr>
        <w:tblW w:w="0" w:type="auto"/>
        <w:tblLayout w:type="fixed"/>
        <w:tblCellMar>
          <w:left w:w="62" w:type="dxa"/>
          <w:right w:w="62" w:type="dxa"/>
        </w:tblCellMar>
        <w:tblLook w:val="0000"/>
      </w:tblPr>
      <w:tblGrid>
        <w:gridCol w:w="2700"/>
        <w:gridCol w:w="5760"/>
      </w:tblGrid>
      <w:tr w:rsidTr="00636A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 xml:space="preserve">5) </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87F02">
              <w:t>requirements.</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7" w:name="O_584652"/>
      <w:bookmarkEnd w:id="7"/>
      <w:r w:rsidRPr="00E87F02">
        <w:t>Elements and Performance Criteria Pre-Content</w:t>
      </w:r>
    </w:p>
    <w:tbl>
      <w:tblPr>
        <w:tblW w:w="0" w:type="auto"/>
        <w:tblLayout w:type="fixed"/>
        <w:tblCellMar>
          <w:left w:w="62" w:type="dxa"/>
          <w:right w:w="62" w:type="dxa"/>
        </w:tblCellMar>
        <w:tblLook w:val="0000"/>
      </w:tblPr>
      <w:tblGrid>
        <w:gridCol w:w="2700"/>
        <w:gridCol w:w="5760"/>
      </w:tblGrid>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6)</w:t>
            </w:r>
            <w:r w:rsidRPr="00E87F0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Performance Criteria describe the required performance needed to demonstrate achievement of the element. Assessment of performance is to be consistent with the Evidence Guide.</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8" w:name="O_584651"/>
      <w:bookmarkEnd w:id="8"/>
      <w:r w:rsidRPr="00E87F0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36AC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PERFORMANCE CRITER</w:t>
            </w:r>
            <w:r w:rsidRPr="00E87F02">
              <w:rPr>
                <w:rStyle w:val="SpecialBold"/>
              </w:rPr>
              <w:t>IA</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w:t>
            </w:r>
          </w:p>
        </w:tc>
        <w:tc>
          <w:tcPr>
            <w:tcW w:w="2296" w:type="dxa"/>
            <w:vMerge w:val="restart"/>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Prepare to install and/or modify copper cabling.</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1.1</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 xml:space="preserve">OHS procedures for a given work area are identified, obtained and understood. </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1.2</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Health and safety risks are identified and established risk control measures and procedures are followed in preparation for the work.</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1.3</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Safety hazards that have not previously been identified are noted and established risk control measures are implemented.</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1.4</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Installation or modification of wiring is prepared in consultation with others affected by the work and sequenced appropriately.</w:t>
            </w:r>
            <w:r w:rsidRPr="00E87F02">
              <w:t xml:space="preserve"> </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1.5</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The nature and location of the work is determined from documentation or in discussion with appropriate person(s) to establish the scope of work to be undertaken.</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1.6</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Cable routes are planned within the constraints of the bui</w:t>
            </w:r>
            <w:r w:rsidRPr="00E87F02">
              <w:t>lding structure, fire walls, cultural/heritage requirements and regulations.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1.7</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Advice is sought from appropriate persons to ensure the work is coordinated effectively with others.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1.8</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Material needed for the installation work is obtained in accorda</w:t>
            </w:r>
            <w:r w:rsidRPr="00E87F02">
              <w:t>nce with established procedures and checked against job requirements.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1.9</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Tools, equipment and testing devices needed to for the installation work are obtained in accordance with established procedures and checked for correct operation and safety.</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1.10</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Preparatory work is checked to ensure no damage has occurred and that it complies with requirements.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2</w:t>
            </w:r>
          </w:p>
        </w:tc>
        <w:tc>
          <w:tcPr>
            <w:tcW w:w="2296" w:type="dxa"/>
            <w:vMerge w:val="restart"/>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Install copper cables or modify.</w:t>
            </w: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2.1</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OHS risk control measures and procedures for carrying out the work are followed.</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2.2</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Cables are installed o</w:t>
            </w:r>
            <w:r w:rsidRPr="00E87F02">
              <w:t>r modification to comply with manufacturer specifications, technical standards and job requirements with sufficient excess to affect terminations.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2.3</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Established methods for dealing with unexpected situations are discussed with appropriate person(s) and documented.</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2.4</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Unexpected situations are dealt with safely and with the approval of an authorised person.</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2.5</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Ongoing checks of the quality of in</w:t>
            </w:r>
            <w:r w:rsidRPr="00E87F02">
              <w:t>stalled or modified wiring are undertaken in accordance with established procedures.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2.6</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Cable installation/modification is carried out efficiently without waste of materials or damage to apparatus, circuits or the surrounding environment an</w:t>
            </w:r>
            <w:r w:rsidRPr="00E87F02">
              <w:t>d using sustainable energy practices.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w:t>
            </w:r>
          </w:p>
        </w:tc>
        <w:tc>
          <w:tcPr>
            <w:tcW w:w="2296" w:type="dxa"/>
            <w:vMerge w:val="restart"/>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Terminate copper cables.</w:t>
            </w: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3.1</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OHS risk control measures and procedures for carrying out the work are followed.</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3.2</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Cable termination work area is cleaned and safety measure implemented.</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3.3</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Cables are prepared for termination in accordance with manufacturer specifications and technical standards.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3.4</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Over voltage protection devices are fitted to cables with metallic components.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3.5</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Cable shields are earthed in accordance with manufactur</w:t>
            </w:r>
            <w:r w:rsidRPr="00E87F02">
              <w:t>er specifications and technical standards.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3.6</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 xml:space="preserve">Twist ratio of structured metallic cables is maintained in accordance with manufacturer specifications and technical standards. </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3.7</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Twisted pair cables are terminated in accordance with manufacturer specifications and technical standards.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3.8</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Cable performance tests are conducted accurately and results documented.</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3.9</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Causes of defects indicated by test results are identified and</w:t>
            </w:r>
            <w:r w:rsidRPr="00E87F02">
              <w:t xml:space="preserve"> rectified.</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3.10</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Unexpected situations are dealt with safely and with the approval of an authorised person.</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3.11</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Ongoing checks of the quality of installed wiring are undertaken in accordance with established procedures.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3.12</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Cable terminations are carried out efficiently without waste of materials or damage to apparatus, circuits or the surrounding environment and using sustainable energy practices.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4</w:t>
            </w:r>
          </w:p>
        </w:tc>
        <w:tc>
          <w:tcPr>
            <w:tcW w:w="2296" w:type="dxa"/>
            <w:vMerge w:val="restart"/>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Document and verify copper cabling installation and performance.</w:t>
            </w: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4.1</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OHS wo</w:t>
            </w:r>
            <w:r w:rsidRPr="00E87F02">
              <w:t>rk completion risk control measures and procedures are followed.</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4.2</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Work site is cleaned and made safe in accordance with established procedures.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4.3</w:t>
            </w:r>
          </w:p>
        </w:tc>
        <w:tc>
          <w:tcPr>
            <w:tcW w:w="48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Final checks are made to that the installed cabling conforms to requirements.</w:t>
            </w:r>
          </w:p>
        </w:tc>
      </w:tr>
      <w:tr w:rsidTr="00636A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4.4</w:t>
            </w:r>
          </w:p>
        </w:tc>
        <w:tc>
          <w:tcPr>
            <w:tcW w:w="48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 xml:space="preserve">Documentation certifying system performance is issued to an appropriate person(s). </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9" w:name="O_584650"/>
      <w:bookmarkEnd w:id="9"/>
      <w:r w:rsidRPr="00E87F02">
        <w:t>Required Skills and Knowledge</w:t>
      </w:r>
    </w:p>
    <w:tbl>
      <w:tblPr>
        <w:tblW w:w="0" w:type="auto"/>
        <w:tblLayout w:type="fixed"/>
        <w:tblCellMar>
          <w:left w:w="62" w:type="dxa"/>
          <w:right w:w="62" w:type="dxa"/>
        </w:tblCellMar>
        <w:tblLook w:val="0000"/>
      </w:tblPr>
      <w:tblGrid>
        <w:gridCol w:w="8460"/>
      </w:tblGrid>
      <w:tr w:rsidTr="00636ACC">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REQUIRED SKILLS AND KNOWLEDGE</w:t>
            </w:r>
          </w:p>
        </w:tc>
      </w:tr>
      <w:tr w:rsidTr="00636AC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8)</w:t>
            </w:r>
            <w:r w:rsidRPr="00E87F02">
              <w:t xml:space="preserve"> This describes the essential skills and knowledge and their level, required for this unit.</w:t>
            </w:r>
          </w:p>
          <w:p w:rsidR="00000000" w:rsidRPr="00E87F02" w:rsidP="00E87F02">
            <w:pPr>
              <w:pStyle w:val="BodyText"/>
            </w:pPr>
            <w:r w:rsidRPr="00E87F02">
              <w:t>Evidence shall show that knowledge has been acquired of safe working practices and installing and modifying performance data communication structured cabling.</w:t>
            </w:r>
          </w:p>
          <w:p w:rsidR="00000000" w:rsidRPr="00E87F02" w:rsidP="00E87F02">
            <w:pPr>
              <w:pStyle w:val="BodyText"/>
            </w:pPr>
            <w:r w:rsidRPr="00E87F02">
              <w:t>All k</w:t>
            </w:r>
            <w:r w:rsidRPr="00E87F02">
              <w:t>nowledge and skills detailed in this unit should be contextualised to current industry practices and technologies.</w:t>
            </w:r>
          </w:p>
          <w:p w:rsidR="00000000" w:rsidRPr="00E87F02" w:rsidP="00E87F02">
            <w:pPr>
              <w:pStyle w:val="BodyText"/>
            </w:pPr>
            <w:r w:rsidRPr="00E87F02">
              <w:rPr>
                <w:rStyle w:val="SpecialBold"/>
              </w:rPr>
              <w:t xml:space="preserve">KS01-EF104A                       Copper communication cable installation and modification practices  </w:t>
            </w:r>
            <w:r w:rsidRPr="00E87F02">
              <w:t xml:space="preserve">                              </w:t>
            </w:r>
          </w:p>
          <w:p w:rsidR="00000000" w:rsidRPr="00E87F02" w:rsidP="00E87F02">
            <w:pPr>
              <w:pStyle w:val="BodyText"/>
            </w:pPr>
            <w:r w:rsidRPr="00E87F02">
              <w:t>Evidence</w:t>
            </w:r>
            <w:r w:rsidRPr="00E87F02">
              <w:t xml:space="preserve"> shall show an understanding of copper communication cable installation and modification practices,  applying safe working practices and relevant Standards, Codes and Regulations to an extent indicated by the following aspects:</w:t>
            </w:r>
          </w:p>
          <w:p w:rsidR="00000000" w:rsidRPr="00E87F02" w:rsidP="00E87F02">
            <w:pPr>
              <w:pStyle w:val="BodyText"/>
            </w:pPr>
            <w:r w:rsidRPr="00E87F02">
              <w:t>T1.</w:t>
            </w:r>
            <w:r w:rsidRPr="00E87F02">
              <w:tab/>
            </w:r>
            <w:r w:rsidRPr="00E87F02">
              <w:t>Telecommunication cable types</w:t>
            </w:r>
          </w:p>
          <w:p w:rsidR="00000000" w:rsidRPr="00E87F02" w:rsidP="00E87F02">
            <w:pPr>
              <w:pStyle w:val="ListBullet"/>
            </w:pPr>
            <w:r w:rsidRPr="00E87F02">
              <w:t xml:space="preserve">construction </w:t>
            </w:r>
          </w:p>
          <w:p w:rsidR="00000000" w:rsidRPr="00E87F02" w:rsidP="00E87F02">
            <w:pPr>
              <w:pStyle w:val="ListBullet"/>
            </w:pPr>
            <w:r w:rsidRPr="00E87F02">
              <w:t xml:space="preserve">characteristics and </w:t>
            </w:r>
          </w:p>
          <w:p w:rsidR="00000000" w:rsidRPr="00E87F02" w:rsidP="00E87F02">
            <w:pPr>
              <w:pStyle w:val="ListBullet"/>
            </w:pPr>
            <w:r w:rsidRPr="00E87F02">
              <w:t>applications</w:t>
            </w:r>
          </w:p>
          <w:p w:rsidR="00000000" w:rsidRPr="00E87F02" w:rsidP="00E87F02">
            <w:pPr>
              <w:pStyle w:val="BodyText"/>
            </w:pPr>
            <w:r w:rsidRPr="00E87F02">
              <w:t>T2.</w:t>
            </w:r>
            <w:r w:rsidRPr="00E87F02">
              <w:tab/>
              <w:t>Cable identification</w:t>
            </w:r>
          </w:p>
          <w:p w:rsidR="00000000" w:rsidRPr="00E87F02" w:rsidP="00E87F02">
            <w:pPr>
              <w:pStyle w:val="ListBullet"/>
            </w:pPr>
            <w:r w:rsidRPr="00E87F02">
              <w:t xml:space="preserve">plans and drawing </w:t>
            </w:r>
          </w:p>
          <w:p w:rsidR="00000000" w:rsidRPr="00E87F02" w:rsidP="00E87F02">
            <w:pPr>
              <w:pStyle w:val="ListBullet"/>
            </w:pPr>
            <w:r w:rsidRPr="00E87F02">
              <w:t xml:space="preserve">labelling </w:t>
            </w:r>
          </w:p>
          <w:p w:rsidR="00000000" w:rsidRPr="00E87F02" w:rsidP="00E87F02">
            <w:pPr>
              <w:pStyle w:val="ListBullet"/>
            </w:pPr>
            <w:r w:rsidRPr="00E87F02">
              <w:t>documentation</w:t>
            </w:r>
          </w:p>
          <w:p w:rsidR="00000000" w:rsidRPr="00E87F02" w:rsidP="00E87F02">
            <w:pPr>
              <w:pStyle w:val="BodyText"/>
            </w:pPr>
            <w:r w:rsidRPr="00E87F02">
              <w:t>T3.</w:t>
            </w:r>
            <w:r w:rsidRPr="00E87F02">
              <w:tab/>
              <w:t>Cable installation</w:t>
            </w:r>
          </w:p>
          <w:p w:rsidR="00000000" w:rsidRPr="00E87F02" w:rsidP="00E87F02">
            <w:pPr>
              <w:pStyle w:val="ListBullet"/>
            </w:pPr>
            <w:r w:rsidRPr="00E87F02">
              <w:t>Hazards</w:t>
            </w:r>
          </w:p>
          <w:p w:rsidR="00000000" w:rsidRPr="00E87F02" w:rsidP="00E87F02">
            <w:pPr>
              <w:pStyle w:val="ListBullet"/>
            </w:pPr>
            <w:r w:rsidRPr="00E87F02">
              <w:t>Cable damage prevention</w:t>
            </w:r>
          </w:p>
          <w:p w:rsidR="00000000" w:rsidRPr="00E87F02" w:rsidP="00E87F02">
            <w:pPr>
              <w:pStyle w:val="ListBullet"/>
            </w:pPr>
            <w:r w:rsidRPr="00E87F02">
              <w:t>Cable dispensers</w:t>
            </w:r>
          </w:p>
          <w:p w:rsidR="00000000" w:rsidRPr="00E87F02" w:rsidP="00E87F02">
            <w:pPr>
              <w:pStyle w:val="BodyText"/>
            </w:pPr>
            <w:r w:rsidRPr="00E87F02">
              <w:t>T4.</w:t>
            </w:r>
            <w:r w:rsidRPr="00E87F02">
              <w:tab/>
              <w:t>Building construction</w:t>
            </w:r>
          </w:p>
          <w:p w:rsidR="00000000" w:rsidRPr="00E87F02" w:rsidP="00E87F02">
            <w:pPr>
              <w:pStyle w:val="ListBullet"/>
            </w:pPr>
            <w:r w:rsidRPr="00E87F02">
              <w:t>Domesti</w:t>
            </w:r>
            <w:r w:rsidRPr="00E87F02">
              <w:t>c buildings</w:t>
            </w:r>
          </w:p>
          <w:p w:rsidR="00000000" w:rsidRPr="00E87F02" w:rsidP="00E87F02">
            <w:pPr>
              <w:pStyle w:val="ListBullet"/>
            </w:pPr>
            <w:r w:rsidRPr="00E87F02">
              <w:t>Commercial buildings</w:t>
            </w:r>
          </w:p>
          <w:p w:rsidR="00000000" w:rsidRPr="00E87F02" w:rsidP="00E87F02">
            <w:pPr>
              <w:pStyle w:val="BodyText"/>
            </w:pPr>
            <w:r w:rsidRPr="00E87F02">
              <w:t>T5.</w:t>
            </w:r>
            <w:r w:rsidRPr="00E87F02">
              <w:tab/>
              <w:t>Fixing devices</w:t>
            </w:r>
          </w:p>
          <w:p w:rsidR="00000000" w:rsidRPr="00E87F02" w:rsidP="00E87F02">
            <w:pPr>
              <w:pStyle w:val="ListBullet"/>
            </w:pPr>
            <w:r w:rsidRPr="00E87F02">
              <w:t>Bracketed assemblies</w:t>
            </w:r>
          </w:p>
          <w:p w:rsidR="00000000" w:rsidRPr="00E87F02" w:rsidP="00E87F02">
            <w:pPr>
              <w:pStyle w:val="ListBullet"/>
            </w:pPr>
            <w:r w:rsidRPr="00E87F02">
              <w:t>Hard wall fixing devices</w:t>
            </w:r>
          </w:p>
          <w:p w:rsidR="00000000" w:rsidRPr="00E87F02" w:rsidP="00E87F02">
            <w:pPr>
              <w:pStyle w:val="ListBullet"/>
            </w:pPr>
            <w:r w:rsidRPr="00E87F02">
              <w:t>Soft wall fixing devices</w:t>
            </w:r>
          </w:p>
          <w:p w:rsidR="00000000" w:rsidRPr="00E87F02" w:rsidP="00E87F02">
            <w:pPr>
              <w:pStyle w:val="ListBullet"/>
            </w:pPr>
            <w:r w:rsidRPr="00E87F02">
              <w:t>Ties</w:t>
            </w:r>
          </w:p>
          <w:p w:rsidR="00000000" w:rsidRPr="00E87F02" w:rsidP="00E87F02">
            <w:pPr>
              <w:pStyle w:val="BodyText"/>
            </w:pPr>
            <w:r w:rsidRPr="00E87F02">
              <w:t>T6.</w:t>
            </w:r>
            <w:r w:rsidRPr="00E87F02">
              <w:tab/>
              <w:t>Cable enclosures</w:t>
            </w:r>
          </w:p>
          <w:p w:rsidR="00000000" w:rsidRPr="00E87F02" w:rsidP="00E87F02">
            <w:pPr>
              <w:pStyle w:val="ListBullet"/>
            </w:pPr>
            <w:r w:rsidRPr="00E87F02">
              <w:t>Types</w:t>
            </w:r>
          </w:p>
          <w:p w:rsidR="00000000" w:rsidRPr="00E87F02" w:rsidP="00E87F02">
            <w:pPr>
              <w:pStyle w:val="ListBullet"/>
            </w:pPr>
            <w:r w:rsidRPr="00E87F02">
              <w:t>Fixing</w:t>
            </w:r>
          </w:p>
          <w:p w:rsidR="00000000" w:rsidRPr="00E87F02" w:rsidP="00E87F02">
            <w:pPr>
              <w:pStyle w:val="ListBullet"/>
            </w:pPr>
            <w:r w:rsidRPr="00E87F02">
              <w:t>Regulations</w:t>
            </w:r>
          </w:p>
          <w:p w:rsidR="00000000" w:rsidRPr="00E87F02" w:rsidP="00E87F02">
            <w:pPr>
              <w:pStyle w:val="BodyText"/>
            </w:pPr>
            <w:r w:rsidRPr="00E87F02">
              <w:t>T7.</w:t>
            </w:r>
            <w:r w:rsidRPr="00E87F02">
              <w:tab/>
              <w:t>Distribution boxes and back mounts</w:t>
            </w:r>
          </w:p>
          <w:p w:rsidR="00000000" w:rsidRPr="00E87F02" w:rsidP="00E87F02">
            <w:pPr>
              <w:pStyle w:val="ListBullet"/>
            </w:pPr>
            <w:r w:rsidRPr="00E87F02">
              <w:t>Systems</w:t>
            </w:r>
          </w:p>
          <w:p w:rsidR="00000000" w:rsidRPr="00E87F02" w:rsidP="00E87F02">
            <w:pPr>
              <w:pStyle w:val="ListBullet"/>
            </w:pPr>
            <w:r w:rsidRPr="00E87F02">
              <w:t>Termination Boundaries and devices</w:t>
            </w:r>
          </w:p>
          <w:p w:rsidR="00000000" w:rsidRPr="00E87F02" w:rsidP="00E87F02">
            <w:pPr>
              <w:pStyle w:val="BodyText"/>
            </w:pPr>
            <w:r w:rsidRPr="00E87F02">
              <w:t>T8.</w:t>
            </w:r>
            <w:r w:rsidRPr="00E87F02">
              <w:tab/>
              <w:t>Electrical connections</w:t>
            </w:r>
          </w:p>
          <w:p w:rsidR="00000000" w:rsidRPr="00E87F02" w:rsidP="00E87F02">
            <w:pPr>
              <w:pStyle w:val="ListBullet"/>
            </w:pPr>
            <w:r w:rsidRPr="00E87F02">
              <w:t>Hazards</w:t>
            </w:r>
          </w:p>
          <w:p w:rsidR="00000000" w:rsidRPr="00E87F02" w:rsidP="00E87F02">
            <w:pPr>
              <w:pStyle w:val="ListBullet"/>
            </w:pPr>
            <w:r w:rsidRPr="00E87F02">
              <w:t>Regulations</w:t>
            </w:r>
          </w:p>
          <w:p w:rsidR="00000000" w:rsidRPr="00E87F02" w:rsidP="00E87F02">
            <w:pPr>
              <w:pStyle w:val="BodyText"/>
            </w:pPr>
            <w:r w:rsidRPr="00E87F02">
              <w:t>T9.</w:t>
            </w:r>
            <w:r w:rsidRPr="00E87F02">
              <w:tab/>
              <w:t>Cable preparation and terminations and hauling mechanisms</w:t>
            </w:r>
          </w:p>
          <w:p w:rsidR="00000000" w:rsidRPr="00E87F02" w:rsidP="00E87F02">
            <w:pPr>
              <w:pStyle w:val="ListBullet"/>
            </w:pPr>
            <w:r w:rsidRPr="00E87F02">
              <w:t>Indoor Methods</w:t>
            </w:r>
          </w:p>
          <w:p w:rsidR="00000000" w:rsidRPr="00E87F02" w:rsidP="00E87F02">
            <w:pPr>
              <w:pStyle w:val="ListBullet"/>
            </w:pPr>
            <w:r w:rsidRPr="00E87F02">
              <w:t>Outdoor Methods</w:t>
            </w:r>
          </w:p>
          <w:p w:rsidR="00000000" w:rsidRPr="00E87F02" w:rsidP="00E87F02">
            <w:pPr>
              <w:pStyle w:val="BodyText"/>
            </w:pPr>
            <w:r w:rsidRPr="00E87F02">
              <w:t>T10.</w:t>
            </w:r>
            <w:r w:rsidRPr="00E87F02">
              <w:tab/>
              <w:t>Category 5 and 6 structured cabling</w:t>
            </w:r>
          </w:p>
          <w:p w:rsidR="00000000" w:rsidRPr="00E87F02" w:rsidP="00E87F02">
            <w:pPr>
              <w:pStyle w:val="ListBullet"/>
            </w:pPr>
            <w:r w:rsidRPr="00E87F02">
              <w:t>design principles</w:t>
            </w:r>
          </w:p>
          <w:p w:rsidR="00000000" w:rsidRPr="00E87F02" w:rsidP="00E87F02">
            <w:pPr>
              <w:pStyle w:val="BodyText"/>
            </w:pPr>
            <w:r w:rsidRPr="00E87F02">
              <w:t>T11.</w:t>
            </w:r>
            <w:r w:rsidRPr="00E87F02">
              <w:tab/>
              <w:t>Category 5 and</w:t>
            </w:r>
            <w:r w:rsidRPr="00E87F02">
              <w:t xml:space="preserve"> 6 structured cabling installation systems</w:t>
            </w:r>
          </w:p>
          <w:p w:rsidR="00000000" w:rsidRPr="00E87F02" w:rsidP="00E87F02">
            <w:pPr>
              <w:pStyle w:val="ListBullet"/>
            </w:pPr>
            <w:r w:rsidRPr="00E87F02">
              <w:t>coaxial cable construction</w:t>
            </w:r>
          </w:p>
          <w:p w:rsidR="00000000" w:rsidRPr="00E87F02" w:rsidP="00E87F02">
            <w:pPr>
              <w:pStyle w:val="ListBullet"/>
            </w:pPr>
            <w:r w:rsidRPr="00E87F02">
              <w:t>uses</w:t>
            </w:r>
          </w:p>
          <w:p w:rsidR="00000000" w:rsidRPr="00E87F02" w:rsidP="00E87F02">
            <w:pPr>
              <w:pStyle w:val="ListBullet"/>
            </w:pPr>
            <w:r w:rsidRPr="00E87F02">
              <w:t>requirements</w:t>
            </w:r>
          </w:p>
          <w:p w:rsidR="00000000" w:rsidRPr="00E87F02" w:rsidP="00E87F02">
            <w:pPr>
              <w:pStyle w:val="BodyText"/>
            </w:pPr>
            <w:r w:rsidRPr="00E87F02">
              <w:t>T12.</w:t>
            </w:r>
            <w:r w:rsidRPr="00E87F02">
              <w:tab/>
              <w:t>Category 5 and 6 structured cabling performance requirements</w:t>
            </w:r>
          </w:p>
          <w:p w:rsidR="00000000" w:rsidRPr="00E87F02" w:rsidP="00E87F02">
            <w:pPr>
              <w:pStyle w:val="ListBullet"/>
            </w:pPr>
            <w:r w:rsidRPr="00E87F02">
              <w:t>approved practices</w:t>
            </w:r>
          </w:p>
          <w:p w:rsidR="00000000" w:rsidRPr="00E87F02" w:rsidP="00E87F02">
            <w:pPr>
              <w:pStyle w:val="ListBullet"/>
            </w:pPr>
            <w:r w:rsidRPr="00E87F02">
              <w:t>safety requirements</w:t>
            </w:r>
          </w:p>
          <w:p w:rsidR="00000000" w:rsidRPr="00E87F02" w:rsidP="00E87F02">
            <w:pPr>
              <w:pStyle w:val="ListBullet"/>
            </w:pPr>
            <w:r w:rsidRPr="00E87F02">
              <w:t>connectors</w:t>
            </w:r>
          </w:p>
          <w:p w:rsidR="00000000" w:rsidRPr="00E87F02" w:rsidP="00E87F02">
            <w:pPr>
              <w:pStyle w:val="ListBullet"/>
            </w:pPr>
            <w:r w:rsidRPr="00E87F02">
              <w:t>terminating tools</w:t>
            </w:r>
          </w:p>
          <w:p w:rsidR="00000000" w:rsidRPr="00E87F02" w:rsidP="00E87F02">
            <w:pPr>
              <w:pStyle w:val="ListBullet"/>
            </w:pPr>
            <w:r w:rsidRPr="00E87F02">
              <w:t>continuity tests</w:t>
            </w:r>
          </w:p>
          <w:p w:rsidR="00000000" w:rsidRPr="00E87F02" w:rsidP="00E87F02">
            <w:pPr>
              <w:pStyle w:val="ListBullet"/>
            </w:pPr>
            <w:r w:rsidRPr="00E87F02">
              <w:t>fault diagnosis</w:t>
            </w:r>
          </w:p>
          <w:p w:rsidR="00000000" w:rsidRPr="00E87F02" w:rsidP="00E87F02">
            <w:pPr>
              <w:pStyle w:val="ListBullet"/>
            </w:pPr>
            <w:r w:rsidRPr="00E87F02">
              <w:t>recording results</w:t>
            </w:r>
          </w:p>
          <w:p w:rsidR="00000000" w:rsidRPr="00E87F02" w:rsidP="00E87F02">
            <w:pPr>
              <w:pStyle w:val="BodyText"/>
            </w:pPr>
            <w:r w:rsidRPr="00E87F02">
              <w:t>T13.</w:t>
            </w:r>
            <w:r w:rsidRPr="00E87F02">
              <w:tab/>
              <w:t>Selecting cable and cabling hardware</w:t>
            </w:r>
          </w:p>
          <w:p w:rsidR="00000000" w:rsidRPr="00E87F02" w:rsidP="00E87F02">
            <w:pPr>
              <w:pStyle w:val="ListBullet"/>
            </w:pPr>
            <w:r w:rsidRPr="00E87F02">
              <w:t>cable characteristics</w:t>
            </w:r>
          </w:p>
          <w:p w:rsidR="00000000" w:rsidRPr="00E87F02" w:rsidP="00E87F02">
            <w:pPr>
              <w:pStyle w:val="ListBullet"/>
            </w:pPr>
            <w:r w:rsidRPr="00E87F02">
              <w:t>higher performance cable types</w:t>
            </w:r>
          </w:p>
          <w:p w:rsidR="00000000" w:rsidRPr="00E87F02" w:rsidP="00E87F02">
            <w:pPr>
              <w:pStyle w:val="ListBullet"/>
            </w:pPr>
            <w:r w:rsidRPr="00E87F02">
              <w:t>requirements of Australian Standards</w:t>
            </w:r>
          </w:p>
          <w:p w:rsidR="00000000" w:rsidRPr="00E87F02" w:rsidP="00E87F02">
            <w:pPr>
              <w:pStyle w:val="BodyText"/>
            </w:pPr>
            <w:r w:rsidRPr="00E87F02">
              <w:t>T14.</w:t>
            </w:r>
            <w:r w:rsidRPr="00E87F02">
              <w:tab/>
              <w:t>Testing Category 5 and 6 cabling</w:t>
            </w:r>
          </w:p>
          <w:p w:rsidR="00000000" w:rsidRPr="00E87F02" w:rsidP="00E87F02">
            <w:pPr>
              <w:pStyle w:val="ListBullet"/>
            </w:pPr>
            <w:r w:rsidRPr="00E87F02">
              <w:t>Testing</w:t>
            </w:r>
          </w:p>
          <w:p w:rsidR="00000000" w:rsidRPr="00E87F02" w:rsidP="00E87F02">
            <w:pPr>
              <w:pStyle w:val="BodyText"/>
            </w:pPr>
            <w:r w:rsidRPr="00E87F02">
              <w:t>T15.</w:t>
            </w:r>
            <w:r w:rsidRPr="00E87F02">
              <w:tab/>
              <w:t>Local area network cabling systems</w:t>
            </w:r>
          </w:p>
          <w:p w:rsidR="00000000" w:rsidRPr="00E87F02" w:rsidP="00E87F02">
            <w:pPr>
              <w:pStyle w:val="BodyText"/>
            </w:pPr>
            <w:r w:rsidRPr="00E87F02">
              <w:t>T16.</w:t>
            </w:r>
            <w:r w:rsidRPr="00E87F02">
              <w:tab/>
              <w:t>Coaxial cabl</w:t>
            </w:r>
            <w:r w:rsidRPr="00E87F02">
              <w:t>es</w:t>
            </w:r>
            <w:r w:rsidRPr="00E87F02">
              <w:tab/>
            </w:r>
          </w:p>
          <w:p w:rsidR="00000000" w:rsidRPr="00E87F02" w:rsidP="00E87F02">
            <w:pPr>
              <w:pStyle w:val="ListBullet"/>
            </w:pPr>
            <w:r w:rsidRPr="00E87F02">
              <w:t xml:space="preserve">Coaxial cables </w:t>
            </w:r>
          </w:p>
          <w:p w:rsidR="00000000" w:rsidRPr="00E87F02" w:rsidP="00E87F02">
            <w:pPr>
              <w:pStyle w:val="ListBullet"/>
            </w:pPr>
            <w:r w:rsidRPr="00E87F02">
              <w:t xml:space="preserve">Coaxial cable installation systems </w:t>
            </w:r>
          </w:p>
          <w:p w:rsidR="00000000" w:rsidRPr="00E87F02" w:rsidP="00E87F02">
            <w:pPr>
              <w:pStyle w:val="ListBullet"/>
            </w:pPr>
            <w:r w:rsidRPr="00E87F02">
              <w:t>Twisted pair cable installation systems</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10" w:name="O_584649"/>
      <w:bookmarkEnd w:id="10"/>
      <w:r w:rsidRPr="00E87F02">
        <w:t>Evidence Guide</w:t>
      </w:r>
    </w:p>
    <w:tbl>
      <w:tblPr>
        <w:tblW w:w="0" w:type="auto"/>
        <w:tblLayout w:type="fixed"/>
        <w:tblCellMar>
          <w:left w:w="62" w:type="dxa"/>
          <w:right w:w="62" w:type="dxa"/>
        </w:tblCellMar>
        <w:tblLook w:val="0000"/>
      </w:tblPr>
      <w:tblGrid>
        <w:gridCol w:w="8460"/>
      </w:tblGrid>
      <w:tr w:rsidTr="00636AC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EVIDENCE GUIDE</w:t>
            </w:r>
          </w:p>
        </w:tc>
      </w:tr>
      <w:tr w:rsidTr="00636AC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9)</w:t>
            </w:r>
            <w:r w:rsidRPr="00E87F02">
              <w:t xml:space="preserve"> This provides essential advice for assessment of the unit and must be read in conjunction with the </w:t>
            </w:r>
            <w:r w:rsidRPr="00E87F02">
              <w:t>performance criteria and the range statement of the unit and the Training Package Assessment Guidelines.</w:t>
            </w:r>
          </w:p>
          <w:p w:rsidR="00000000" w:rsidRPr="00E87F02" w:rsidP="00E87F02">
            <w:pPr>
              <w:pStyle w:val="BodyText"/>
            </w:pPr>
            <w:r w:rsidRPr="00E87F02">
              <w:t xml:space="preserve">The Evidence Guide forms an integral part of this unit. It must be used in conjunction with all parts of the unit and performed in accordance with the </w:t>
            </w:r>
            <w:r w:rsidRPr="00E87F02">
              <w:t>Assessment Guidelines of this Training Package.</w:t>
            </w:r>
          </w:p>
        </w:tc>
      </w:tr>
    </w:tbl>
    <w:p w:rsidR="00000000" w:rsidRPr="00E87F02" w:rsidP="00E87F02">
      <w:pPr>
        <w:pStyle w:val="BodyText"/>
      </w:pPr>
    </w:p>
    <w:tbl>
      <w:tblPr>
        <w:tblW w:w="0" w:type="auto"/>
        <w:tblLayout w:type="fixed"/>
        <w:tblCellMar>
          <w:left w:w="62" w:type="dxa"/>
          <w:right w:w="62" w:type="dxa"/>
        </w:tblCellMar>
        <w:tblLook w:val="0000"/>
      </w:tblPr>
      <w:tblGrid>
        <w:gridCol w:w="1890"/>
        <w:gridCol w:w="6570"/>
      </w:tblGrid>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9.1)</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 xml:space="preserve">Longitudinal competency development approaches to assessment, such as Profiling, require data to be reliably gathered in a form that can be </w:t>
            </w:r>
            <w:r w:rsidRPr="00E87F02">
              <w:t>consistently interpreted over time. This approach is best utilised in Apprenticeship programs and reduces assessment intervention. It is the industry-preferred model for apprenticeships. However, where summative (or final) assessment is used it is to inclu</w:t>
            </w:r>
            <w:r w:rsidRPr="00E87F02">
              <w:t>de the application of the competency in the normal work environment or, at a minimum, the application of the competency in a realistically simulated work environment. It is recognised that, in some circumstances, assessment in part or full can occur outsid</w:t>
            </w:r>
            <w:r w:rsidRPr="00E87F02">
              <w:t>e the workplace. However, it must be in accordance with industry and regulatory policy.</w:t>
            </w:r>
          </w:p>
          <w:p w:rsidR="00000000" w:rsidRPr="00E87F02" w:rsidP="00E87F02">
            <w:pPr>
              <w:pStyle w:val="BodyText"/>
            </w:pPr>
            <w:r w:rsidRPr="00E87F02">
              <w:t>Methods chosen for a particular assessment will be influenced by various factors. These include the extent of the assessment, the most effective locations for the asses</w:t>
            </w:r>
            <w:r w:rsidRPr="00E87F02">
              <w:t>sment activities to take place, access to physical resources, additional safety measures that may be required and the critical nature of the competencies being assessed.</w:t>
            </w:r>
          </w:p>
          <w:p w:rsidR="00000000" w:rsidRPr="00E87F02" w:rsidP="00E87F02">
            <w:pPr>
              <w:pStyle w:val="BodyText"/>
            </w:pPr>
            <w:r w:rsidRPr="00E87F02">
              <w:t>The critical safety nature of working with electricity, electrical equipment, gas or a</w:t>
            </w:r>
            <w:r w:rsidRPr="00E87F02">
              <w:t>ny other hazardous substance/material carries risk in deeming a person competent. Sources of evidence need to be ‘rich’ in nature to minimise error in judgment.</w:t>
            </w:r>
          </w:p>
          <w:p w:rsidR="00000000" w:rsidRPr="00E87F02" w:rsidP="00E87F02">
            <w:pPr>
              <w:pStyle w:val="BodyText"/>
            </w:pPr>
            <w:r w:rsidRPr="00E87F02">
              <w:t>Activities associated with normal everyday work have a bearing on the decision as to how much a</w:t>
            </w:r>
            <w:r w:rsidRPr="00E87F02">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E87F02">
              <w:t>when choosing an assessment method and developing assessment instruments. Sample assessment instruments are included for Assessors in the Assessment Guidelines of this Training Package.</w:t>
            </w:r>
          </w:p>
        </w:tc>
      </w:tr>
    </w:tbl>
    <w:p w:rsidR="00000000" w:rsidRPr="00E87F02" w:rsidP="00E87F02">
      <w:pPr>
        <w:pStyle w:val="BodyText"/>
      </w:pPr>
    </w:p>
    <w:tbl>
      <w:tblPr>
        <w:tblW w:w="0" w:type="auto"/>
        <w:tblLayout w:type="fixed"/>
        <w:tblCellMar>
          <w:left w:w="62" w:type="dxa"/>
          <w:right w:w="62" w:type="dxa"/>
        </w:tblCellMar>
        <w:tblLook w:val="0000"/>
      </w:tblPr>
      <w:tblGrid>
        <w:gridCol w:w="1890"/>
        <w:gridCol w:w="1620"/>
        <w:gridCol w:w="4950"/>
      </w:tblGrid>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Critical aspects of evidence required to demonstrate competency in t</w:t>
            </w:r>
            <w:r w:rsidRPr="00E87F02">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9.2)</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Before the critical aspects of evidence are considered all prerequisites shall be met.</w:t>
            </w:r>
          </w:p>
          <w:p w:rsidR="00000000" w:rsidRPr="00E87F02" w:rsidP="00E87F02">
            <w:pPr>
              <w:pStyle w:val="BodyText"/>
            </w:pPr>
            <w:r w:rsidRPr="00E87F02">
              <w:t>Evidence for competence in this unit shall be considered holistically.  Each element and associated performance criteria shall be demonstrated on at lea</w:t>
            </w:r>
            <w:r w:rsidRPr="00E87F02">
              <w:t>st two occasions in accordance with the ‘Assessment Guidelines – UEE11’.  Evidence shall also comprise:</w:t>
            </w:r>
          </w:p>
          <w:p w:rsidR="00000000" w:rsidRPr="00E87F02" w:rsidP="00E87F02">
            <w:pPr>
              <w:pStyle w:val="ListBullet"/>
            </w:pPr>
            <w:r w:rsidRPr="00E87F02">
              <w:t>A representative body of work performance demonstrated within the timeframes typically expected of the discipline, work function and industrial environ</w:t>
            </w:r>
            <w:r w:rsidRPr="00E87F02">
              <w:t>ment. In particular this shall incorporate evidence that shows a candidate is able to:</w:t>
            </w:r>
          </w:p>
          <w:p w:rsidR="00000000" w:rsidRPr="00E87F02" w:rsidP="00E87F02">
            <w:pPr>
              <w:pStyle w:val="ListBullet2"/>
            </w:pPr>
            <w:r w:rsidRPr="00E87F02">
              <w:t xml:space="preserve">Implement Occupational Health and Safety workplace procedures and practices, including </w:t>
            </w:r>
            <w:r w:rsidRPr="00E87F02">
              <w:t>the use of risk control measures as specified in the performance criteria and range statement</w:t>
            </w:r>
          </w:p>
          <w:p w:rsidR="00000000" w:rsidRPr="00E87F02" w:rsidP="00E87F02">
            <w:pPr>
              <w:pStyle w:val="ListBullet2"/>
            </w:pPr>
            <w:r w:rsidRPr="00E87F02">
              <w:t>Apply sustainable energy principles and practices as specified in the performance criteria and range statement</w:t>
            </w:r>
          </w:p>
          <w:p w:rsidR="00000000" w:rsidRPr="00E87F02" w:rsidP="00E87F02">
            <w:pPr>
              <w:pStyle w:val="ListBullet2"/>
            </w:pPr>
            <w:r w:rsidRPr="00E87F02">
              <w:t>Demonstrate an understanding of the essential knowl</w:t>
            </w:r>
            <w:r w:rsidRPr="00E87F02">
              <w:t xml:space="preserve">edge and associated skills as described in this unit.  It may be required by some jurisdictions that RTOs provide a percentile graded result for the purpose of regulatory or licensing requirements.   </w:t>
            </w:r>
          </w:p>
          <w:p w:rsidR="00000000" w:rsidRPr="00E87F02" w:rsidP="00E87F02">
            <w:pPr>
              <w:pStyle w:val="ListBullet2"/>
            </w:pPr>
            <w:r w:rsidRPr="00E87F02">
              <w:t>Demonstrate an appropriate level of skills enabling emp</w:t>
            </w:r>
            <w:r w:rsidRPr="00E87F02">
              <w:t>loyment</w:t>
            </w:r>
          </w:p>
          <w:p w:rsidR="00000000" w:rsidRPr="00E87F02" w:rsidP="00E87F02">
            <w:pPr>
              <w:pStyle w:val="ListBullet2"/>
            </w:pPr>
            <w:r w:rsidRPr="00E87F02">
              <w:t>Conduct work observing the relevant Anti Discrimination legislation, regulations, polices and workplace procedures</w:t>
            </w:r>
          </w:p>
          <w:p w:rsidR="00000000" w:rsidRPr="00E87F02" w:rsidP="00E87F02">
            <w:pPr>
              <w:pStyle w:val="ListBullet"/>
            </w:pPr>
            <w:r w:rsidRPr="00E87F02">
              <w:t>Demonstrated consistent performance across a representative range of contexts from the prescribed items below:</w:t>
            </w:r>
          </w:p>
          <w:p w:rsidR="00000000" w:rsidP="00E87F02">
            <w:pPr>
              <w:pStyle w:val="ListBullet2"/>
              <w:rPr>
                <w:lang w:val="en-NZ"/>
              </w:rPr>
            </w:pPr>
            <w:r w:rsidRPr="00E87F02">
              <w:t>Install and modify p</w:t>
            </w:r>
            <w:r w:rsidRPr="00E87F02">
              <w:t>erformance data communication structured cabling as described in 8) and including:</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A</w:t>
            </w:r>
          </w:p>
        </w:tc>
        <w:tc>
          <w:tcPr>
            <w:tcW w:w="495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Reading and interpreting drawings related to cable layouts, cable schedules and apparatus locations.</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B</w:t>
            </w:r>
          </w:p>
        </w:tc>
        <w:tc>
          <w:tcPr>
            <w:tcW w:w="495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Routing, placing and securing cables to comply with requirements</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w:t>
            </w:r>
          </w:p>
        </w:tc>
        <w:tc>
          <w:tcPr>
            <w:tcW w:w="495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Maintaining fire integrity</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D</w:t>
            </w:r>
          </w:p>
        </w:tc>
        <w:tc>
          <w:tcPr>
            <w:tcW w:w="495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Preparing and terminating each type of cable to comply with requirements.</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E</w:t>
            </w:r>
          </w:p>
        </w:tc>
        <w:tc>
          <w:tcPr>
            <w:tcW w:w="495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Conducting cable performance test accurately</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F</w:t>
            </w:r>
          </w:p>
        </w:tc>
        <w:tc>
          <w:tcPr>
            <w:tcW w:w="495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Identifying and rectifying anomalies</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G</w:t>
            </w:r>
          </w:p>
        </w:tc>
        <w:tc>
          <w:tcPr>
            <w:tcW w:w="495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Completing the necessary documentation accurately.</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H</w:t>
            </w:r>
          </w:p>
        </w:tc>
        <w:tc>
          <w:tcPr>
            <w:tcW w:w="495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Dealing with unplanned events by drawing on essential knowledge and skills to provide appropriate solutions incorporated in a holistic assessment with the above</w:t>
            </w:r>
            <w:r w:rsidRPr="00E87F02">
              <w:t xml:space="preserve"> listed items.</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 xml:space="preserve">Note: </w:t>
            </w:r>
          </w:p>
          <w:p w:rsidR="00000000" w:rsidRPr="00E87F02" w:rsidP="00E87F02">
            <w:pPr>
              <w:pStyle w:val="BodyText"/>
            </w:pPr>
            <w:r w:rsidRPr="00E87F02">
              <w:t>Successful completion of relevant vendor training may be used to contribute to evidence on which competency is deemed. In these cases the alignment of outcomes of vendor training with performance criteria and critical aspects of evi</w:t>
            </w:r>
            <w:r w:rsidRPr="00E87F02">
              <w:t>dence shall be clearly identified.</w:t>
            </w:r>
          </w:p>
        </w:tc>
      </w:tr>
    </w:tbl>
    <w:p w:rsidR="00000000" w:rsidRPr="00E87F02" w:rsidP="00E87F02">
      <w:pPr>
        <w:pStyle w:val="BodyText"/>
      </w:pPr>
    </w:p>
    <w:tbl>
      <w:tblPr>
        <w:tblW w:w="0" w:type="auto"/>
        <w:tblLayout w:type="fixed"/>
        <w:tblCellMar>
          <w:left w:w="62" w:type="dxa"/>
          <w:right w:w="62" w:type="dxa"/>
        </w:tblCellMar>
        <w:tblLook w:val="0000"/>
      </w:tblPr>
      <w:tblGrid>
        <w:gridCol w:w="1890"/>
        <w:gridCol w:w="6570"/>
      </w:tblGrid>
      <w:tr w:rsidTr="00636AC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9.3)</w:t>
            </w:r>
          </w:p>
        </w:tc>
      </w:tr>
      <w:tr w:rsidTr="00636AC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This unit should be assessed as it relates to normal work practice using procedures, information and resources typical of a workplace. This should include:</w:t>
            </w:r>
          </w:p>
          <w:p w:rsidR="00000000" w:rsidRPr="00E87F02" w:rsidP="00E87F02">
            <w:pPr>
              <w:pStyle w:val="ListBullet"/>
            </w:pPr>
            <w:r w:rsidRPr="00E87F02">
              <w:t>OHS policy and work procedures and instructions.</w:t>
            </w:r>
          </w:p>
          <w:p w:rsidR="00000000" w:rsidRPr="00E87F02" w:rsidP="00E87F02">
            <w:pPr>
              <w:pStyle w:val="ListBullet"/>
            </w:pPr>
            <w:r w:rsidRPr="00E87F02">
              <w:t>Suitable work environment, facilities, equipment and materials to undertake actual work as prescribed by this unit.</w:t>
            </w:r>
          </w:p>
          <w:p w:rsidR="00000000" w:rsidRPr="00E87F02" w:rsidP="00E87F02">
            <w:pPr>
              <w:pStyle w:val="BodyText"/>
            </w:pPr>
            <w:r w:rsidRPr="00E87F02">
              <w:t>These should be used in the formal learning/assessment environment.</w:t>
            </w:r>
          </w:p>
          <w:p w:rsidR="00000000" w:rsidRPr="00E87F02" w:rsidP="00E87F02">
            <w:pPr>
              <w:pStyle w:val="BodyText"/>
            </w:pPr>
            <w:r w:rsidRPr="00E87F02">
              <w:t>Note:</w:t>
            </w:r>
          </w:p>
          <w:p w:rsidR="00000000" w:rsidRPr="00E87F02" w:rsidP="00E87F02">
            <w:pPr>
              <w:pStyle w:val="BodyText"/>
            </w:pPr>
            <w:r w:rsidRPr="00E87F02">
              <w:t>Where simulation is considered a suitable strategy for assessment, conditions must be authentic and as far as possible reproduce and replicate the workplace and be consistent with the approved industry simulation policy.</w:t>
            </w:r>
          </w:p>
          <w:p w:rsidR="00000000" w:rsidRPr="00E87F02" w:rsidP="00E87F02">
            <w:pPr>
              <w:pStyle w:val="BodyText"/>
            </w:pPr>
            <w:r w:rsidRPr="00E87F02">
              <w:t>The resources used for assessment s</w:t>
            </w:r>
            <w:r w:rsidRPr="00E87F02">
              <w:t>hould reflect current industry practices in relation to installing and modifying performance data communication structured cabling.</w:t>
            </w:r>
          </w:p>
        </w:tc>
      </w:tr>
    </w:tbl>
    <w:p w:rsidR="00000000" w:rsidRPr="00E87F02" w:rsidP="00E87F02">
      <w:pPr>
        <w:pStyle w:val="BodyText"/>
      </w:pPr>
    </w:p>
    <w:tbl>
      <w:tblPr>
        <w:tblW w:w="0" w:type="auto"/>
        <w:tblLayout w:type="fixed"/>
        <w:tblCellMar>
          <w:left w:w="62" w:type="dxa"/>
          <w:right w:w="62" w:type="dxa"/>
        </w:tblCellMar>
        <w:tblLook w:val="0000"/>
      </w:tblPr>
      <w:tblGrid>
        <w:gridCol w:w="1890"/>
        <w:gridCol w:w="6570"/>
      </w:tblGrid>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9.4)</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This unit shall be assessed by methods given in Volume 1, Part 3 ‘Assessment Guidelines’.</w:t>
            </w:r>
          </w:p>
          <w:p w:rsidR="00000000" w:rsidRPr="00E87F02" w:rsidP="00E87F02">
            <w:pPr>
              <w:pStyle w:val="BodyText"/>
            </w:pPr>
            <w:r w:rsidRPr="00E87F02">
              <w:t xml:space="preserve">Note: </w:t>
            </w:r>
          </w:p>
          <w:p w:rsidR="00000000" w:rsidRPr="00E87F02" w:rsidP="00E87F02">
            <w:pPr>
              <w:pStyle w:val="BodyText"/>
            </w:pPr>
            <w:r w:rsidRPr="00E87F02">
              <w:t>Competent performance with inherent safe working practices is expected in the Industry to which this competency standard unit applies. This requires assessment in a structured environment which is primarily intended for learning/assessment and incor</w:t>
            </w:r>
            <w:r w:rsidRPr="00E87F02">
              <w:t>porates all necessary equipment and facilities for learners to develop and demonstrate the essential knowledge and skills described in this unit.</w:t>
            </w:r>
          </w:p>
        </w:tc>
      </w:tr>
    </w:tbl>
    <w:p w:rsidR="00000000" w:rsidRPr="00E87F02" w:rsidP="00E87F02">
      <w:pPr>
        <w:pStyle w:val="BodyText"/>
      </w:pPr>
    </w:p>
    <w:tbl>
      <w:tblPr>
        <w:tblW w:w="0" w:type="auto"/>
        <w:tblLayout w:type="fixed"/>
        <w:tblCellMar>
          <w:left w:w="62" w:type="dxa"/>
          <w:right w:w="62" w:type="dxa"/>
        </w:tblCellMar>
        <w:tblLook w:val="0000"/>
      </w:tblPr>
      <w:tblGrid>
        <w:gridCol w:w="1890"/>
        <w:gridCol w:w="1530"/>
        <w:gridCol w:w="5040"/>
      </w:tblGrid>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9.5)</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 xml:space="preserve">For optimisation of training and assessment </w:t>
            </w:r>
            <w:r w:rsidRPr="00E87F02">
              <w:t>effort, competency development in this unit may be arranged concurrently with unit:</w:t>
            </w:r>
          </w:p>
        </w:tc>
      </w:tr>
      <w:tr w:rsidTr="00636AC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t>UEENEEF109A</w:t>
            </w:r>
          </w:p>
        </w:tc>
        <w:tc>
          <w:tcPr>
            <w:tcW w:w="504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Install and connect data and voice communication equipment</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11" w:name="O_584648"/>
      <w:bookmarkEnd w:id="11"/>
      <w:r w:rsidRPr="00E87F02">
        <w:t>Range Statement</w:t>
      </w:r>
    </w:p>
    <w:tbl>
      <w:tblPr>
        <w:tblW w:w="0" w:type="auto"/>
        <w:tblLayout w:type="fixed"/>
        <w:tblCellMar>
          <w:left w:w="62" w:type="dxa"/>
          <w:right w:w="62" w:type="dxa"/>
        </w:tblCellMar>
        <w:tblLook w:val="0000"/>
      </w:tblPr>
      <w:tblGrid>
        <w:gridCol w:w="8460"/>
      </w:tblGrid>
      <w:tr w:rsidTr="00636AC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RANGE STATEMENT</w:t>
            </w:r>
          </w:p>
        </w:tc>
      </w:tr>
      <w:tr w:rsidTr="00636AC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10)</w:t>
            </w:r>
            <w:r w:rsidRPr="00E87F02">
              <w:t xml:space="preserve"> This relates to the unit as a whole providing the range of contexts and conditions to which the performance criteria apply. It allows for different work environments and situations that will affect performance.</w:t>
            </w:r>
          </w:p>
          <w:p w:rsidR="00000000" w:rsidRPr="00E87F02" w:rsidP="00E87F02">
            <w:pPr>
              <w:pStyle w:val="BodyText"/>
            </w:pPr>
            <w:r w:rsidRPr="00E87F02">
              <w:t xml:space="preserve">This unit shall be demonstrated in relation </w:t>
            </w:r>
            <w:r w:rsidRPr="00E87F02">
              <w:t>to installing and modifying performance structured metallic cables each on at least two occasions.</w:t>
            </w:r>
          </w:p>
          <w:p w:rsidR="00000000" w:rsidRPr="00E87F02" w:rsidP="00E87F02">
            <w:pPr>
              <w:pStyle w:val="BodyText"/>
            </w:pPr>
            <w:r w:rsidRPr="00E87F02">
              <w:t>Generic terms used throughout this Vocational Standard shall be regarded as part of the Range Statement in which competency is demonstrated. The definition o</w:t>
            </w:r>
            <w:r w:rsidRPr="00E87F02">
              <w:t>f these and other terms that apply are given in Volume 2, Part 2.1.</w:t>
            </w:r>
          </w:p>
        </w:tc>
      </w:tr>
    </w:tbl>
    <w:p w:rsidR="00000000" w:rsidRPr="00E87F02" w:rsidP="00E87F02">
      <w:pPr>
        <w:pStyle w:val="BodyText"/>
      </w:pPr>
    </w:p>
    <w:p w:rsidR="00000000" w:rsidRPr="00E87F02" w:rsidP="00E87F02">
      <w:pPr>
        <w:pStyle w:val="AllowPageBreak"/>
      </w:pPr>
    </w:p>
    <w:p w:rsidR="00000000" w:rsidRPr="00E87F02" w:rsidP="00E87F02">
      <w:pPr>
        <w:pStyle w:val="Heading1"/>
      </w:pPr>
      <w:bookmarkStart w:id="12" w:name="O_584647"/>
      <w:bookmarkEnd w:id="12"/>
      <w:r w:rsidRPr="00E87F02">
        <w:t>Unit Sector(s)</w:t>
      </w:r>
    </w:p>
    <w:p w:rsidR="00000000" w:rsidRPr="00E87F02" w:rsidP="00E87F02">
      <w:pPr>
        <w:pStyle w:val="BodyText"/>
      </w:pPr>
      <w:r w:rsidRPr="00E87F02">
        <w:t>Not applicable.</w:t>
      </w:r>
    </w:p>
    <w:p w:rsidR="00000000" w:rsidRPr="00E87F02" w:rsidP="00E87F02">
      <w:pPr>
        <w:pStyle w:val="AllowPageBreak"/>
      </w:pPr>
    </w:p>
    <w:p w:rsidR="00000000" w:rsidRPr="00E87F02" w:rsidP="00E87F02">
      <w:pPr>
        <w:pStyle w:val="Heading1"/>
      </w:pPr>
      <w:bookmarkStart w:id="13" w:name="O_584646"/>
      <w:bookmarkEnd w:id="13"/>
      <w:r w:rsidRPr="00E87F02">
        <w:t>Competency Field</w:t>
      </w:r>
    </w:p>
    <w:tbl>
      <w:tblPr>
        <w:tblW w:w="0" w:type="auto"/>
        <w:tblLayout w:type="fixed"/>
        <w:tblCellMar>
          <w:left w:w="62" w:type="dxa"/>
          <w:right w:w="62" w:type="dxa"/>
        </w:tblCellMar>
        <w:tblLook w:val="0000"/>
      </w:tblPr>
      <w:tblGrid>
        <w:gridCol w:w="2700"/>
        <w:gridCol w:w="5760"/>
      </w:tblGrid>
      <w:tr w:rsidTr="00636A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7F02">
            <w:pPr>
              <w:pStyle w:val="BodyText"/>
              <w:rPr>
                <w:lang w:val="en-NZ"/>
              </w:rPr>
            </w:pPr>
            <w:r w:rsidRPr="00E87F02">
              <w:rPr>
                <w:rStyle w:val="SpecialBold"/>
              </w:rPr>
              <w:t xml:space="preserve">11) </w:t>
            </w:r>
          </w:p>
        </w:tc>
      </w:tr>
      <w:tr w:rsidTr="00636A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7F02" w:rsidP="00E87F02">
            <w:pPr>
              <w:pStyle w:val="BodyText"/>
            </w:pPr>
            <w:r w:rsidRPr="00E87F02">
              <w:t>Data and Voice Communications</w:t>
            </w:r>
          </w:p>
        </w:tc>
      </w:tr>
    </w:tbl>
    <w:p w:rsidR="00000000" w:rsidRPr="00E87F02" w:rsidP="00E87F02">
      <w:pPr>
        <w:pStyle w:val="BodyText"/>
      </w:pPr>
    </w:p>
    <w:p w:rsidR="00000000" w:rsidRPr="00E87F02" w:rsidP="00E87F02"/>
    <w:sectPr w:rsidSect="00E87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02" w:rsidRPr="00636ACC" w:rsidP="00636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CC" w:rsidP="00E87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36ACC" w:rsidP="00E87F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36ACC" w:rsidP="00E87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02" w:rsidRPr="00636ACC" w:rsidP="00636A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CC" w:rsidRPr="002D2AF8" w:rsidP="00E87F02">
    <w:pPr>
      <w:pStyle w:val="Header"/>
      <w:framePr w:wrap="around"/>
    </w:pPr>
    <w:r>
      <w:fldChar w:fldCharType="begin"/>
    </w:r>
    <w:r>
      <w:instrText xml:space="preserve"> TITLE   \* MERGEFORMAT </w:instrText>
    </w:r>
    <w:r>
      <w:fldChar w:fldCharType="separate"/>
    </w:r>
    <w:r>
      <w:t>UEENEEF104A Install and modify performance data communication copper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36ACC" w:rsidP="00E87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61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92F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4F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F02"/>
    <w:pPr>
      <w:spacing w:before="360" w:after="60"/>
      <w:outlineLvl w:val="0"/>
    </w:pPr>
    <w:rPr>
      <w:sz w:val="32"/>
    </w:rPr>
  </w:style>
  <w:style w:type="paragraph" w:styleId="Heading2">
    <w:name w:val="heading 2"/>
    <w:basedOn w:val="HeadingBase"/>
    <w:next w:val="BodyText"/>
    <w:link w:val="Heading2Char"/>
    <w:qFormat/>
    <w:rsid w:val="00E87F02"/>
    <w:pPr>
      <w:keepLines/>
      <w:spacing w:before="240" w:after="120"/>
      <w:outlineLvl w:val="1"/>
    </w:pPr>
    <w:rPr>
      <w:sz w:val="28"/>
      <w:szCs w:val="40"/>
    </w:rPr>
  </w:style>
  <w:style w:type="paragraph" w:styleId="Heading3">
    <w:name w:val="heading 3"/>
    <w:basedOn w:val="HeadingBase"/>
    <w:next w:val="BodyText"/>
    <w:link w:val="Heading3Char"/>
    <w:qFormat/>
    <w:rsid w:val="00E87F02"/>
    <w:pPr>
      <w:spacing w:before="180" w:after="120"/>
      <w:outlineLvl w:val="2"/>
    </w:pPr>
    <w:rPr>
      <w:spacing w:val="-10"/>
      <w:kern w:val="32"/>
    </w:rPr>
  </w:style>
  <w:style w:type="paragraph" w:styleId="Heading4">
    <w:name w:val="heading 4"/>
    <w:basedOn w:val="HeadingBase"/>
    <w:next w:val="BodyText"/>
    <w:link w:val="Heading4Char"/>
    <w:qFormat/>
    <w:rsid w:val="00E87F02"/>
    <w:pPr>
      <w:spacing w:before="160" w:after="120"/>
      <w:outlineLvl w:val="3"/>
    </w:pPr>
    <w:rPr>
      <w:sz w:val="22"/>
    </w:rPr>
  </w:style>
  <w:style w:type="paragraph" w:styleId="Heading5">
    <w:name w:val="heading 5"/>
    <w:basedOn w:val="HeadingBase"/>
    <w:next w:val="Normal"/>
    <w:link w:val="Heading5Char"/>
    <w:qFormat/>
    <w:rsid w:val="00E87F02"/>
    <w:pPr>
      <w:spacing w:before="80"/>
      <w:outlineLvl w:val="4"/>
    </w:pPr>
    <w:rPr>
      <w:color w:val="918585"/>
      <w:sz w:val="20"/>
    </w:rPr>
  </w:style>
  <w:style w:type="paragraph" w:styleId="Heading6">
    <w:name w:val="heading 6"/>
    <w:basedOn w:val="HeadingBase"/>
    <w:next w:val="Normal"/>
    <w:link w:val="Heading6Char"/>
    <w:qFormat/>
    <w:rsid w:val="00E87F02"/>
    <w:pPr>
      <w:spacing w:before="60"/>
      <w:outlineLvl w:val="5"/>
    </w:pPr>
    <w:rPr>
      <w:color w:val="918585"/>
      <w:sz w:val="20"/>
    </w:rPr>
  </w:style>
  <w:style w:type="paragraph" w:styleId="Heading7">
    <w:name w:val="heading 7"/>
    <w:basedOn w:val="Normal"/>
    <w:next w:val="Normal"/>
    <w:link w:val="Heading7Char"/>
    <w:qFormat/>
    <w:rsid w:val="00E87F02"/>
    <w:pPr>
      <w:ind w:left="720"/>
      <w:outlineLvl w:val="6"/>
    </w:pPr>
    <w:rPr>
      <w:i/>
    </w:rPr>
  </w:style>
  <w:style w:type="paragraph" w:styleId="Heading8">
    <w:name w:val="heading 8"/>
    <w:basedOn w:val="Normal"/>
    <w:next w:val="Normal"/>
    <w:link w:val="Heading8Char"/>
    <w:qFormat/>
    <w:rsid w:val="00E87F02"/>
    <w:pPr>
      <w:ind w:left="720"/>
      <w:outlineLvl w:val="7"/>
    </w:pPr>
    <w:rPr>
      <w:i/>
    </w:rPr>
  </w:style>
  <w:style w:type="paragraph" w:styleId="Heading9">
    <w:name w:val="heading 9"/>
    <w:basedOn w:val="Normal"/>
    <w:next w:val="Normal"/>
    <w:link w:val="Heading9Char"/>
    <w:qFormat/>
    <w:rsid w:val="00E87F02"/>
    <w:pPr>
      <w:ind w:left="720"/>
      <w:outlineLvl w:val="8"/>
    </w:pPr>
    <w:rPr>
      <w:i/>
    </w:rPr>
  </w:style>
  <w:style w:type="character" w:default="1" w:styleId="DefaultParagraphFont">
    <w:name w:val="Default Paragraph Font"/>
    <w:uiPriority w:val="1"/>
    <w:unhideWhenUsed/>
    <w:rsid w:val="00E87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F02"/>
  </w:style>
  <w:style w:type="character" w:customStyle="1" w:styleId="Heading1Char">
    <w:name w:val="Heading 1 Char"/>
    <w:basedOn w:val="DefaultParagraphFont"/>
    <w:link w:val="Heading1"/>
    <w:rsid w:val="00E87F02"/>
    <w:rPr>
      <w:rFonts w:ascii="Times New Roman" w:eastAsia="Times New Roman" w:hAnsi="Times New Roman" w:cs="Times New Roman"/>
      <w:b/>
      <w:sz w:val="32"/>
      <w:szCs w:val="20"/>
      <w:lang w:eastAsia="en-US"/>
    </w:rPr>
  </w:style>
  <w:style w:type="paragraph" w:styleId="BodyText">
    <w:name w:val="Body Text"/>
    <w:basedOn w:val="Normal"/>
    <w:link w:val="BodyTextChar"/>
    <w:rsid w:val="00E87F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F02"/>
    <w:rPr>
      <w:rFonts w:ascii="Times New Roman" w:eastAsia="Times New Roman" w:hAnsi="Times New Roman" w:cs="Times New Roman"/>
      <w:sz w:val="24"/>
      <w:lang w:eastAsia="en-US"/>
    </w:rPr>
  </w:style>
  <w:style w:type="paragraph" w:styleId="ListBullet">
    <w:name w:val="List Bullet"/>
    <w:basedOn w:val="List"/>
    <w:rsid w:val="00E87F02"/>
    <w:pPr>
      <w:numPr>
        <w:numId w:val="13"/>
      </w:numPr>
      <w:tabs>
        <w:tab w:val="clear" w:pos="340"/>
      </w:tabs>
      <w:spacing w:before="40" w:after="40"/>
    </w:pPr>
  </w:style>
  <w:style w:type="character" w:customStyle="1" w:styleId="SpecialBold">
    <w:name w:val="Special Bold"/>
    <w:basedOn w:val="DefaultParagraphFont"/>
    <w:rsid w:val="00E87F02"/>
    <w:rPr>
      <w:b/>
      <w:spacing w:val="0"/>
    </w:rPr>
  </w:style>
  <w:style w:type="paragraph" w:styleId="ListBullet2">
    <w:name w:val="List Bullet 2"/>
    <w:basedOn w:val="List2"/>
    <w:rsid w:val="00E87F02"/>
    <w:pPr>
      <w:numPr>
        <w:numId w:val="14"/>
      </w:numPr>
      <w:tabs>
        <w:tab w:val="clear" w:pos="680"/>
      </w:tabs>
    </w:pPr>
  </w:style>
  <w:style w:type="paragraph" w:customStyle="1" w:styleId="SuperHeading">
    <w:name w:val="SuperHeading"/>
    <w:basedOn w:val="Normal"/>
    <w:rsid w:val="00E87F02"/>
    <w:pPr>
      <w:spacing w:before="240" w:after="120"/>
      <w:outlineLvl w:val="0"/>
    </w:pPr>
    <w:rPr>
      <w:rFonts w:ascii="Times New Roman" w:hAnsi="Times New Roman"/>
      <w:b/>
      <w:sz w:val="32"/>
    </w:rPr>
  </w:style>
  <w:style w:type="paragraph" w:customStyle="1" w:styleId="AllowPageBreak">
    <w:name w:val="AllowPageBreak"/>
    <w:rsid w:val="00E87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F02"/>
    <w:rPr>
      <w:rFonts w:ascii="Courier New" w:eastAsia="Times New Roman" w:hAnsi="Courier New" w:cs="Times New Roman"/>
      <w:i/>
      <w:szCs w:val="20"/>
      <w:lang w:eastAsia="en-US"/>
    </w:rPr>
  </w:style>
  <w:style w:type="paragraph" w:customStyle="1" w:styleId="HeadingBase">
    <w:name w:val="Heading Base"/>
    <w:rsid w:val="00E87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F02"/>
    <w:pPr>
      <w:tabs>
        <w:tab w:val="right" w:leader="dot" w:pos="9072"/>
      </w:tabs>
      <w:ind w:left="567"/>
    </w:pPr>
    <w:rPr>
      <w:szCs w:val="22"/>
    </w:rPr>
  </w:style>
  <w:style w:type="paragraph" w:customStyle="1" w:styleId="TOCBase">
    <w:name w:val="TOC Base"/>
    <w:rsid w:val="00E87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F02"/>
    <w:pPr>
      <w:tabs>
        <w:tab w:val="right" w:leader="dot" w:pos="9072"/>
      </w:tabs>
      <w:spacing w:before="40" w:after="40"/>
      <w:ind w:left="284"/>
    </w:pPr>
    <w:rPr>
      <w:rFonts w:ascii="Times New Roman" w:hAnsi="Times New Roman"/>
    </w:rPr>
  </w:style>
  <w:style w:type="paragraph" w:styleId="TOC1">
    <w:name w:val="toc 1"/>
    <w:basedOn w:val="TOCBase"/>
    <w:next w:val="Normal"/>
    <w:rsid w:val="00E87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F02"/>
    <w:rPr>
      <w:rFonts w:ascii="Times New Roman" w:eastAsia="Times New Roman" w:hAnsi="Times New Roman" w:cs="Times New Roman"/>
      <w:sz w:val="16"/>
      <w:lang w:eastAsia="en-US"/>
    </w:rPr>
  </w:style>
  <w:style w:type="paragraph" w:styleId="Title">
    <w:name w:val="Title"/>
    <w:basedOn w:val="HeadingBase"/>
    <w:link w:val="TitleChar"/>
    <w:qFormat/>
    <w:rsid w:val="00E87F02"/>
    <w:pPr>
      <w:spacing w:before="5040"/>
      <w:jc w:val="center"/>
    </w:pPr>
    <w:rPr>
      <w:sz w:val="48"/>
      <w:szCs w:val="72"/>
      <w:lang w:val="en-US"/>
    </w:rPr>
  </w:style>
  <w:style w:type="character" w:customStyle="1" w:styleId="TitleChar">
    <w:name w:val="Title Char"/>
    <w:basedOn w:val="DefaultParagraphFont"/>
    <w:link w:val="Title"/>
    <w:rsid w:val="00E87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F02"/>
    <w:pPr>
      <w:tabs>
        <w:tab w:val="left" w:pos="3600"/>
        <w:tab w:val="left" w:pos="3958"/>
      </w:tabs>
    </w:pPr>
  </w:style>
  <w:style w:type="paragraph" w:styleId="List">
    <w:name w:val="List"/>
    <w:basedOn w:val="BodyText"/>
    <w:next w:val="BodyText"/>
    <w:rsid w:val="00E87F02"/>
    <w:pPr>
      <w:tabs>
        <w:tab w:val="left" w:pos="340"/>
      </w:tabs>
      <w:spacing w:before="60" w:after="60"/>
      <w:ind w:left="340" w:hanging="340"/>
    </w:pPr>
  </w:style>
  <w:style w:type="paragraph" w:customStyle="1" w:styleId="Note">
    <w:name w:val="Note"/>
    <w:basedOn w:val="BodyText"/>
    <w:rsid w:val="00E87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F02"/>
    <w:pPr>
      <w:framePr w:wrap="auto" w:hAnchor="text" w:y="6049"/>
    </w:pPr>
    <w:rPr>
      <w:color w:val="000000"/>
      <w:sz w:val="40"/>
    </w:rPr>
  </w:style>
  <w:style w:type="paragraph" w:customStyle="1" w:styleId="TOCTitle">
    <w:name w:val="TOCTitle"/>
    <w:basedOn w:val="Heading1"/>
    <w:rsid w:val="00E87F02"/>
    <w:pPr>
      <w:spacing w:after="240"/>
      <w:jc w:val="center"/>
      <w:outlineLvl w:val="9"/>
    </w:pPr>
    <w:rPr>
      <w:caps/>
    </w:rPr>
  </w:style>
  <w:style w:type="paragraph" w:customStyle="1" w:styleId="Version">
    <w:name w:val="Version"/>
    <w:rsid w:val="00E87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F02"/>
    <w:pPr>
      <w:keepNext w:val="0"/>
      <w:tabs>
        <w:tab w:val="right" w:pos="4176"/>
      </w:tabs>
      <w:ind w:left="198" w:hanging="198"/>
    </w:pPr>
    <w:rPr>
      <w:rFonts w:ascii="Garamond" w:hAnsi="Garamond"/>
    </w:rPr>
  </w:style>
  <w:style w:type="paragraph" w:styleId="IndexHeading">
    <w:name w:val="index heading"/>
    <w:basedOn w:val="Normal"/>
    <w:next w:val="Index1"/>
    <w:semiHidden/>
    <w:rsid w:val="00E87F02"/>
    <w:pPr>
      <w:spacing w:before="120" w:after="120"/>
    </w:pPr>
    <w:rPr>
      <w:rFonts w:ascii="Arial" w:hAnsi="Arial"/>
      <w:b/>
      <w:color w:val="918585"/>
      <w:sz w:val="24"/>
    </w:rPr>
  </w:style>
  <w:style w:type="paragraph" w:styleId="Header">
    <w:name w:val="header"/>
    <w:basedOn w:val="Normal"/>
    <w:link w:val="HeaderChar"/>
    <w:rsid w:val="00E87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F02"/>
    <w:rPr>
      <w:rFonts w:ascii="Times New Roman" w:eastAsia="Times New Roman" w:hAnsi="Times New Roman" w:cs="Times New Roman"/>
      <w:sz w:val="16"/>
      <w:szCs w:val="20"/>
      <w:lang w:val="en-GB" w:eastAsia="en-US"/>
    </w:rPr>
  </w:style>
  <w:style w:type="paragraph" w:customStyle="1" w:styleId="Chapter">
    <w:name w:val="Chapter"/>
    <w:basedOn w:val="Normal"/>
    <w:rsid w:val="00E87F02"/>
    <w:pPr>
      <w:spacing w:before="240"/>
    </w:pPr>
    <w:rPr>
      <w:rFonts w:ascii="Times New Roman" w:hAnsi="Times New Roman"/>
      <w:smallCaps/>
      <w:spacing w:val="80"/>
      <w:sz w:val="28"/>
    </w:rPr>
  </w:style>
  <w:style w:type="paragraph" w:customStyle="1" w:styleId="InChapter">
    <w:name w:val="InChapter"/>
    <w:basedOn w:val="Heading3"/>
    <w:rsid w:val="00E87F02"/>
    <w:pPr>
      <w:spacing w:after="240"/>
      <w:outlineLvl w:val="9"/>
    </w:pPr>
    <w:rPr>
      <w:noProof/>
    </w:rPr>
  </w:style>
  <w:style w:type="paragraph" w:styleId="Index2">
    <w:name w:val="index 2"/>
    <w:basedOn w:val="Normal"/>
    <w:next w:val="Normal"/>
    <w:semiHidden/>
    <w:rsid w:val="00E87F02"/>
    <w:pPr>
      <w:tabs>
        <w:tab w:val="right" w:pos="4176"/>
      </w:tabs>
      <w:ind w:left="568" w:hanging="284"/>
    </w:pPr>
    <w:rPr>
      <w:rFonts w:ascii="Garamond" w:hAnsi="Garamond"/>
    </w:rPr>
  </w:style>
  <w:style w:type="paragraph" w:customStyle="1" w:styleId="Byline">
    <w:name w:val="Byline"/>
    <w:rsid w:val="00E87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F02"/>
    <w:pPr>
      <w:tabs>
        <w:tab w:val="clear" w:pos="3600"/>
        <w:tab w:val="clear" w:pos="3958"/>
      </w:tabs>
      <w:jc w:val="right"/>
    </w:pPr>
  </w:style>
  <w:style w:type="character" w:styleId="Emphasis">
    <w:name w:val="Emphasis"/>
    <w:basedOn w:val="DefaultParagraphFont"/>
    <w:qFormat/>
    <w:rsid w:val="00E87F02"/>
    <w:rPr>
      <w:i/>
    </w:rPr>
  </w:style>
  <w:style w:type="paragraph" w:styleId="Caption">
    <w:name w:val="caption"/>
    <w:basedOn w:val="BodyText"/>
    <w:next w:val="Normal"/>
    <w:qFormat/>
    <w:rsid w:val="00E87F02"/>
    <w:pPr>
      <w:framePr w:w="2268" w:hSpace="181" w:vSpace="181" w:wrap="around" w:vAnchor="text" w:hAnchor="page" w:x="1135" w:y="285" w:anchorLock="1"/>
    </w:pPr>
    <w:rPr>
      <w:i/>
    </w:rPr>
  </w:style>
  <w:style w:type="paragraph" w:customStyle="1" w:styleId="MiniTOCTitle">
    <w:name w:val="MiniTOCTitle"/>
    <w:basedOn w:val="Heading4"/>
    <w:rsid w:val="00E87F02"/>
    <w:pPr>
      <w:spacing w:before="240"/>
      <w:outlineLvl w:val="9"/>
    </w:pPr>
    <w:rPr>
      <w:noProof/>
      <w:sz w:val="24"/>
    </w:rPr>
  </w:style>
  <w:style w:type="paragraph" w:customStyle="1" w:styleId="MiniTOCItem">
    <w:name w:val="MiniTOCItem"/>
    <w:basedOn w:val="ListBullet"/>
    <w:rsid w:val="00E87F02"/>
    <w:pPr>
      <w:numPr>
        <w:numId w:val="0"/>
      </w:numPr>
      <w:tabs>
        <w:tab w:val="right" w:leader="dot" w:pos="6521"/>
      </w:tabs>
      <w:spacing w:before="0" w:after="0"/>
    </w:pPr>
  </w:style>
  <w:style w:type="paragraph" w:customStyle="1" w:styleId="TOFTitle">
    <w:name w:val="TOFTitle"/>
    <w:basedOn w:val="TOCTitle"/>
    <w:rsid w:val="00E87F02"/>
  </w:style>
  <w:style w:type="paragraph" w:styleId="TableofFigures">
    <w:name w:val="table of figures"/>
    <w:basedOn w:val="Normal"/>
    <w:next w:val="Normal"/>
    <w:semiHidden/>
    <w:rsid w:val="00E87F02"/>
    <w:pPr>
      <w:tabs>
        <w:tab w:val="right" w:leader="dot" w:pos="9072"/>
      </w:tabs>
      <w:ind w:left="970" w:hanging="403"/>
    </w:pPr>
    <w:rPr>
      <w:rFonts w:ascii="Times New Roman" w:hAnsi="Times New Roman"/>
      <w:b/>
    </w:rPr>
  </w:style>
  <w:style w:type="paragraph" w:styleId="ListNumber">
    <w:name w:val="List Number"/>
    <w:basedOn w:val="List"/>
    <w:rsid w:val="00E87F02"/>
    <w:pPr>
      <w:numPr>
        <w:numId w:val="11"/>
      </w:numPr>
    </w:pPr>
  </w:style>
  <w:style w:type="character" w:customStyle="1" w:styleId="WingdingSymbols">
    <w:name w:val="Wingding Symbols"/>
    <w:rsid w:val="00E87F02"/>
    <w:rPr>
      <w:rFonts w:ascii="Wingdings" w:hAnsi="Wingdings"/>
    </w:rPr>
  </w:style>
  <w:style w:type="paragraph" w:customStyle="1" w:styleId="TableHeading">
    <w:name w:val="Table Heading"/>
    <w:basedOn w:val="HeadingBase"/>
    <w:rsid w:val="00E87F02"/>
    <w:pPr>
      <w:keepLines/>
      <w:pBdr>
        <w:bottom w:val="single" w:sz="6" w:space="1" w:color="918585"/>
      </w:pBdr>
      <w:spacing w:before="240"/>
    </w:pPr>
  </w:style>
  <w:style w:type="character" w:customStyle="1" w:styleId="HotSpot">
    <w:name w:val="HotSpot"/>
    <w:rsid w:val="00E87F02"/>
    <w:rPr>
      <w:color w:val="0033CC"/>
      <w:u w:val="none"/>
    </w:rPr>
  </w:style>
  <w:style w:type="paragraph" w:customStyle="1" w:styleId="BodyTextRight">
    <w:name w:val="Body Text Right"/>
    <w:basedOn w:val="BodyText"/>
    <w:rsid w:val="00E87F02"/>
    <w:pPr>
      <w:spacing w:before="0" w:after="0"/>
      <w:jc w:val="right"/>
    </w:pPr>
  </w:style>
  <w:style w:type="paragraph" w:styleId="Index3">
    <w:name w:val="index 3"/>
    <w:basedOn w:val="ListNumber2"/>
    <w:next w:val="Normal"/>
    <w:semiHidden/>
    <w:rsid w:val="00E87F02"/>
    <w:pPr>
      <w:numPr>
        <w:numId w:val="0"/>
      </w:numPr>
      <w:tabs>
        <w:tab w:val="right" w:leader="dot" w:pos="4176"/>
      </w:tabs>
    </w:pPr>
  </w:style>
  <w:style w:type="paragraph" w:styleId="ListNumber2">
    <w:name w:val="List Number 2"/>
    <w:basedOn w:val="List2"/>
    <w:rsid w:val="00E87F02"/>
    <w:pPr>
      <w:numPr>
        <w:numId w:val="10"/>
      </w:numPr>
      <w:tabs>
        <w:tab w:val="clear" w:pos="1060"/>
      </w:tabs>
    </w:pPr>
  </w:style>
  <w:style w:type="paragraph" w:customStyle="1" w:styleId="MarginNote">
    <w:name w:val="Margin Note"/>
    <w:basedOn w:val="BodyText"/>
    <w:rsid w:val="00E87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F02"/>
    <w:rPr>
      <w:sz w:val="32"/>
    </w:rPr>
  </w:style>
  <w:style w:type="paragraph" w:customStyle="1" w:styleId="HeadingProcedure">
    <w:name w:val="Heading Procedure"/>
    <w:basedOn w:val="HeadingBase"/>
    <w:next w:val="Normal"/>
    <w:rsid w:val="00E87F02"/>
    <w:pPr>
      <w:tabs>
        <w:tab w:val="left" w:pos="0"/>
      </w:tabs>
      <w:spacing w:before="120" w:after="60"/>
    </w:pPr>
    <w:rPr>
      <w:i/>
      <w:color w:val="918585"/>
      <w:sz w:val="22"/>
    </w:rPr>
  </w:style>
  <w:style w:type="paragraph" w:customStyle="1" w:styleId="TableBodyText">
    <w:name w:val="Table Body Text"/>
    <w:basedOn w:val="BodyText"/>
    <w:rsid w:val="00E87F02"/>
    <w:pPr>
      <w:spacing w:before="60" w:after="60"/>
    </w:pPr>
  </w:style>
  <w:style w:type="paragraph" w:styleId="ListContinue">
    <w:name w:val="List Continue"/>
    <w:basedOn w:val="List"/>
    <w:rsid w:val="00E87F02"/>
    <w:pPr>
      <w:ind w:firstLine="0"/>
    </w:pPr>
  </w:style>
  <w:style w:type="paragraph" w:customStyle="1" w:styleId="ListNote">
    <w:name w:val="List Note"/>
    <w:basedOn w:val="List"/>
    <w:rsid w:val="00E87F02"/>
    <w:pPr>
      <w:pBdr>
        <w:top w:val="single" w:sz="6" w:space="2" w:color="918585"/>
        <w:bottom w:val="single" w:sz="6" w:space="2" w:color="918585"/>
      </w:pBdr>
      <w:tabs>
        <w:tab w:val="left" w:pos="1021"/>
      </w:tabs>
      <w:ind w:firstLine="0"/>
    </w:pPr>
  </w:style>
  <w:style w:type="paragraph" w:customStyle="1" w:styleId="Warning">
    <w:name w:val="Warning"/>
    <w:basedOn w:val="BodyText"/>
    <w:rsid w:val="00E87F02"/>
    <w:pPr>
      <w:shd w:val="clear" w:color="auto" w:fill="D9D9D9"/>
      <w:tabs>
        <w:tab w:val="left" w:pos="992"/>
      </w:tabs>
      <w:ind w:left="119" w:right="119"/>
    </w:pPr>
    <w:rPr>
      <w:sz w:val="20"/>
    </w:rPr>
  </w:style>
  <w:style w:type="paragraph" w:customStyle="1" w:styleId="MarginIcons">
    <w:name w:val="Margin Icons"/>
    <w:basedOn w:val="BodyText"/>
    <w:rsid w:val="00E87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F02"/>
    <w:rPr>
      <w:rFonts w:ascii="Courier New" w:hAnsi="Courier New"/>
    </w:rPr>
  </w:style>
  <w:style w:type="paragraph" w:customStyle="1" w:styleId="NoteBullet">
    <w:name w:val="Note Bullet"/>
    <w:basedOn w:val="Note"/>
    <w:rsid w:val="00E87F02"/>
    <w:pPr>
      <w:tabs>
        <w:tab w:val="clear" w:pos="680"/>
      </w:tabs>
      <w:spacing w:before="60" w:after="60"/>
    </w:pPr>
  </w:style>
  <w:style w:type="paragraph" w:customStyle="1" w:styleId="SubHeading2">
    <w:name w:val="SubHeading2"/>
    <w:basedOn w:val="HeadingBase"/>
    <w:rsid w:val="00E87F02"/>
    <w:pPr>
      <w:spacing w:before="240" w:after="60"/>
    </w:pPr>
    <w:rPr>
      <w:sz w:val="20"/>
    </w:rPr>
  </w:style>
  <w:style w:type="paragraph" w:customStyle="1" w:styleId="SubHeading1">
    <w:name w:val="SubHeading1"/>
    <w:basedOn w:val="HeadingBase"/>
    <w:rsid w:val="00E87F02"/>
    <w:pPr>
      <w:spacing w:before="240" w:after="60"/>
    </w:pPr>
    <w:rPr>
      <w:color w:val="918585"/>
      <w:sz w:val="22"/>
    </w:rPr>
  </w:style>
  <w:style w:type="paragraph" w:customStyle="1" w:styleId="SideHeading">
    <w:name w:val="Side Heading"/>
    <w:basedOn w:val="HeadingBase"/>
    <w:rsid w:val="00E87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F02"/>
    <w:pPr>
      <w:numPr>
        <w:numId w:val="12"/>
      </w:numPr>
    </w:pPr>
  </w:style>
  <w:style w:type="paragraph" w:styleId="PlainText">
    <w:name w:val="Plain Text"/>
    <w:basedOn w:val="Normal"/>
    <w:link w:val="PlainTextChar"/>
    <w:rsid w:val="00E87F02"/>
    <w:rPr>
      <w:sz w:val="20"/>
    </w:rPr>
  </w:style>
  <w:style w:type="character" w:customStyle="1" w:styleId="PlainTextChar">
    <w:name w:val="Plain Text Char"/>
    <w:basedOn w:val="DefaultParagraphFont"/>
    <w:link w:val="PlainText"/>
    <w:rsid w:val="00E87F02"/>
    <w:rPr>
      <w:rFonts w:ascii="Courier New" w:eastAsia="Times New Roman" w:hAnsi="Courier New" w:cs="Times New Roman"/>
      <w:sz w:val="20"/>
      <w:szCs w:val="20"/>
      <w:lang w:eastAsia="en-US"/>
    </w:rPr>
  </w:style>
  <w:style w:type="character" w:customStyle="1" w:styleId="MenuOption">
    <w:name w:val="Menu Option"/>
    <w:basedOn w:val="DefaultParagraphFont"/>
    <w:rsid w:val="00E87F02"/>
    <w:rPr>
      <w:b/>
      <w:smallCaps/>
    </w:rPr>
  </w:style>
  <w:style w:type="paragraph" w:customStyle="1" w:styleId="TableListNumber">
    <w:name w:val="Table List Number"/>
    <w:basedOn w:val="ListNumber"/>
    <w:rsid w:val="00E87F02"/>
    <w:pPr>
      <w:numPr>
        <w:numId w:val="0"/>
      </w:numPr>
    </w:pPr>
  </w:style>
  <w:style w:type="paragraph" w:styleId="TOC4">
    <w:name w:val="toc 4"/>
    <w:basedOn w:val="TOCBase"/>
    <w:next w:val="Normal"/>
    <w:semiHidden/>
    <w:rsid w:val="00E87F02"/>
    <w:pPr>
      <w:tabs>
        <w:tab w:val="right" w:leader="dot" w:pos="9071"/>
      </w:tabs>
      <w:ind w:left="1701"/>
    </w:pPr>
  </w:style>
  <w:style w:type="paragraph" w:customStyle="1" w:styleId="ListAlpha">
    <w:name w:val="List Alpha"/>
    <w:basedOn w:val="List"/>
    <w:rsid w:val="00E87F02"/>
    <w:pPr>
      <w:numPr>
        <w:numId w:val="9"/>
      </w:numPr>
    </w:pPr>
  </w:style>
  <w:style w:type="paragraph" w:customStyle="1" w:styleId="ListAlpha2">
    <w:name w:val="List Alpha 2"/>
    <w:basedOn w:val="List2"/>
    <w:rsid w:val="00E87F02"/>
    <w:pPr>
      <w:numPr>
        <w:numId w:val="8"/>
      </w:numPr>
    </w:pPr>
  </w:style>
  <w:style w:type="paragraph" w:styleId="List2">
    <w:name w:val="List 2"/>
    <w:basedOn w:val="BodyText"/>
    <w:rsid w:val="00E87F02"/>
    <w:pPr>
      <w:tabs>
        <w:tab w:val="left" w:pos="680"/>
      </w:tabs>
      <w:spacing w:before="60" w:after="60"/>
      <w:ind w:left="680" w:hanging="340"/>
    </w:pPr>
  </w:style>
  <w:style w:type="paragraph" w:styleId="List3">
    <w:name w:val="List 3"/>
    <w:basedOn w:val="BodyText"/>
    <w:rsid w:val="00E87F02"/>
    <w:pPr>
      <w:tabs>
        <w:tab w:val="left" w:pos="1021"/>
      </w:tabs>
      <w:spacing w:before="60" w:after="60"/>
      <w:ind w:left="1020" w:hanging="340"/>
    </w:pPr>
  </w:style>
  <w:style w:type="paragraph" w:styleId="List4">
    <w:name w:val="List 4"/>
    <w:basedOn w:val="BodyText"/>
    <w:rsid w:val="00E87F02"/>
    <w:pPr>
      <w:tabs>
        <w:tab w:val="left" w:pos="1361"/>
      </w:tabs>
      <w:spacing w:before="60" w:after="60"/>
      <w:ind w:left="1361" w:hanging="340"/>
    </w:pPr>
  </w:style>
  <w:style w:type="paragraph" w:styleId="List5">
    <w:name w:val="List 5"/>
    <w:basedOn w:val="BodyText"/>
    <w:rsid w:val="00E87F02"/>
    <w:pPr>
      <w:tabs>
        <w:tab w:val="left" w:pos="1701"/>
      </w:tabs>
      <w:spacing w:before="60" w:after="60"/>
      <w:ind w:left="1701" w:hanging="340"/>
    </w:pPr>
  </w:style>
  <w:style w:type="paragraph" w:styleId="ListBullet3">
    <w:name w:val="List Bullet 3"/>
    <w:basedOn w:val="List3"/>
    <w:rsid w:val="00E87F02"/>
    <w:pPr>
      <w:numPr>
        <w:numId w:val="15"/>
      </w:numPr>
      <w:tabs>
        <w:tab w:val="clear" w:pos="1021"/>
      </w:tabs>
      <w:ind w:left="1037" w:hanging="357"/>
    </w:pPr>
  </w:style>
  <w:style w:type="paragraph" w:styleId="ListBullet4">
    <w:name w:val="List Bullet 4"/>
    <w:basedOn w:val="List4"/>
    <w:rsid w:val="00E87F02"/>
    <w:pPr>
      <w:numPr>
        <w:numId w:val="3"/>
      </w:numPr>
    </w:pPr>
  </w:style>
  <w:style w:type="paragraph" w:styleId="ListBullet5">
    <w:name w:val="List Bullet 5"/>
    <w:basedOn w:val="List5"/>
    <w:rsid w:val="00E87F02"/>
    <w:pPr>
      <w:numPr>
        <w:numId w:val="4"/>
      </w:numPr>
    </w:pPr>
  </w:style>
  <w:style w:type="paragraph" w:styleId="ListContinue2">
    <w:name w:val="List Continue 2"/>
    <w:basedOn w:val="List2"/>
    <w:rsid w:val="00E87F02"/>
    <w:pPr>
      <w:ind w:firstLine="0"/>
    </w:pPr>
  </w:style>
  <w:style w:type="paragraph" w:styleId="ListContinue3">
    <w:name w:val="List Continue 3"/>
    <w:basedOn w:val="List3"/>
    <w:rsid w:val="00E87F02"/>
    <w:pPr>
      <w:ind w:left="1021" w:firstLine="0"/>
    </w:pPr>
  </w:style>
  <w:style w:type="paragraph" w:styleId="ListContinue4">
    <w:name w:val="List Continue 4"/>
    <w:basedOn w:val="List4"/>
    <w:rsid w:val="00E87F02"/>
    <w:pPr>
      <w:ind w:firstLine="0"/>
    </w:pPr>
  </w:style>
  <w:style w:type="paragraph" w:styleId="ListContinue5">
    <w:name w:val="List Continue 5"/>
    <w:basedOn w:val="List5"/>
    <w:rsid w:val="00E87F02"/>
    <w:pPr>
      <w:ind w:firstLine="0"/>
    </w:pPr>
  </w:style>
  <w:style w:type="paragraph" w:styleId="ListNumber3">
    <w:name w:val="List Number 3"/>
    <w:basedOn w:val="List3"/>
    <w:rsid w:val="00E87F02"/>
    <w:pPr>
      <w:numPr>
        <w:numId w:val="5"/>
      </w:numPr>
    </w:pPr>
  </w:style>
  <w:style w:type="paragraph" w:styleId="ListNumber4">
    <w:name w:val="List Number 4"/>
    <w:basedOn w:val="List4"/>
    <w:rsid w:val="00E87F02"/>
    <w:pPr>
      <w:numPr>
        <w:numId w:val="6"/>
      </w:numPr>
    </w:pPr>
  </w:style>
  <w:style w:type="paragraph" w:styleId="ListNumber5">
    <w:name w:val="List Number 5"/>
    <w:basedOn w:val="List5"/>
    <w:rsid w:val="00E87F02"/>
    <w:pPr>
      <w:numPr>
        <w:numId w:val="7"/>
      </w:numPr>
    </w:pPr>
  </w:style>
  <w:style w:type="paragraph" w:styleId="BlockText">
    <w:name w:val="Block Text"/>
    <w:basedOn w:val="Normal"/>
    <w:rsid w:val="00E87F02"/>
    <w:pPr>
      <w:spacing w:after="120"/>
      <w:ind w:left="1440" w:right="1440"/>
    </w:pPr>
  </w:style>
  <w:style w:type="character" w:customStyle="1" w:styleId="Subscript">
    <w:name w:val="Subscript"/>
    <w:basedOn w:val="DefaultParagraphFont"/>
    <w:rsid w:val="00E87F02"/>
    <w:rPr>
      <w:sz w:val="16"/>
      <w:vertAlign w:val="subscript"/>
    </w:rPr>
  </w:style>
  <w:style w:type="character" w:customStyle="1" w:styleId="Superscript">
    <w:name w:val="Superscript"/>
    <w:basedOn w:val="DefaultParagraphFont"/>
    <w:rsid w:val="00E87F02"/>
    <w:rPr>
      <w:sz w:val="16"/>
      <w:vertAlign w:val="superscript"/>
    </w:rPr>
  </w:style>
  <w:style w:type="character" w:customStyle="1" w:styleId="Symbols">
    <w:name w:val="Symbols"/>
    <w:basedOn w:val="DefaultParagraphFont"/>
    <w:rsid w:val="00E87F02"/>
    <w:rPr>
      <w:rFonts w:ascii="Symbol" w:hAnsi="Symbol"/>
    </w:rPr>
  </w:style>
  <w:style w:type="character" w:customStyle="1" w:styleId="MenuOptions">
    <w:name w:val="Menu Options"/>
    <w:basedOn w:val="DefaultParagraphFont"/>
    <w:rsid w:val="00E87F02"/>
    <w:rPr>
      <w:rFonts w:ascii="Arial Narrow" w:hAnsi="Arial Narrow"/>
      <w:smallCaps/>
    </w:rPr>
  </w:style>
  <w:style w:type="character" w:customStyle="1" w:styleId="Buttons">
    <w:name w:val="Buttons"/>
    <w:basedOn w:val="DefaultParagraphFont"/>
    <w:rsid w:val="00E87F02"/>
    <w:rPr>
      <w:b/>
    </w:rPr>
  </w:style>
  <w:style w:type="character" w:customStyle="1" w:styleId="Underlined">
    <w:name w:val="Underlined"/>
    <w:basedOn w:val="DefaultParagraphFont"/>
    <w:rsid w:val="00E87F02"/>
    <w:rPr>
      <w:u w:val="single"/>
    </w:rPr>
  </w:style>
  <w:style w:type="paragraph" w:customStyle="1" w:styleId="TableBodyTextRight">
    <w:name w:val="Table Body Text Right"/>
    <w:basedOn w:val="TableBodyText"/>
    <w:rsid w:val="00E87F02"/>
    <w:pPr>
      <w:widowControl w:val="0"/>
      <w:autoSpaceDE w:val="0"/>
      <w:autoSpaceDN w:val="0"/>
      <w:adjustRightInd w:val="0"/>
      <w:jc w:val="right"/>
    </w:pPr>
    <w:rPr>
      <w:rFonts w:cs="Arial"/>
      <w:szCs w:val="18"/>
    </w:rPr>
  </w:style>
  <w:style w:type="paragraph" w:customStyle="1" w:styleId="CopyrightText">
    <w:name w:val="Copyright Text"/>
    <w:basedOn w:val="BodyText"/>
    <w:rsid w:val="00E87F02"/>
    <w:rPr>
      <w:sz w:val="18"/>
    </w:rPr>
  </w:style>
  <w:style w:type="paragraph" w:customStyle="1" w:styleId="BodySmallRight">
    <w:name w:val="Body Small Right"/>
    <w:basedOn w:val="BodyTextRight"/>
    <w:rsid w:val="00E87F02"/>
    <w:rPr>
      <w:sz w:val="18"/>
      <w:szCs w:val="18"/>
    </w:rPr>
  </w:style>
  <w:style w:type="paragraph" w:customStyle="1" w:styleId="MarginEdition">
    <w:name w:val="Margin Edition"/>
    <w:basedOn w:val="MarginNote"/>
    <w:rsid w:val="00E87F02"/>
    <w:pPr>
      <w:spacing w:before="0" w:after="0"/>
    </w:pPr>
    <w:rPr>
      <w:rFonts w:ascii="Times New Roman" w:hAnsi="Times New Roman"/>
      <w:color w:val="999999"/>
    </w:rPr>
  </w:style>
  <w:style w:type="paragraph" w:customStyle="1" w:styleId="Spacer">
    <w:name w:val="Spacer"/>
    <w:basedOn w:val="Normal"/>
    <w:rsid w:val="00E87F02"/>
    <w:rPr>
      <w:sz w:val="2"/>
      <w:szCs w:val="2"/>
    </w:rPr>
  </w:style>
  <w:style w:type="character" w:customStyle="1" w:styleId="Small">
    <w:name w:val="Small"/>
    <w:basedOn w:val="DefaultParagraphFont"/>
    <w:rsid w:val="00E87F02"/>
    <w:rPr>
      <w:sz w:val="16"/>
    </w:rPr>
  </w:style>
  <w:style w:type="paragraph" w:customStyle="1" w:styleId="WideTable">
    <w:name w:val="Wide Table"/>
    <w:basedOn w:val="Normal"/>
    <w:rsid w:val="00E87F02"/>
    <w:pPr>
      <w:ind w:left="-1418"/>
    </w:pPr>
    <w:rPr>
      <w:sz w:val="2"/>
      <w:szCs w:val="2"/>
    </w:rPr>
  </w:style>
  <w:style w:type="character" w:styleId="PageNumber">
    <w:name w:val="page number"/>
    <w:basedOn w:val="DefaultParagraphFont"/>
    <w:rsid w:val="00E87F02"/>
  </w:style>
  <w:style w:type="paragraph" w:styleId="Quote">
    <w:name w:val="Quote"/>
    <w:basedOn w:val="Heading1"/>
    <w:link w:val="QuoteChar"/>
    <w:qFormat/>
    <w:rsid w:val="00E87F02"/>
    <w:rPr>
      <w:b w:val="0"/>
      <w:sz w:val="72"/>
      <w:szCs w:val="72"/>
      <w:lang w:val="en-NZ"/>
    </w:rPr>
  </w:style>
  <w:style w:type="character" w:customStyle="1" w:styleId="QuoteChar">
    <w:name w:val="Quote Char"/>
    <w:basedOn w:val="DefaultParagraphFont"/>
    <w:link w:val="Quote"/>
    <w:rsid w:val="00E87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F02"/>
    <w:pPr>
      <w:pageBreakBefore/>
    </w:pPr>
  </w:style>
  <w:style w:type="paragraph" w:customStyle="1" w:styleId="Border">
    <w:name w:val="Border"/>
    <w:basedOn w:val="Normal"/>
    <w:qFormat/>
    <w:rsid w:val="00E87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F02"/>
    <w:rPr>
      <w:b/>
      <w:bCs/>
      <w:i/>
      <w:iCs/>
      <w:color w:val="auto"/>
    </w:rPr>
  </w:style>
  <w:style w:type="paragraph" w:styleId="IntenseQuote">
    <w:name w:val="Intense Quote"/>
    <w:basedOn w:val="Normal"/>
    <w:next w:val="Normal"/>
    <w:link w:val="IntenseQuoteChar"/>
    <w:uiPriority w:val="30"/>
    <w:qFormat/>
    <w:rsid w:val="00E87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F02"/>
    <w:rPr>
      <w:smallCaps/>
      <w:color w:val="auto"/>
      <w:u w:val="single"/>
    </w:rPr>
  </w:style>
  <w:style w:type="character" w:styleId="IntenseReference">
    <w:name w:val="Intense Reference"/>
    <w:basedOn w:val="DefaultParagraphFont"/>
    <w:uiPriority w:val="32"/>
    <w:qFormat/>
    <w:rsid w:val="00E87F02"/>
    <w:rPr>
      <w:b/>
      <w:bCs/>
      <w:smallCaps/>
      <w:color w:val="auto"/>
      <w:spacing w:val="5"/>
      <w:u w:val="single"/>
    </w:rPr>
  </w:style>
  <w:style w:type="paragraph" w:customStyle="1" w:styleId="2ColumnHeading">
    <w:name w:val="2Column Heading"/>
    <w:basedOn w:val="BodyText"/>
    <w:qFormat/>
    <w:rsid w:val="00E87F02"/>
    <w:pPr>
      <w:spacing w:after="60"/>
      <w:ind w:left="-2268"/>
    </w:pPr>
    <w:rPr>
      <w:b/>
    </w:rPr>
  </w:style>
  <w:style w:type="paragraph" w:customStyle="1" w:styleId="Heading1TOC">
    <w:name w:val="Heading1 TOC"/>
    <w:basedOn w:val="Normal"/>
    <w:qFormat/>
    <w:rsid w:val="00E87F02"/>
    <w:pPr>
      <w:spacing w:before="240" w:after="120"/>
    </w:pPr>
    <w:rPr>
      <w:rFonts w:ascii="Times New Roman" w:hAnsi="Times New Roman"/>
      <w:b/>
      <w:sz w:val="32"/>
    </w:rPr>
  </w:style>
  <w:style w:type="paragraph" w:customStyle="1" w:styleId="Heading2TOC">
    <w:name w:val="Heading2 TOC"/>
    <w:basedOn w:val="Normal"/>
    <w:qFormat/>
    <w:rsid w:val="00E87F02"/>
    <w:pPr>
      <w:spacing w:before="240" w:after="60"/>
    </w:pPr>
    <w:rPr>
      <w:rFonts w:ascii="Times New Roman" w:hAnsi="Times New Roman"/>
      <w:b/>
      <w:sz w:val="28"/>
    </w:rPr>
  </w:style>
  <w:style w:type="character" w:customStyle="1" w:styleId="Underline">
    <w:name w:val="Underline"/>
    <w:basedOn w:val="DefaultParagraphFont"/>
    <w:qFormat/>
    <w:rsid w:val="00E87F02"/>
    <w:rPr>
      <w:u w:val="single"/>
    </w:rPr>
  </w:style>
  <w:style w:type="character" w:customStyle="1" w:styleId="BoldandItalics">
    <w:name w:val="Bold and Italics"/>
    <w:qFormat/>
    <w:rsid w:val="00E87F02"/>
    <w:rPr>
      <w:b/>
      <w:i/>
      <w:u w:val="none"/>
    </w:rPr>
  </w:style>
  <w:style w:type="paragraph" w:styleId="BalloonText">
    <w:name w:val="Balloon Text"/>
    <w:basedOn w:val="Normal"/>
    <w:link w:val="BalloonTextChar"/>
    <w:rsid w:val="00E87F02"/>
    <w:rPr>
      <w:rFonts w:ascii="Tahoma" w:hAnsi="Tahoma" w:cs="Tahoma"/>
      <w:sz w:val="16"/>
      <w:szCs w:val="16"/>
    </w:rPr>
  </w:style>
  <w:style w:type="character" w:customStyle="1" w:styleId="BalloonTextChar">
    <w:name w:val="Balloon Text Char"/>
    <w:basedOn w:val="DefaultParagraphFont"/>
    <w:link w:val="BalloonText"/>
    <w:rsid w:val="00E87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F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F02"/>
    <w:rPr>
      <w:b/>
      <w:color w:val="660033"/>
      <w:spacing w:val="0"/>
    </w:rPr>
  </w:style>
  <w:style w:type="paragraph" w:customStyle="1" w:styleId="Nameditemlist">
    <w:name w:val="Named item list"/>
    <w:basedOn w:val="BodyText"/>
    <w:qFormat/>
    <w:rsid w:val="00E87F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2329</Words>
  <Characters>14267</Characters>
  <Application>Microsoft Office Word</Application>
  <DocSecurity>0</DocSecurity>
  <Lines>610</Lines>
  <Paragraphs>265</Paragraphs>
  <ScaleCrop>false</ScaleCrop>
  <Company>Author-it Software Corporation Ltd.</Company>
  <LinksUpToDate>false</LinksUpToDate>
  <CharactersWithSpaces>16464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UEENEEF104A Install and modify performance data communication copper cabling</dc:title>
  <dc:subject>Approved</dc:subject>
  <dc:creator>E-OZ Training Standards</dc:creator>
  <cp:keywords>Release: 2</cp:keywords>
  <dc:description>Review Date: 12 April 2008</dc:description>
  <cp:lastModifiedBy>TPCMS</cp:lastModifiedBy>
  <cp:revision>3</cp:revision>
  <dcterms:created xsi:type="dcterms:W3CDTF">2013-08-14T06:49:00Z</dcterms:created>
  <dcterms:modified xsi:type="dcterms:W3CDTF">2013-08-14T06:49:00Z</dcterms:modified>
</cp:coreProperties>
</file>