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CAE" w:rsidP="00A87CAE">
      <w:pPr>
        <w:pStyle w:val="Title"/>
      </w:pPr>
      <w:r>
        <w:fldChar w:fldCharType="begin"/>
      </w:r>
      <w:r>
        <w:instrText xml:space="preserve"> TITLE   \* MERGEFORMAT </w:instrText>
      </w:r>
      <w:r>
        <w:fldChar w:fldCharType="separate"/>
      </w:r>
      <w:r>
        <w:t>UEENEEF101A Install and connect cabling for direct access to telecommunications service</w:t>
      </w:r>
      <w:r>
        <w:fldChar w:fldCharType="end"/>
      </w:r>
    </w:p>
    <w:p w:rsidR="00A87CAE" w:rsidP="00A87CAE">
      <w:pPr>
        <w:pStyle w:val="Version"/>
        <w:sectPr w:rsidSect="00830F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0F40" w:rsidP="00830F40">
      <w:pPr>
        <w:pStyle w:val="SuperHeading"/>
      </w:pPr>
      <w:r w:rsidRPr="00830F40">
        <w:t>UEENEEF101A Install and connect cabling for direct access to telecommunications service</w:t>
      </w:r>
    </w:p>
    <w:p w:rsidR="00000000" w:rsidRPr="00830F40" w:rsidP="00830F40">
      <w:pPr>
        <w:pStyle w:val="Heading1"/>
      </w:pPr>
      <w:bookmarkStart w:id="1" w:name="O_584602"/>
      <w:bookmarkEnd w:id="1"/>
      <w:r w:rsidRPr="00830F40">
        <w:t>Modification History</w:t>
      </w:r>
    </w:p>
    <w:p w:rsidR="00000000" w:rsidRPr="00830F40" w:rsidP="00830F40">
      <w:pPr>
        <w:pStyle w:val="BodyText"/>
      </w:pPr>
      <w:r w:rsidRPr="00830F40">
        <w:t>Not applicable.</w:t>
      </w:r>
    </w:p>
    <w:p w:rsidR="00000000" w:rsidRPr="00830F40" w:rsidP="00830F40">
      <w:pPr>
        <w:pStyle w:val="AllowPageBreak"/>
      </w:pPr>
    </w:p>
    <w:p w:rsidR="00000000" w:rsidRPr="00830F40" w:rsidP="00830F40">
      <w:pPr>
        <w:pStyle w:val="Heading1"/>
      </w:pPr>
      <w:bookmarkStart w:id="2" w:name="O_584601"/>
      <w:bookmarkEnd w:id="2"/>
      <w:r w:rsidRPr="00830F40">
        <w:t>Unit Descriptor</w:t>
      </w:r>
    </w:p>
    <w:tbl>
      <w:tblPr>
        <w:tblW w:w="0" w:type="auto"/>
        <w:tblLayout w:type="fixed"/>
        <w:tblCellMar>
          <w:left w:w="62" w:type="dxa"/>
          <w:right w:w="62" w:type="dxa"/>
        </w:tblCellMar>
        <w:tblLook w:val="0000"/>
      </w:tblPr>
      <w:tblGrid>
        <w:gridCol w:w="2700"/>
        <w:gridCol w:w="5760"/>
      </w:tblGrid>
      <w:tr w:rsidTr="00A87C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1)</w:t>
            </w:r>
            <w:r w:rsidRPr="00830F40">
              <w:t xml:space="preserve"> </w:t>
            </w:r>
            <w:r w:rsidRPr="00830F40">
              <w:rPr>
                <w:rStyle w:val="SpecialBold"/>
              </w:rPr>
              <w:t>Scope:</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0F4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1.1) Descriptor</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This unit covers the installation and termination of telecommunications cabling in buildings and premises. It encompasses working safely and to Australian Communications and Media Authority's ‘restricted’ Cabling Provider Rule, installing telephone line, t</w:t>
            </w:r>
            <w:r w:rsidRPr="00830F40">
              <w:t>wo-pair (quad) cables, terminating on socket outlets, testing and compliance checks and completing cabling documentation.</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3" w:name="O_584600"/>
      <w:bookmarkEnd w:id="3"/>
      <w:r w:rsidRPr="00830F40">
        <w:t>Application of the Unit</w:t>
      </w:r>
    </w:p>
    <w:tbl>
      <w:tblPr>
        <w:tblW w:w="0" w:type="auto"/>
        <w:tblLayout w:type="fixed"/>
        <w:tblCellMar>
          <w:left w:w="62" w:type="dxa"/>
          <w:right w:w="62" w:type="dxa"/>
        </w:tblCellMar>
        <w:tblLook w:val="0000"/>
      </w:tblPr>
      <w:tblGrid>
        <w:gridCol w:w="2672"/>
        <w:gridCol w:w="5699"/>
      </w:tblGrid>
      <w:tr w:rsidTr="00A87CA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2)</w:t>
            </w:r>
          </w:p>
        </w:tc>
      </w:tr>
      <w:tr w:rsidTr="00A87CA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This unit applies to customer cabling that terminates directly on permitted sockets and the like, and to the installation, maintenance and modification of indoor, external, underground cabling Customer cabling, for the purpose of this standard, may be used</w:t>
            </w:r>
            <w:r w:rsidRPr="00830F40">
              <w:t xml:space="preserve"> to connect devices for a range of applications, including for example: telecommunications (phones and facsimile), data, including video and multimedia, security and alarms, and fire protection.</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4" w:name="O_584599"/>
      <w:bookmarkEnd w:id="4"/>
      <w:r w:rsidRPr="00830F40">
        <w:t>Licensing/Regulatory Information</w:t>
      </w:r>
    </w:p>
    <w:tbl>
      <w:tblPr>
        <w:tblW w:w="0" w:type="auto"/>
        <w:tblLayout w:type="fixed"/>
        <w:tblCellMar>
          <w:left w:w="62" w:type="dxa"/>
          <w:right w:w="62" w:type="dxa"/>
        </w:tblCellMar>
        <w:tblLook w:val="0000"/>
      </w:tblPr>
      <w:tblGrid>
        <w:gridCol w:w="2700"/>
        <w:gridCol w:w="5760"/>
      </w:tblGrid>
      <w:tr w:rsidTr="00A87C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License t</w:t>
            </w:r>
            <w:r w:rsidRPr="00830F40">
              <w:rPr>
                <w:rStyle w:val="SpecialBold"/>
              </w:rPr>
              <w:t>o practice</w:t>
            </w:r>
          </w:p>
        </w:tc>
        <w:tc>
          <w:tcPr>
            <w:tcW w:w="576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 xml:space="preserve">3) </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 xml:space="preserve">This unit meets the minimum ACMA ‘prescribed level of </w:t>
            </w:r>
            <w:r w:rsidRPr="00830F40">
              <w:t>knowledge and skill that safeguards matters of health, safety, network integrity and addresses matters of interoperability where customer equipment and standard telephone service are in</w:t>
            </w:r>
            <w:r w:rsidRPr="00830F40">
              <w:t xml:space="preserve">volved’. Therefore, skills and knowledge described in this unit may only be practised under the requirements set out in ACMA ‘Restricted’ Cabling Provider Rule. </w:t>
            </w:r>
          </w:p>
          <w:p w:rsidR="00000000" w:rsidRPr="00830F40" w:rsidP="00830F40">
            <w:pPr>
              <w:pStyle w:val="BodyText"/>
            </w:pPr>
            <w:r w:rsidRPr="00830F40">
              <w:t>Practice of this competency standard unit is also subject to regulations directly related to occupational health and safe and contracts of training where they apply.</w:t>
            </w:r>
          </w:p>
          <w:p w:rsidR="00000000" w:rsidRPr="00830F40" w:rsidP="00830F40">
            <w:pPr>
              <w:pStyle w:val="BodyText"/>
            </w:pPr>
            <w:r w:rsidRPr="00830F40">
              <w:t xml:space="preserve">Note: </w:t>
            </w:r>
          </w:p>
          <w:p w:rsidR="00000000" w:rsidRPr="00830F40" w:rsidP="00830F40">
            <w:pPr>
              <w:pStyle w:val="BodyText"/>
            </w:pPr>
            <w:r w:rsidRPr="00830F40">
              <w:t>1. Compliance with permits may be required in various jurisdictions and typically r</w:t>
            </w:r>
            <w:r w:rsidRPr="00830F40">
              <w:t>elates to the operation of plant, machinery and equipment such as elevating work platforms, powder operated fixing tools, power operated tools, vehicles, road signage and traffic control and lifting equipment. Permits may also be required for some work env</w:t>
            </w:r>
            <w:r w:rsidRPr="00830F40">
              <w:t>ironments such as confined spaces, working aloft, near live electrical apparatus and site rehabilitation.</w:t>
            </w:r>
          </w:p>
          <w:p w:rsidR="00000000" w:rsidRPr="00830F40" w:rsidP="00830F40">
            <w:pPr>
              <w:pStyle w:val="BodyText"/>
            </w:pPr>
            <w:r w:rsidRPr="00830F40">
              <w:t>2. Compliance may be required in various jurisdictions relating to currency in First Aid, confined space, lifting and risk safety measures.</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5" w:name="O_584598"/>
      <w:bookmarkEnd w:id="5"/>
      <w:r w:rsidRPr="00830F40">
        <w:t>Pre-Requisites</w:t>
      </w:r>
    </w:p>
    <w:tbl>
      <w:tblPr>
        <w:tblW w:w="0" w:type="auto"/>
        <w:tblLayout w:type="fixed"/>
        <w:tblCellMar>
          <w:left w:w="62" w:type="dxa"/>
          <w:right w:w="62" w:type="dxa"/>
        </w:tblCellMar>
        <w:tblLook w:val="0000"/>
      </w:tblPr>
      <w:tblGrid>
        <w:gridCol w:w="2700"/>
        <w:gridCol w:w="1440"/>
        <w:gridCol w:w="4320"/>
      </w:tblGrid>
      <w:tr w:rsidTr="00A87C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 xml:space="preserve">4) </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4.1)</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Granting competency in this unit shall be made only after competency in the following unit(s) has/have been confirmed.</w:t>
            </w:r>
          </w:p>
        </w:tc>
      </w:tr>
      <w:tr w:rsidTr="00A87CA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UEENEEE101A</w:t>
            </w:r>
          </w:p>
        </w:tc>
        <w:tc>
          <w:tcPr>
            <w:tcW w:w="43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Apply Occupational Health and Safety regulations, codes and practices in the workplace</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UEENEEF106A</w:t>
            </w:r>
          </w:p>
        </w:tc>
        <w:tc>
          <w:tcPr>
            <w:tcW w:w="43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 xml:space="preserve">Solve problems in data and voice communications circuits </w:t>
            </w:r>
          </w:p>
        </w:tc>
      </w:tr>
      <w:tr w:rsidTr="00A87CA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OR</w:t>
            </w:r>
          </w:p>
        </w:tc>
        <w:tc>
          <w:tcPr>
            <w:tcW w:w="43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p>
        </w:tc>
      </w:tr>
      <w:tr w:rsidTr="00A87CA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UEENEEE104A</w:t>
            </w:r>
          </w:p>
        </w:tc>
        <w:tc>
          <w:tcPr>
            <w:tcW w:w="43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Solve problems in d.c. circuits</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AND</w:t>
            </w:r>
          </w:p>
        </w:tc>
        <w:tc>
          <w:tcPr>
            <w:tcW w:w="43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UEENEEE102A</w:t>
            </w:r>
          </w:p>
        </w:tc>
        <w:tc>
          <w:tcPr>
            <w:tcW w:w="43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Fabricate, assemble and dismantle utilities industry components</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UEENEEE105A</w:t>
            </w:r>
          </w:p>
        </w:tc>
        <w:tc>
          <w:tcPr>
            <w:tcW w:w="43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 xml:space="preserve">Fix and secure electrotechnology equipment </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UEENEEE107A</w:t>
            </w:r>
          </w:p>
        </w:tc>
        <w:tc>
          <w:tcPr>
            <w:tcW w:w="432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 xml:space="preserve">Use drawings, diagrams, schedules, standards, codes and specifications </w:t>
            </w:r>
          </w:p>
        </w:tc>
      </w:tr>
    </w:tbl>
    <w:p w:rsidR="00000000" w:rsidRPr="00830F40" w:rsidP="00830F4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87CAE">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 xml:space="preserve">4.2) </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Participants are best equipped to achieve competency in this unit if they have reading, writing and numeracy skills indicated by the following scales. Description of each scale is given in Volume 2, Part 3 ‘Literacy and Numeracy’</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Reading</w:t>
            </w:r>
          </w:p>
        </w:tc>
        <w:tc>
          <w:tcPr>
            <w:tcW w:w="81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w:t>
            </w:r>
          </w:p>
        </w:tc>
        <w:tc>
          <w:tcPr>
            <w:tcW w:w="99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Writing</w:t>
            </w:r>
          </w:p>
        </w:tc>
        <w:tc>
          <w:tcPr>
            <w:tcW w:w="90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w:t>
            </w:r>
          </w:p>
        </w:tc>
        <w:tc>
          <w:tcPr>
            <w:tcW w:w="126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Numeracy</w:t>
            </w:r>
          </w:p>
        </w:tc>
        <w:tc>
          <w:tcPr>
            <w:tcW w:w="72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3</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6" w:name="O_584597"/>
      <w:bookmarkEnd w:id="6"/>
      <w:r w:rsidRPr="00830F40">
        <w:t>Employability Skills Information</w:t>
      </w:r>
    </w:p>
    <w:tbl>
      <w:tblPr>
        <w:tblW w:w="0" w:type="auto"/>
        <w:tblLayout w:type="fixed"/>
        <w:tblCellMar>
          <w:left w:w="62" w:type="dxa"/>
          <w:right w:w="62" w:type="dxa"/>
        </w:tblCellMar>
        <w:tblLook w:val="0000"/>
      </w:tblPr>
      <w:tblGrid>
        <w:gridCol w:w="2700"/>
        <w:gridCol w:w="5760"/>
      </w:tblGrid>
      <w:tr w:rsidTr="00A87C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 xml:space="preserve">5) </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 xml:space="preserve">The required outcomes described in this unit of competency contain applicable facets of Employability Skills. The Employability Skills Summary </w:t>
            </w:r>
            <w:r w:rsidRPr="00830F40">
              <w:t>of the qualification in which this unit of competency is packaged will assist in identifying Employability Skill requirements.</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7" w:name="O_584596"/>
      <w:bookmarkEnd w:id="7"/>
      <w:r w:rsidRPr="00830F40">
        <w:t>Elements and Performance Criteria Pre-Content</w:t>
      </w:r>
    </w:p>
    <w:tbl>
      <w:tblPr>
        <w:tblW w:w="0" w:type="auto"/>
        <w:tblLayout w:type="fixed"/>
        <w:tblCellMar>
          <w:left w:w="62" w:type="dxa"/>
          <w:right w:w="62" w:type="dxa"/>
        </w:tblCellMar>
        <w:tblLook w:val="0000"/>
      </w:tblPr>
      <w:tblGrid>
        <w:gridCol w:w="2700"/>
        <w:gridCol w:w="5760"/>
      </w:tblGrid>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6)</w:t>
            </w:r>
            <w:r w:rsidRPr="00830F4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Performance Criteria describe the required performance needed to demonstrate achievement of the element. Assessment of performance is to be consistent with the Evidence Guide.</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8" w:name="O_584595"/>
      <w:bookmarkEnd w:id="8"/>
      <w:r w:rsidRPr="00830F40">
        <w:t>Elements and Performance Criteria</w:t>
      </w:r>
    </w:p>
    <w:tbl>
      <w:tblPr>
        <w:tblW w:w="9790" w:type="dxa"/>
        <w:tblLayout w:type="fixed"/>
        <w:tblCellMar>
          <w:left w:w="62" w:type="dxa"/>
          <w:right w:w="62" w:type="dxa"/>
        </w:tblCellMar>
        <w:tblLook w:val="0000"/>
      </w:tblPr>
      <w:tblGrid>
        <w:gridCol w:w="481"/>
        <w:gridCol w:w="2219"/>
        <w:gridCol w:w="427"/>
        <w:gridCol w:w="1042"/>
        <w:gridCol w:w="4291"/>
        <w:gridCol w:w="1330"/>
      </w:tblGrid>
      <w:tr w:rsidTr="00A87CAE">
        <w:tblPrEx>
          <w:tblW w:w="9790" w:type="dxa"/>
          <w:tblLayout w:type="fixed"/>
          <w:tblCellMar>
            <w:left w:w="62" w:type="dxa"/>
            <w:right w:w="62" w:type="dxa"/>
          </w:tblCellMar>
          <w:tblLook w:val="0000"/>
        </w:tblPrEx>
        <w:trPr>
          <w:gridAfter w:val="1"/>
          <w:wAfter w:w="1330"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PERFORMANCE CRITERIA</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w:t>
            </w:r>
          </w:p>
        </w:tc>
        <w:tc>
          <w:tcPr>
            <w:tcW w:w="2646" w:type="dxa"/>
            <w:gridSpan w:val="2"/>
            <w:vMerge w:val="restart"/>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Prepare to lay and connect cabling for direct access to telecommunication services</w:t>
            </w: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1.1</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OHS procedures for a given work area are identified, obtained and understood through established routines and procedures.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1.2</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Health and safety risks are identified and established risk control measures and procedures are followed in preparation for th</w:t>
            </w:r>
            <w:r w:rsidRPr="00830F40">
              <w:t>e work.</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1.3</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Remote power feeding is identified and established risk control measures prepared.</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1.4</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 xml:space="preserve">The nature and location of the work is determined from documentation or discussions with appropriate person(s) to establish the scope of work </w:t>
            </w:r>
            <w:r w:rsidRPr="00830F40">
              <w:t>to be undertaken.</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1.5</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Cable routes are planned within the constraints of the building structure, significants and regulations.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1.6</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Earthing requirements are determined with consideration of existing earthing arrangements, where applicable and of cable system earth upper and lower resistance limitations.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1.7</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Advice is sought from appropriate persons to ensure the work is coordinate</w:t>
            </w:r>
            <w:r w:rsidRPr="00830F40">
              <w:t xml:space="preserve">d effectively with others. </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1.8</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Sources of materials that may be required for the work are established in accordance with established routines and procedures.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1.9</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Tools, equipment and testing dev</w:t>
            </w:r>
            <w:r w:rsidRPr="00830F40">
              <w:t>ices needed to carry out the work are obtained and checked for correct operation and safety.</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w:t>
            </w:r>
          </w:p>
        </w:tc>
        <w:tc>
          <w:tcPr>
            <w:tcW w:w="2646" w:type="dxa"/>
            <w:gridSpan w:val="2"/>
            <w:vMerge w:val="restart"/>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Lay and connect cabling for direct access to telecommunication services</w:t>
            </w: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2.1</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 xml:space="preserve">Established OHS risk control measures and procedures for carrying out the work are </w:t>
            </w:r>
            <w:r w:rsidRPr="00830F40">
              <w:t>followed.</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2.2</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Installed support structure is checked to ensure cable will not be exposed to damage during installation and general operation.</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2.3</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Sufficient excess is allowed at cable ends to facilitate termination.</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2.4</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Telecommunication outlet ends of cable are uniquely labelled to match identifier at originating location.</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2.5</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Cable is placed and secured to maintain safety and interference segregation in accordance with legislative and industry standards.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2.6</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w:t>
            </w:r>
            <w:r w:rsidRPr="00830F40">
              <w:t>le ties not tightened to the point of causing cable sheath damage or transmission impairment are trimmed flush to prevent risk of personal damage.</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2.7</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Cables installed as catenaries or supported by catenaries in external environment shall meet minimum above ground clearances and clearances from hazardous electrical services as per AS/ACIF S009.</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2.8</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Cables installed underground shall meet minimum dept</w:t>
            </w:r>
            <w:r w:rsidRPr="00830F40">
              <w:t>h of cover and segregation from hazardous electrical and other services as per AS/ACIF S009.</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2.9</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Over-voltage protection devices are fitted to all cable pairs, where required, to suppress voltage surges with the devices protectively earthed. In accorda</w:t>
            </w:r>
            <w:r w:rsidRPr="00830F40">
              <w:t>nce with AS/ACIF S009.</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2.10</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TRC/CES/Earth wire insulation is protected against damage and TRC/CES and protective earths segregated in accordance with relevant industry and legislative standards AS/ACIF S009.</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2.11</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Procedures for referring non-routine events to immediate supervisor for directions are followed.</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2.12</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Cabling is installed efficiently without waste of materials and energy or damage to apparatus, the surrounding environment or services.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2.13</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Routi</w:t>
            </w:r>
            <w:r w:rsidRPr="00830F40">
              <w:t>ne quality checks are carried out to ensure cabling complies with requirements.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w:t>
            </w:r>
          </w:p>
        </w:tc>
        <w:tc>
          <w:tcPr>
            <w:tcW w:w="2646" w:type="dxa"/>
            <w:gridSpan w:val="2"/>
            <w:vMerge w:val="restart"/>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Terminate and test cables and earth wires.</w:t>
            </w: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3.1</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Established OHS risk control measures and procedures for carrying out the work are followed.</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3.2</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Cable sheath removed to allow for correct termination length and without damage to underlying conductors and their insulation.</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3.3</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Network termination device is installed in accordance to manufacturer specifications and cable pairs neatly and sequentially fanned for termination.</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3.4</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Conductors are terminated in accordance with recommended colour code sequence using appropriate ter</w:t>
            </w:r>
            <w:r w:rsidRPr="00830F40">
              <w:t>mination tools in the manufacturer specified manner.</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3.5</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Cable shield (if applicable) is earthed to manufacturer specifications and relevant industry codes of practice including AS/ACIF S009.</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3.6</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Visual inspection is undertaken to confirm termination colour code sequence has been followed prior to end-to-end testing of wire and pair termination integrity.</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3.7</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Cable pairs are tested and clearly labelled to provide an accurate identification in a</w:t>
            </w:r>
            <w:r w:rsidRPr="00830F40">
              <w:t>ccordance with requirements.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3.8</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TRC/CES /Earth wires are terminated with connectors recommended by manufacturers in accordance with relevant industry codes of practice including AS/ACIF S009.</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3.9</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T</w:t>
            </w:r>
            <w:r w:rsidRPr="00830F40">
              <w:t>RC/CES /Earth wire continuity is maintained through out and interface requirements with electrical systems are observed.</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3.10</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TRC/CES /Earthing installation is tested for continuity, insulation resistance and conductive resistance as per relevant indus</w:t>
            </w:r>
            <w:r w:rsidRPr="00830F40">
              <w:t>try standards including AS/ACIF S009.</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3.11</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Compatibility of alterations with existing systems is confirmed and new work tested both in isolation and when integrated with existing systems.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3.12</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Procedures for referring non-routine events to immediate supervisor for directions are followed.</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3.13</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Cabling is terminated efficiently without waste of materials and energy or damage to apparatus, the surrounding environment or services.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3.14</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Rout</w:t>
            </w:r>
            <w:r w:rsidRPr="00830F40">
              <w:t>ine quality checks are carried out and defects rectified to ensure cabling comply with requirements.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4</w:t>
            </w:r>
          </w:p>
        </w:tc>
        <w:tc>
          <w:tcPr>
            <w:tcW w:w="2646" w:type="dxa"/>
            <w:gridSpan w:val="2"/>
            <w:vMerge w:val="restart"/>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Complete cabling work, records and reporting.</w:t>
            </w: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4.1</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OHS work completion risk control measures and procedures are followed.</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4.2</w:t>
            </w:r>
          </w:p>
        </w:tc>
        <w:tc>
          <w:tcPr>
            <w:tcW w:w="5621"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Work site is cleaned and made safe in accordance with established procedures.</w:t>
            </w:r>
          </w:p>
        </w:tc>
      </w:tr>
      <w:tr w:rsidTr="00A87CAE">
        <w:tblPrEx>
          <w:tblW w:w="9790" w:type="dxa"/>
          <w:tblLayout w:type="fixed"/>
          <w:tblCellMar>
            <w:left w:w="62" w:type="dxa"/>
            <w:right w:w="62" w:type="dxa"/>
          </w:tblCellMar>
          <w:tblLook w:val="0000"/>
        </w:tblPrEx>
        <w:tc>
          <w:tcPr>
            <w:tcW w:w="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2"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4.3</w:t>
            </w:r>
          </w:p>
        </w:tc>
        <w:tc>
          <w:tcPr>
            <w:tcW w:w="5621" w:type="dxa"/>
            <w:gridSpan w:val="2"/>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Cabling completion advice is documented and reported in accordance with requirements.</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9" w:name="O_584594"/>
      <w:bookmarkEnd w:id="9"/>
      <w:r w:rsidRPr="00830F40">
        <w:t>Required Skills and Knowledge</w:t>
      </w:r>
    </w:p>
    <w:tbl>
      <w:tblPr>
        <w:tblW w:w="0" w:type="auto"/>
        <w:tblLayout w:type="fixed"/>
        <w:tblCellMar>
          <w:left w:w="62" w:type="dxa"/>
          <w:right w:w="62" w:type="dxa"/>
        </w:tblCellMar>
        <w:tblLook w:val="0000"/>
      </w:tblPr>
      <w:tblGrid>
        <w:gridCol w:w="8460"/>
      </w:tblGrid>
      <w:tr w:rsidTr="00A87C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REQUIRED SKILLS AND KNOWLEDGE</w:t>
            </w:r>
          </w:p>
        </w:tc>
      </w:tr>
      <w:tr w:rsidTr="00A87CA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8)</w:t>
            </w:r>
            <w:r w:rsidRPr="00830F40">
              <w:t xml:space="preserve"> This describes the essential skills and knowledge and their level, required for this unit.</w:t>
            </w:r>
          </w:p>
          <w:p w:rsidR="00000000" w:rsidRPr="00830F40" w:rsidP="00830F40">
            <w:pPr>
              <w:pStyle w:val="BodyText"/>
            </w:pPr>
            <w:r w:rsidRPr="00830F40">
              <w:t>Evidence shall show that knowledge has been acquired of safe working practices and laying and connecting cabling for direct access to telecommunication services.</w:t>
            </w:r>
          </w:p>
          <w:p w:rsidR="00000000" w:rsidRPr="00830F40" w:rsidP="00830F40">
            <w:pPr>
              <w:pStyle w:val="BodyText"/>
            </w:pPr>
            <w:r w:rsidRPr="00830F40">
              <w:t>Al</w:t>
            </w:r>
            <w:r w:rsidRPr="00830F40">
              <w:t>l knowledge and skills detailed in this unit should be contextualised to current industry practices and technologies.</w:t>
            </w:r>
          </w:p>
          <w:p w:rsidR="00000000" w:rsidRPr="00830F40" w:rsidP="00830F40">
            <w:pPr>
              <w:pStyle w:val="BodyText"/>
            </w:pPr>
            <w:r w:rsidRPr="00830F40">
              <w:rPr>
                <w:rStyle w:val="SpecialBold"/>
              </w:rPr>
              <w:t>KS01-EF101A                       Telecommunications Restricted CPR regulations and installations</w:t>
            </w:r>
          </w:p>
          <w:p w:rsidR="00000000" w:rsidRPr="00830F40" w:rsidP="00830F40">
            <w:pPr>
              <w:pStyle w:val="BodyText"/>
            </w:pPr>
            <w:r w:rsidRPr="00830F40">
              <w:t xml:space="preserve">Evidence shall show an understanding of </w:t>
            </w:r>
            <w:r w:rsidRPr="00830F40">
              <w:t>telecommunications restricted CPR regulations and installations, applying safe working practices and relevant Standards, Codes and Regulations to an extent indicated by the following aspects:</w:t>
            </w:r>
          </w:p>
          <w:p w:rsidR="00000000" w:rsidRPr="00830F40" w:rsidP="00830F40">
            <w:pPr>
              <w:pStyle w:val="BodyText"/>
            </w:pPr>
            <w:r w:rsidRPr="00830F40">
              <w:t>T1.</w:t>
            </w:r>
            <w:r w:rsidRPr="00830F40">
              <w:tab/>
              <w:t>Telecommunication industry overview encompassing:</w:t>
            </w:r>
          </w:p>
          <w:p w:rsidR="00000000" w:rsidRPr="00830F40" w:rsidP="00830F40">
            <w:pPr>
              <w:pStyle w:val="ListBullet"/>
            </w:pPr>
            <w:r w:rsidRPr="00830F40">
              <w:t>Telecommu</w:t>
            </w:r>
            <w:r w:rsidRPr="00830F40">
              <w:t>nication Industry</w:t>
            </w:r>
          </w:p>
          <w:p w:rsidR="00000000" w:rsidRPr="00830F40" w:rsidP="00830F40">
            <w:pPr>
              <w:pStyle w:val="ListBullet"/>
            </w:pPr>
            <w:r w:rsidRPr="00830F40">
              <w:t>Overview of Telecommunications network</w:t>
            </w:r>
          </w:p>
          <w:p w:rsidR="00000000" w:rsidRPr="00830F40" w:rsidP="00830F40">
            <w:pPr>
              <w:pStyle w:val="ListBullet"/>
            </w:pPr>
            <w:r w:rsidRPr="00830F40">
              <w:t>Overview of Telecommunications Act 1997</w:t>
            </w:r>
          </w:p>
          <w:p w:rsidR="00000000" w:rsidRPr="00830F40" w:rsidP="00830F40">
            <w:pPr>
              <w:pStyle w:val="ListBullet"/>
            </w:pPr>
            <w:r w:rsidRPr="00830F40">
              <w:t>Role of ACMA and ACIF</w:t>
            </w:r>
          </w:p>
          <w:p w:rsidR="00000000" w:rsidRPr="00830F40" w:rsidP="00830F40">
            <w:pPr>
              <w:pStyle w:val="ListBullet"/>
            </w:pPr>
            <w:r w:rsidRPr="00830F40">
              <w:t>Telecommunications terminology</w:t>
            </w:r>
          </w:p>
          <w:p w:rsidR="00000000" w:rsidRPr="00830F40" w:rsidP="00830F40">
            <w:pPr>
              <w:pStyle w:val="BodyText"/>
            </w:pPr>
            <w:r w:rsidRPr="00830F40">
              <w:t>T2.</w:t>
            </w:r>
            <w:r w:rsidRPr="00830F40">
              <w:tab/>
              <w:t>Telecommunication technical standards encompassing:</w:t>
            </w:r>
          </w:p>
          <w:p w:rsidR="00000000" w:rsidRPr="00830F40" w:rsidP="00830F40">
            <w:pPr>
              <w:pStyle w:val="ListBullet"/>
            </w:pPr>
            <w:r w:rsidRPr="00830F40">
              <w:t>ACMA Technical Standards TS008, TS009</w:t>
            </w:r>
          </w:p>
          <w:p w:rsidR="00000000" w:rsidRPr="00830F40" w:rsidP="00830F40">
            <w:pPr>
              <w:pStyle w:val="ListBullet"/>
            </w:pPr>
            <w:r w:rsidRPr="00830F40">
              <w:t>SAA Communi</w:t>
            </w:r>
            <w:r w:rsidRPr="00830F40">
              <w:t>cations Cabling Manual (Restricted) (starter kit) as approved by relevant bodies – Standards Australia/ACIF</w:t>
            </w:r>
          </w:p>
          <w:p w:rsidR="00000000" w:rsidRPr="00830F40" w:rsidP="00830F40">
            <w:pPr>
              <w:pStyle w:val="ListBullet"/>
            </w:pPr>
            <w:r w:rsidRPr="00830F40">
              <w:t>International Standards – ISO, IEC, ITU</w:t>
            </w:r>
          </w:p>
          <w:p w:rsidR="00000000" w:rsidRPr="00830F40" w:rsidP="00830F40">
            <w:pPr>
              <w:pStyle w:val="ListBullet"/>
            </w:pPr>
            <w:r w:rsidRPr="00830F40">
              <w:t>Building Code of Australia (BCA)</w:t>
            </w:r>
          </w:p>
          <w:p w:rsidR="00000000" w:rsidRPr="00830F40" w:rsidP="00830F40">
            <w:pPr>
              <w:pStyle w:val="ListBullet"/>
            </w:pPr>
            <w:r w:rsidRPr="00830F40">
              <w:t>AS/NZS 3000 Wiring Rules</w:t>
            </w:r>
          </w:p>
          <w:p w:rsidR="00000000" w:rsidRPr="00830F40" w:rsidP="00830F40">
            <w:pPr>
              <w:pStyle w:val="ListBullet"/>
            </w:pPr>
            <w:r w:rsidRPr="00830F40">
              <w:t>National Association of Testing Authorities NATA</w:t>
            </w:r>
          </w:p>
          <w:p w:rsidR="00000000" w:rsidRPr="00830F40" w:rsidP="00830F40">
            <w:pPr>
              <w:pStyle w:val="BodyText"/>
            </w:pPr>
            <w:r w:rsidRPr="00830F40">
              <w:t>T3.</w:t>
            </w:r>
            <w:r w:rsidRPr="00830F40">
              <w:tab/>
              <w:t>Cabling Provider Rules (CPR) encompassing:</w:t>
            </w:r>
          </w:p>
          <w:p w:rsidR="00000000" w:rsidRPr="00830F40" w:rsidP="00830F40">
            <w:pPr>
              <w:pStyle w:val="ListBullet"/>
            </w:pPr>
            <w:r w:rsidRPr="00830F40">
              <w:t>Australian Communications Media Authority (ACMA)</w:t>
            </w:r>
          </w:p>
          <w:p w:rsidR="00000000" w:rsidRPr="00830F40" w:rsidP="00830F40">
            <w:pPr>
              <w:pStyle w:val="ListBullet"/>
            </w:pPr>
            <w:r w:rsidRPr="00830F40">
              <w:t>Telecommunications Cabling Provider Rules</w:t>
            </w:r>
          </w:p>
          <w:p w:rsidR="00000000" w:rsidRPr="00830F40" w:rsidP="00830F40">
            <w:pPr>
              <w:pStyle w:val="ListBullet"/>
            </w:pPr>
            <w:r w:rsidRPr="00830F40">
              <w:t>CPR registration</w:t>
            </w:r>
          </w:p>
          <w:p w:rsidR="00000000" w:rsidRPr="00830F40" w:rsidP="00830F40">
            <w:pPr>
              <w:pStyle w:val="ListBullet"/>
            </w:pPr>
            <w:r w:rsidRPr="00830F40">
              <w:t>Old Telecommunication Licensing structures</w:t>
            </w:r>
          </w:p>
          <w:p w:rsidR="00000000" w:rsidRPr="00830F40" w:rsidP="00830F40">
            <w:pPr>
              <w:pStyle w:val="ListBullet"/>
            </w:pPr>
            <w:r w:rsidRPr="00830F40">
              <w:t>Inspection of work</w:t>
            </w:r>
          </w:p>
          <w:p w:rsidR="00000000" w:rsidRPr="00830F40" w:rsidP="00830F40">
            <w:pPr>
              <w:pStyle w:val="ListBullet"/>
            </w:pPr>
            <w:r w:rsidRPr="00830F40">
              <w:t>Documentation – TCA1 form</w:t>
            </w:r>
          </w:p>
          <w:p w:rsidR="00000000" w:rsidRPr="00830F40" w:rsidP="00830F40">
            <w:pPr>
              <w:pStyle w:val="BodyText"/>
            </w:pPr>
            <w:r w:rsidRPr="00830F40">
              <w:t>T4.</w:t>
            </w:r>
            <w:r w:rsidRPr="00830F40">
              <w:tab/>
              <w:t>Cable ty</w:t>
            </w:r>
            <w:r w:rsidRPr="00830F40">
              <w:t>pe and identification encompassing:</w:t>
            </w:r>
          </w:p>
          <w:p w:rsidR="00000000" w:rsidRPr="00830F40" w:rsidP="00830F40">
            <w:pPr>
              <w:pStyle w:val="ListBullet"/>
            </w:pPr>
            <w:r w:rsidRPr="00830F40">
              <w:t>Cable types – unshielded twisted pair, shielded twisted pair, indoor, underground and aerial.</w:t>
            </w:r>
          </w:p>
          <w:p w:rsidR="00000000" w:rsidRPr="00830F40" w:rsidP="00830F40">
            <w:pPr>
              <w:pStyle w:val="ListBullet"/>
            </w:pPr>
            <w:r w:rsidRPr="00830F40">
              <w:t>Cable construction</w:t>
            </w:r>
          </w:p>
          <w:p w:rsidR="00000000" w:rsidRPr="00830F40" w:rsidP="00830F40">
            <w:pPr>
              <w:pStyle w:val="ListBullet"/>
            </w:pPr>
            <w:r w:rsidRPr="00830F40">
              <w:t>Cable identification – codes (colour, banded, numbered, lettered)</w:t>
            </w:r>
          </w:p>
          <w:p w:rsidR="00000000" w:rsidRPr="00830F40" w:rsidP="00830F40">
            <w:pPr>
              <w:pStyle w:val="BodyText"/>
            </w:pPr>
            <w:r w:rsidRPr="00830F40">
              <w:t>T5.</w:t>
            </w:r>
            <w:r w:rsidRPr="00830F40">
              <w:tab/>
              <w:t>Cable installation encompassing:</w:t>
            </w:r>
          </w:p>
          <w:p w:rsidR="00000000" w:rsidRPr="00830F40" w:rsidP="00830F40">
            <w:pPr>
              <w:pStyle w:val="ListBullet"/>
            </w:pPr>
            <w:r w:rsidRPr="00830F40">
              <w:t>Ca</w:t>
            </w:r>
            <w:r w:rsidRPr="00830F40">
              <w:t>ble damage</w:t>
            </w:r>
          </w:p>
          <w:p w:rsidR="00000000" w:rsidRPr="00830F40" w:rsidP="00830F40">
            <w:pPr>
              <w:pStyle w:val="ListBullet"/>
            </w:pPr>
            <w:r w:rsidRPr="00830F40">
              <w:t>Cable packaging</w:t>
            </w:r>
          </w:p>
          <w:p w:rsidR="00000000" w:rsidRPr="00830F40" w:rsidP="00830F40">
            <w:pPr>
              <w:pStyle w:val="ListBullet"/>
            </w:pPr>
            <w:r w:rsidRPr="00830F40">
              <w:t>Cable dispensing devices</w:t>
            </w:r>
          </w:p>
          <w:p w:rsidR="00000000" w:rsidRPr="00830F40" w:rsidP="00830F40">
            <w:pPr>
              <w:pStyle w:val="ListBullet"/>
            </w:pPr>
            <w:r w:rsidRPr="00830F40">
              <w:t>Cable insertion and hauling</w:t>
            </w:r>
          </w:p>
          <w:p w:rsidR="00000000" w:rsidRPr="00830F40" w:rsidP="00830F40">
            <w:pPr>
              <w:pStyle w:val="ListBullet"/>
            </w:pPr>
            <w:r w:rsidRPr="00830F40">
              <w:t>Lead-in conduit requirements (including wall box installation)</w:t>
            </w:r>
          </w:p>
          <w:p w:rsidR="00000000" w:rsidRPr="00830F40" w:rsidP="00830F40">
            <w:pPr>
              <w:pStyle w:val="ListBullet"/>
            </w:pPr>
            <w:r w:rsidRPr="00830F40">
              <w:t>Wiring diagrams</w:t>
            </w:r>
          </w:p>
          <w:p w:rsidR="00000000" w:rsidRPr="00830F40" w:rsidP="00830F40">
            <w:pPr>
              <w:pStyle w:val="ListBullet"/>
            </w:pPr>
            <w:r w:rsidRPr="00830F40">
              <w:t>Segregation of cables</w:t>
            </w:r>
          </w:p>
          <w:p w:rsidR="00000000" w:rsidRPr="00830F40" w:rsidP="00830F40">
            <w:pPr>
              <w:pStyle w:val="ListBullet"/>
            </w:pPr>
            <w:r w:rsidRPr="00830F40">
              <w:t>Aerial cable fittings and additional safety aspects required.</w:t>
            </w:r>
          </w:p>
          <w:p w:rsidR="00000000" w:rsidRPr="00830F40" w:rsidP="00830F40">
            <w:pPr>
              <w:pStyle w:val="BodyText"/>
            </w:pPr>
            <w:r w:rsidRPr="00830F40">
              <w:t>T6.</w:t>
            </w:r>
            <w:r w:rsidRPr="00830F40">
              <w:tab/>
            </w:r>
            <w:r w:rsidRPr="00830F40">
              <w:t>Termination of Telecommunication Cables encompassing:</w:t>
            </w:r>
          </w:p>
          <w:p w:rsidR="00000000" w:rsidRPr="00830F40" w:rsidP="00830F40">
            <w:pPr>
              <w:pStyle w:val="ListBullet"/>
            </w:pPr>
            <w:r w:rsidRPr="00830F40">
              <w:t>Sheath stripping – methods, precautions</w:t>
            </w:r>
          </w:p>
          <w:p w:rsidR="00000000" w:rsidRPr="00830F40" w:rsidP="00830F40">
            <w:pPr>
              <w:pStyle w:val="ListBullet"/>
            </w:pPr>
            <w:r w:rsidRPr="00830F40">
              <w:t>Pair identification</w:t>
            </w:r>
          </w:p>
          <w:p w:rsidR="00000000" w:rsidRPr="00830F40" w:rsidP="00830F40">
            <w:pPr>
              <w:pStyle w:val="ListBullet"/>
            </w:pPr>
            <w:r w:rsidRPr="00830F40">
              <w:t>End to end testing</w:t>
            </w:r>
          </w:p>
          <w:p w:rsidR="00000000" w:rsidRPr="00830F40" w:rsidP="00830F40">
            <w:pPr>
              <w:pStyle w:val="ListBullet"/>
            </w:pPr>
            <w:r w:rsidRPr="00830F40">
              <w:t>Filled cable termination</w:t>
            </w:r>
          </w:p>
          <w:p w:rsidR="00000000" w:rsidRPr="00830F40" w:rsidP="00830F40">
            <w:pPr>
              <w:pStyle w:val="ListBullet"/>
            </w:pPr>
            <w:r w:rsidRPr="00830F40">
              <w:t>Termination systems – telephone outlets and sockets, network terminating devices (NTD)</w:t>
            </w:r>
          </w:p>
          <w:p w:rsidR="00000000" w:rsidRPr="00830F40" w:rsidP="00830F40">
            <w:pPr>
              <w:pStyle w:val="ListBullet"/>
            </w:pPr>
            <w:r w:rsidRPr="00830F40">
              <w:t xml:space="preserve">Connector </w:t>
            </w:r>
            <w:r w:rsidRPr="00830F40">
              <w:t>jointing e.g. external to internal cable where required</w:t>
            </w:r>
          </w:p>
          <w:p w:rsidR="00000000" w:rsidRPr="00830F40" w:rsidP="00830F40">
            <w:pPr>
              <w:pStyle w:val="BodyText"/>
            </w:pPr>
            <w:r w:rsidRPr="00830F40">
              <w:t>T7.</w:t>
            </w:r>
            <w:r w:rsidRPr="00830F40">
              <w:tab/>
              <w:t>Telecommunication earthing and protection encompassing:</w:t>
            </w:r>
          </w:p>
          <w:p w:rsidR="00000000" w:rsidRPr="00830F40" w:rsidP="00830F40">
            <w:pPr>
              <w:pStyle w:val="ListBullet"/>
            </w:pPr>
            <w:r w:rsidRPr="00830F40">
              <w:t xml:space="preserve">Customer lightning protection (CLP) </w:t>
            </w:r>
          </w:p>
          <w:p w:rsidR="00000000" w:rsidRPr="00830F40" w:rsidP="00830F40">
            <w:pPr>
              <w:pStyle w:val="ListBullet"/>
            </w:pPr>
            <w:r w:rsidRPr="00830F40">
              <w:t>CLP earthing</w:t>
            </w:r>
          </w:p>
          <w:p w:rsidR="00000000" w:rsidRPr="00830F40" w:rsidP="00830F40">
            <w:pPr>
              <w:pStyle w:val="ListBullet"/>
            </w:pPr>
            <w:r w:rsidRPr="00830F40">
              <w:t>Carrier’s policy requirement covering materials (including surge suppression devices) and</w:t>
            </w:r>
            <w:r w:rsidRPr="00830F40">
              <w:t xml:space="preserve"> </w:t>
            </w:r>
          </w:p>
          <w:p w:rsidR="00000000" w:rsidRPr="00830F40" w:rsidP="00830F40">
            <w:pPr>
              <w:pStyle w:val="ListBullet"/>
            </w:pPr>
            <w:r w:rsidRPr="00830F40">
              <w:t>Practices (including earth bonding arrangements)</w:t>
            </w:r>
          </w:p>
          <w:p w:rsidR="00000000" w:rsidRPr="00830F40" w:rsidP="00830F40">
            <w:pPr>
              <w:pStyle w:val="BodyText"/>
            </w:pPr>
            <w:r w:rsidRPr="00830F40">
              <w:t>T8.</w:t>
            </w:r>
            <w:r w:rsidRPr="00830F40">
              <w:tab/>
              <w:t>Basic telephony encompassing:</w:t>
            </w:r>
          </w:p>
          <w:p w:rsidR="00000000" w:rsidRPr="00830F40" w:rsidP="00830F40">
            <w:pPr>
              <w:pStyle w:val="ListBullet"/>
            </w:pPr>
            <w:r w:rsidRPr="00830F40">
              <w:t>Basic telephone service</w:t>
            </w:r>
          </w:p>
          <w:p w:rsidR="00000000" w:rsidRPr="00830F40" w:rsidP="00830F40">
            <w:pPr>
              <w:pStyle w:val="ListBullet"/>
            </w:pPr>
            <w:r w:rsidRPr="00830F40">
              <w:t>Telephone</w:t>
            </w:r>
          </w:p>
          <w:p w:rsidR="00000000" w:rsidRPr="00830F40" w:rsidP="00830F40">
            <w:pPr>
              <w:pStyle w:val="ListBullet"/>
            </w:pPr>
            <w:r w:rsidRPr="00830F40">
              <w:t>Exchange number</w:t>
            </w:r>
          </w:p>
          <w:p w:rsidR="00000000" w:rsidRPr="00830F40" w:rsidP="00830F40">
            <w:pPr>
              <w:pStyle w:val="ListBullet"/>
            </w:pPr>
            <w:r w:rsidRPr="00830F40">
              <w:t>Connection equipment / lead in cable</w:t>
            </w:r>
          </w:p>
          <w:p w:rsidR="00000000" w:rsidRPr="00830F40" w:rsidP="00830F40">
            <w:pPr>
              <w:pStyle w:val="ListBullet"/>
            </w:pPr>
            <w:r w:rsidRPr="00830F40">
              <w:t>Dialling signals – pulse dialling, tone dialling, ring equivalence number (REN)</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10" w:name="O_584593"/>
      <w:bookmarkEnd w:id="10"/>
      <w:r w:rsidRPr="00830F40">
        <w:t>Evidence Guide</w:t>
      </w:r>
    </w:p>
    <w:tbl>
      <w:tblPr>
        <w:tblW w:w="0" w:type="auto"/>
        <w:tblLayout w:type="fixed"/>
        <w:tblCellMar>
          <w:left w:w="62" w:type="dxa"/>
          <w:right w:w="62" w:type="dxa"/>
        </w:tblCellMar>
        <w:tblLook w:val="0000"/>
      </w:tblPr>
      <w:tblGrid>
        <w:gridCol w:w="8460"/>
      </w:tblGrid>
      <w:tr w:rsidTr="00A87C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EVIDENCE GUIDE</w:t>
            </w:r>
          </w:p>
        </w:tc>
      </w:tr>
      <w:tr w:rsidTr="00A87C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9)</w:t>
            </w:r>
            <w:r w:rsidRPr="00830F40">
              <w:t xml:space="preserve"> This provides essential advice for assessment of the unit and must be read in conjunction with the performance criteria and the range statement of the unit and the Training Package Assessment Guidelines.</w:t>
            </w:r>
          </w:p>
          <w:p w:rsidR="00000000" w:rsidRPr="00830F40" w:rsidP="00830F40">
            <w:pPr>
              <w:pStyle w:val="BodyText"/>
            </w:pPr>
            <w:r w:rsidRPr="00830F40">
              <w:t>The Evidence Guide forms an integral part of this unit. It must be used in conjunction with all parts of the unit and performed in accordance with the Assessment Guidelines of this Training Package.</w:t>
            </w:r>
          </w:p>
        </w:tc>
      </w:tr>
    </w:tbl>
    <w:p w:rsidR="00000000" w:rsidRPr="00830F40" w:rsidP="00830F40">
      <w:pPr>
        <w:pStyle w:val="BodyText"/>
      </w:pPr>
    </w:p>
    <w:tbl>
      <w:tblPr>
        <w:tblW w:w="0" w:type="auto"/>
        <w:tblLayout w:type="fixed"/>
        <w:tblCellMar>
          <w:left w:w="62" w:type="dxa"/>
          <w:right w:w="62" w:type="dxa"/>
        </w:tblCellMar>
        <w:tblLook w:val="0000"/>
      </w:tblPr>
      <w:tblGrid>
        <w:gridCol w:w="1890"/>
        <w:gridCol w:w="6570"/>
      </w:tblGrid>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9.1)</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Longitudinal competency d</w:t>
            </w:r>
            <w:r w:rsidRPr="00830F40">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830F40">
              <w:t>industry-preferred model for apprenticeships. However, where summative (or final) assessment is used it is to include the application of the competency in the normal work environment or, at a minimum, the application of the competency in a realistically si</w:t>
            </w:r>
            <w:r w:rsidRPr="00830F40">
              <w:t>mulated work environment. It is recognised that, in some circumstances, assessment in part or full can occur outside the workplace. However, it must be in accordance with industry and regulatory policy.</w:t>
            </w:r>
          </w:p>
          <w:p w:rsidR="00000000" w:rsidRPr="00830F40" w:rsidP="00830F40">
            <w:pPr>
              <w:pStyle w:val="BodyText"/>
            </w:pPr>
            <w:r w:rsidRPr="00830F40">
              <w:t>Methods chosen for a particular assessment will be in</w:t>
            </w:r>
            <w:r w:rsidRPr="00830F40">
              <w:t xml:space="preserve">fluenced by various factors. These include the extent of the assessment, the most effective locations for the assessment activities to take place, access to physical resources, additional safety measures that may be required and the critical nature of the </w:t>
            </w:r>
            <w:r w:rsidRPr="00830F40">
              <w:t>competencies being assessed.</w:t>
            </w:r>
          </w:p>
          <w:p w:rsidR="00000000" w:rsidRPr="00830F40" w:rsidP="00830F40">
            <w:pPr>
              <w:pStyle w:val="BodyText"/>
            </w:pPr>
            <w:r w:rsidRPr="00830F40">
              <w:t>The critical safety nature of working with electricity, electrical equipment, gas or any other hazardous substance/material carries risk in deeming a person competent. Sources of evidence need to be ‘rich’ in nature to minimise</w:t>
            </w:r>
            <w:r w:rsidRPr="00830F40">
              <w:t xml:space="preserve"> error in judgment.</w:t>
            </w:r>
          </w:p>
          <w:p w:rsidR="00000000" w:rsidRPr="00830F40" w:rsidP="00830F40">
            <w:pPr>
              <w:pStyle w:val="BodyText"/>
            </w:pPr>
            <w:r w:rsidRPr="00830F40">
              <w:t>Activities associated with normal everyday work have a bearing on the decision as to how much and how detailed the data gathered will contribute to its ‘richness’</w:t>
            </w:r>
            <w:r w:rsidRPr="00830F40">
              <w:t>. Some skills are more critical to safety and operational requirements while the same skills may be more or less frequently practised. These points are raised for the assessors to consider when choosing an assessment method and developing assessment instru</w:t>
            </w:r>
            <w:r w:rsidRPr="00830F40">
              <w:t>ments. Sample assessment instruments are included for Assessors in the Assessment Guidelines of this Training Package.</w:t>
            </w:r>
          </w:p>
        </w:tc>
      </w:tr>
    </w:tbl>
    <w:p w:rsidR="00000000" w:rsidRPr="00830F40" w:rsidP="00830F40">
      <w:pPr>
        <w:pStyle w:val="BodyText"/>
      </w:pPr>
    </w:p>
    <w:tbl>
      <w:tblPr>
        <w:tblW w:w="0" w:type="auto"/>
        <w:tblLayout w:type="fixed"/>
        <w:tblCellMar>
          <w:left w:w="62" w:type="dxa"/>
          <w:right w:w="62" w:type="dxa"/>
        </w:tblCellMar>
        <w:tblLook w:val="0000"/>
      </w:tblPr>
      <w:tblGrid>
        <w:gridCol w:w="1890"/>
        <w:gridCol w:w="1620"/>
        <w:gridCol w:w="4950"/>
      </w:tblGrid>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9.2)</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Before the critical aspects of evidence are consid</w:t>
            </w:r>
            <w:r w:rsidRPr="00830F40">
              <w:t>ered all prerequisites shall be met.</w:t>
            </w:r>
          </w:p>
          <w:p w:rsidR="00000000" w:rsidRPr="00830F40" w:rsidP="00830F40">
            <w:pPr>
              <w:pStyle w:val="BodyText"/>
            </w:pPr>
            <w:r w:rsidRPr="00830F40">
              <w:t>Evidence for competence in this unit shall be considered holistically.  Each element and associated performance criteria shall be demonstrated on at least two occasions in accordance with the ‘Assessment Guidelines – UE</w:t>
            </w:r>
            <w:r w:rsidRPr="00830F40">
              <w:t>E11’.  Evidence shall also comprise:</w:t>
            </w:r>
          </w:p>
          <w:p w:rsidR="00000000" w:rsidRPr="00830F40" w:rsidP="00830F40">
            <w:pPr>
              <w:pStyle w:val="ListBullet"/>
            </w:pPr>
            <w:r w:rsidRPr="00830F40">
              <w:t>A representative body of work performance demonstrated within the timeframes typically expected of the discipline, work function and industrial environment. In particular this shall incorporate evidence that shows a ca</w:t>
            </w:r>
            <w:r w:rsidRPr="00830F40">
              <w:t>ndidate is able to:</w:t>
            </w:r>
          </w:p>
          <w:p w:rsidR="00000000" w:rsidRPr="00830F40" w:rsidP="00830F40">
            <w:pPr>
              <w:pStyle w:val="ListBullet2"/>
            </w:pPr>
            <w:r w:rsidRPr="00830F40">
              <w:t>Implement Occupational Health and Safety workplace procedures and practices, including the use of risk control measures as specified in the performance criteria and range statement</w:t>
            </w:r>
          </w:p>
          <w:p w:rsidR="00000000" w:rsidRPr="00830F40" w:rsidP="00830F40">
            <w:pPr>
              <w:pStyle w:val="ListBullet2"/>
            </w:pPr>
            <w:r w:rsidRPr="00830F40">
              <w:t>Apply sustainable energy principles and practices as specified in the performance criteria and range statement</w:t>
            </w:r>
          </w:p>
          <w:p w:rsidR="00000000" w:rsidRPr="00830F40" w:rsidP="00830F40">
            <w:pPr>
              <w:pStyle w:val="ListBullet2"/>
            </w:pPr>
            <w:r w:rsidRPr="00830F40">
              <w:t>Demonstrate an understanding of the essential knowledge and associated skills as described in this unit.  It may be required by some jurisdiction</w:t>
            </w:r>
            <w:r w:rsidRPr="00830F40">
              <w:t xml:space="preserve">s that RTOs provide a percentile graded result for the purpose of regulatory or licensing requirements.   </w:t>
            </w:r>
          </w:p>
          <w:p w:rsidR="00000000" w:rsidRPr="00830F40" w:rsidP="00830F40">
            <w:pPr>
              <w:pStyle w:val="ListBullet2"/>
            </w:pPr>
            <w:r w:rsidRPr="00830F40">
              <w:t>Demonstrate an appropriate level of skills enabling employment</w:t>
            </w:r>
          </w:p>
          <w:p w:rsidR="00000000" w:rsidRPr="00830F40" w:rsidP="00830F40">
            <w:pPr>
              <w:pStyle w:val="ListBullet2"/>
            </w:pPr>
            <w:r w:rsidRPr="00830F40">
              <w:t>Conduct work observing the relevant Anti Discrimination legislation, regulations, poli</w:t>
            </w:r>
            <w:r w:rsidRPr="00830F40">
              <w:t>ces and workplace procedures</w:t>
            </w:r>
          </w:p>
          <w:p w:rsidR="00000000" w:rsidRPr="00830F40" w:rsidP="00830F40">
            <w:pPr>
              <w:pStyle w:val="ListBullet"/>
            </w:pPr>
            <w:r w:rsidRPr="00830F40">
              <w:t>Demonstrated consistent performance across a representative range of contexts from the prescribed items below:</w:t>
            </w:r>
          </w:p>
          <w:p w:rsidR="00000000" w:rsidP="00830F40">
            <w:pPr>
              <w:pStyle w:val="ListBullet2"/>
              <w:rPr>
                <w:lang w:val="en-NZ"/>
              </w:rPr>
            </w:pPr>
            <w:r w:rsidRPr="00830F40">
              <w:t>Laying and connecting cabling for direct access to telecommunication services as described in 8) and including:</w:t>
            </w:r>
          </w:p>
        </w:tc>
      </w:tr>
      <w:tr w:rsidTr="00A87CAE">
        <w:tblPrEx>
          <w:tblW w:w="0" w:type="auto"/>
          <w:tblLayout w:type="fixed"/>
          <w:tblCellMar>
            <w:left w:w="62" w:type="dxa"/>
            <w:right w:w="62" w:type="dxa"/>
          </w:tblCellMar>
          <w:tblLook w:val="0000"/>
        </w:tblPrEx>
        <w:trPr>
          <w:trHeight w:val="29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A</w:t>
            </w:r>
          </w:p>
        </w:tc>
        <w:tc>
          <w:tcPr>
            <w:tcW w:w="495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Terminating at both network termination device and at least two different outlet types and locations</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B</w:t>
            </w:r>
          </w:p>
        </w:tc>
        <w:tc>
          <w:tcPr>
            <w:tcW w:w="495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Placing of cables on support structures and building faces for both internal and external locations</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w:t>
            </w:r>
          </w:p>
        </w:tc>
        <w:tc>
          <w:tcPr>
            <w:tcW w:w="495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Securing cables correctly for above locations</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D</w:t>
            </w:r>
          </w:p>
        </w:tc>
        <w:tc>
          <w:tcPr>
            <w:tcW w:w="495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Avoiding cable damage such as crushing, burning, kinking, sheath twist, cutting and nicking, bending radius</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E</w:t>
            </w:r>
          </w:p>
        </w:tc>
        <w:tc>
          <w:tcPr>
            <w:tcW w:w="495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Reading and interpreting drawings related to outlet and service entry location</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F</w:t>
            </w:r>
          </w:p>
        </w:tc>
        <w:tc>
          <w:tcPr>
            <w:tcW w:w="495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 xml:space="preserve">Conducting </w:t>
            </w:r>
            <w:r w:rsidRPr="00830F40">
              <w:t>and interpreting cable test results</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G</w:t>
            </w:r>
          </w:p>
        </w:tc>
        <w:tc>
          <w:tcPr>
            <w:tcW w:w="495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Correctly interpreting and applying standards and regulations</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H</w:t>
            </w:r>
          </w:p>
        </w:tc>
        <w:tc>
          <w:tcPr>
            <w:tcW w:w="495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Completing the required documentation</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I</w:t>
            </w:r>
          </w:p>
        </w:tc>
        <w:tc>
          <w:tcPr>
            <w:tcW w:w="495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Dealing with unplanned events by drawing on essential knowledge and skills to provide appropriate solutions incorporated in a holistic assessment with the above listed items</w:t>
            </w:r>
          </w:p>
        </w:tc>
      </w:tr>
    </w:tbl>
    <w:p w:rsidR="00000000" w:rsidRPr="00830F40" w:rsidP="00830F40">
      <w:pPr>
        <w:pStyle w:val="BodyText"/>
      </w:pPr>
    </w:p>
    <w:tbl>
      <w:tblPr>
        <w:tblW w:w="0" w:type="auto"/>
        <w:tblLayout w:type="fixed"/>
        <w:tblCellMar>
          <w:left w:w="62" w:type="dxa"/>
          <w:right w:w="62" w:type="dxa"/>
        </w:tblCellMar>
        <w:tblLook w:val="0000"/>
      </w:tblPr>
      <w:tblGrid>
        <w:gridCol w:w="1890"/>
        <w:gridCol w:w="6570"/>
      </w:tblGrid>
      <w:tr w:rsidTr="00A87CA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9.3)</w:t>
            </w:r>
          </w:p>
        </w:tc>
      </w:tr>
      <w:tr w:rsidTr="00A87CA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This unit should be asse</w:t>
            </w:r>
            <w:r w:rsidRPr="00830F40">
              <w:t>ssed as it relates to normal work practice using procedures, information and resources typical of a workplace. This should include:</w:t>
            </w:r>
          </w:p>
          <w:p w:rsidR="00000000" w:rsidRPr="00830F40" w:rsidP="00830F40">
            <w:pPr>
              <w:pStyle w:val="ListBullet"/>
            </w:pPr>
            <w:r w:rsidRPr="00830F40">
              <w:t>OHS policy and work procedures and instructions.</w:t>
            </w:r>
          </w:p>
          <w:p w:rsidR="00000000" w:rsidRPr="00830F40" w:rsidP="00830F40">
            <w:pPr>
              <w:pStyle w:val="ListBullet"/>
            </w:pPr>
            <w:r w:rsidRPr="00830F40">
              <w:t>Suitable work environment, facili</w:t>
            </w:r>
            <w:r w:rsidRPr="00830F40">
              <w:t>ties, equipment and materials to undertake actual work as prescribed by this unit.</w:t>
            </w:r>
          </w:p>
          <w:p w:rsidR="00000000" w:rsidRPr="00830F40" w:rsidP="00830F40">
            <w:pPr>
              <w:pStyle w:val="BodyText"/>
            </w:pPr>
            <w:r w:rsidRPr="00830F40">
              <w:t>These should be used in the formal learning/assessment environment.</w:t>
            </w:r>
          </w:p>
          <w:p w:rsidR="00000000" w:rsidRPr="00830F40" w:rsidP="00830F40">
            <w:pPr>
              <w:pStyle w:val="BodyText"/>
            </w:pPr>
            <w:r w:rsidRPr="00830F40">
              <w:t>Note:</w:t>
            </w:r>
          </w:p>
          <w:p w:rsidR="00000000" w:rsidRPr="00830F40" w:rsidP="00830F40">
            <w:pPr>
              <w:pStyle w:val="BodyText"/>
            </w:pPr>
            <w:r w:rsidRPr="00830F40">
              <w:t>Where simulation is considered a suitable strategy for assessment, conditions must be authentic and</w:t>
            </w:r>
            <w:r w:rsidRPr="00830F40">
              <w:t xml:space="preserve"> as far as possible reproduce and replicate the workplace and be consistent with the approved industry simulation policy.</w:t>
            </w:r>
          </w:p>
          <w:p w:rsidR="00000000" w:rsidRPr="00830F40" w:rsidP="00830F40">
            <w:pPr>
              <w:pStyle w:val="BodyText"/>
            </w:pPr>
            <w:r w:rsidRPr="00830F40">
              <w:t>The resources used for assessment should reflect current industry practices in relation to laying and connecting cabling for direct ac</w:t>
            </w:r>
            <w:r w:rsidRPr="00830F40">
              <w:t>cess to telecommunication services.</w:t>
            </w:r>
          </w:p>
        </w:tc>
      </w:tr>
    </w:tbl>
    <w:p w:rsidR="00000000" w:rsidRPr="00830F40" w:rsidP="00830F40">
      <w:pPr>
        <w:pStyle w:val="BodyText"/>
      </w:pPr>
    </w:p>
    <w:tbl>
      <w:tblPr>
        <w:tblW w:w="0" w:type="auto"/>
        <w:tblLayout w:type="fixed"/>
        <w:tblCellMar>
          <w:left w:w="62" w:type="dxa"/>
          <w:right w:w="62" w:type="dxa"/>
        </w:tblCellMar>
        <w:tblLook w:val="0000"/>
      </w:tblPr>
      <w:tblGrid>
        <w:gridCol w:w="1890"/>
        <w:gridCol w:w="6570"/>
      </w:tblGrid>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9.4)</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This unit shall be assessed by methods given in Volume 1, Part 3 ‘Assessment Guidelines’.</w:t>
            </w:r>
          </w:p>
          <w:p w:rsidR="00000000" w:rsidRPr="00830F40" w:rsidP="00830F40">
            <w:pPr>
              <w:pStyle w:val="BodyText"/>
            </w:pPr>
            <w:r w:rsidRPr="00830F40">
              <w:t xml:space="preserve">Note: </w:t>
            </w:r>
          </w:p>
          <w:p w:rsidR="00000000" w:rsidRPr="00830F40" w:rsidP="00830F40">
            <w:pPr>
              <w:pStyle w:val="BodyText"/>
            </w:pPr>
            <w:r w:rsidRPr="00830F40">
              <w:t>Competent performance with inherent safe working practices is expected in the Industry to which this competency standard unit applies. This requires assessment in a structured environment which is primarily intended for learning/assessment and incorporates</w:t>
            </w:r>
            <w:r w:rsidRPr="00830F40">
              <w:t xml:space="preserve"> all necessary equipment and facilities for learners to develop and demonstrate the essential knowledge and skills described in this unit.</w:t>
            </w:r>
          </w:p>
        </w:tc>
      </w:tr>
    </w:tbl>
    <w:p w:rsidR="00000000" w:rsidRPr="00830F40" w:rsidP="00830F40">
      <w:pPr>
        <w:pStyle w:val="BodyText"/>
      </w:pPr>
    </w:p>
    <w:tbl>
      <w:tblPr>
        <w:tblW w:w="0" w:type="auto"/>
        <w:tblLayout w:type="fixed"/>
        <w:tblCellMar>
          <w:left w:w="62" w:type="dxa"/>
          <w:right w:w="62" w:type="dxa"/>
        </w:tblCellMar>
        <w:tblLook w:val="0000"/>
      </w:tblPr>
      <w:tblGrid>
        <w:gridCol w:w="1890"/>
        <w:gridCol w:w="1530"/>
        <w:gridCol w:w="5040"/>
      </w:tblGrid>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9.5)</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For optimisation of training and assessment effort,</w:t>
            </w:r>
            <w:r w:rsidRPr="00830F40">
              <w:t xml:space="preserve"> competency development in this unit may be arranged concurrently with unit:</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UEENEEE102A</w:t>
            </w:r>
          </w:p>
        </w:tc>
        <w:tc>
          <w:tcPr>
            <w:tcW w:w="50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Fabricate, assemble and dismantle utilities industry components</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UEENEEE105A</w:t>
            </w:r>
          </w:p>
        </w:tc>
        <w:tc>
          <w:tcPr>
            <w:tcW w:w="504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 xml:space="preserve">Fix and secure electrotechnology equipment </w:t>
            </w:r>
          </w:p>
        </w:tc>
      </w:tr>
      <w:tr w:rsidTr="00A87C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t>UEENEEE107A</w:t>
            </w:r>
          </w:p>
        </w:tc>
        <w:tc>
          <w:tcPr>
            <w:tcW w:w="504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Use drawings, diagrams, schedules, standards, codes and specifications</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11" w:name="O_584592"/>
      <w:bookmarkEnd w:id="11"/>
      <w:r w:rsidRPr="00830F40">
        <w:t>Range Statement</w:t>
      </w:r>
    </w:p>
    <w:tbl>
      <w:tblPr>
        <w:tblW w:w="0" w:type="auto"/>
        <w:tblLayout w:type="fixed"/>
        <w:tblCellMar>
          <w:left w:w="62" w:type="dxa"/>
          <w:right w:w="62" w:type="dxa"/>
        </w:tblCellMar>
        <w:tblLook w:val="0000"/>
      </w:tblPr>
      <w:tblGrid>
        <w:gridCol w:w="8460"/>
      </w:tblGrid>
      <w:tr w:rsidTr="00A87C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RANGE STATEMENT</w:t>
            </w:r>
          </w:p>
        </w:tc>
      </w:tr>
      <w:tr w:rsidTr="00A87C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10)</w:t>
            </w:r>
            <w:r w:rsidRPr="00830F40">
              <w:t xml:space="preserve"> This relates to the unit as a whole providing the range of contexts and conditions to which the </w:t>
            </w:r>
            <w:r w:rsidRPr="00830F40">
              <w:t>performance criteria apply. It allows for different work environments and situations that will affect performance.</w:t>
            </w:r>
          </w:p>
          <w:p w:rsidR="00000000" w:rsidRPr="00830F40" w:rsidP="00830F40">
            <w:pPr>
              <w:pStyle w:val="BodyText"/>
            </w:pPr>
            <w:r w:rsidRPr="00830F40">
              <w:t>This unit shall be demonstrated in relation to cabling installations applicable to single telephone line (two-pair) and directly connected to</w:t>
            </w:r>
            <w:r w:rsidRPr="00830F40">
              <w:t xml:space="preserve"> telephone sockets.  It includes terminating, placing of cables on support structures and building faces, securing cables correctly for above locations, avoiding cable damage, reading and interpreting drawings, conducting and interpreting cable test result</w:t>
            </w:r>
            <w:r w:rsidRPr="00830F40">
              <w:t>s, applying standards and regulations, and completing the required documentation.</w:t>
            </w:r>
          </w:p>
          <w:p w:rsidR="00000000" w:rsidRPr="00830F40" w:rsidP="00830F40">
            <w:pPr>
              <w:pStyle w:val="BodyText"/>
            </w:pPr>
            <w:r w:rsidRPr="00830F40">
              <w:t>Generic terms used throughout this Vocational Standard shall be regarded as part of the Range Statement in which competency is demonstrated. The definition of these and other</w:t>
            </w:r>
            <w:r w:rsidRPr="00830F40">
              <w:t xml:space="preserve"> terms that apply are given in Volume 2, Part 2.1.</w:t>
            </w:r>
          </w:p>
        </w:tc>
      </w:tr>
    </w:tbl>
    <w:p w:rsidR="00000000" w:rsidRPr="00830F40" w:rsidP="00830F40">
      <w:pPr>
        <w:pStyle w:val="BodyText"/>
      </w:pPr>
    </w:p>
    <w:p w:rsidR="00000000" w:rsidRPr="00830F40" w:rsidP="00830F40">
      <w:pPr>
        <w:pStyle w:val="AllowPageBreak"/>
      </w:pPr>
    </w:p>
    <w:p w:rsidR="00000000" w:rsidRPr="00830F40" w:rsidP="00830F40">
      <w:pPr>
        <w:pStyle w:val="Heading1"/>
      </w:pPr>
      <w:bookmarkStart w:id="12" w:name="O_584591"/>
      <w:bookmarkEnd w:id="12"/>
      <w:r w:rsidRPr="00830F40">
        <w:t>Unit Sector(s)</w:t>
      </w:r>
    </w:p>
    <w:p w:rsidR="00000000" w:rsidRPr="00830F40" w:rsidP="00830F40">
      <w:pPr>
        <w:pStyle w:val="BodyText"/>
      </w:pPr>
      <w:r w:rsidRPr="00830F40">
        <w:t>Not applicable.</w:t>
      </w:r>
    </w:p>
    <w:p w:rsidR="00000000" w:rsidRPr="00830F40" w:rsidP="00830F40">
      <w:pPr>
        <w:pStyle w:val="AllowPageBreak"/>
      </w:pPr>
    </w:p>
    <w:p w:rsidR="00000000" w:rsidRPr="00830F40" w:rsidP="00830F40">
      <w:pPr>
        <w:pStyle w:val="Heading1"/>
      </w:pPr>
      <w:bookmarkStart w:id="13" w:name="O_584590"/>
      <w:bookmarkEnd w:id="13"/>
      <w:r w:rsidRPr="00830F40">
        <w:t>Competency Field</w:t>
      </w:r>
    </w:p>
    <w:tbl>
      <w:tblPr>
        <w:tblW w:w="0" w:type="auto"/>
        <w:tblLayout w:type="fixed"/>
        <w:tblCellMar>
          <w:left w:w="62" w:type="dxa"/>
          <w:right w:w="62" w:type="dxa"/>
        </w:tblCellMar>
        <w:tblLook w:val="0000"/>
      </w:tblPr>
      <w:tblGrid>
        <w:gridCol w:w="2700"/>
        <w:gridCol w:w="5760"/>
      </w:tblGrid>
      <w:tr w:rsidTr="00A87C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30F40">
            <w:pPr>
              <w:pStyle w:val="BodyText"/>
              <w:rPr>
                <w:lang w:val="en-NZ"/>
              </w:rPr>
            </w:pPr>
            <w:r w:rsidRPr="00830F40">
              <w:rPr>
                <w:rStyle w:val="SpecialBold"/>
              </w:rPr>
              <w:t xml:space="preserve">11) </w:t>
            </w:r>
          </w:p>
        </w:tc>
      </w:tr>
      <w:tr w:rsidTr="00A87C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F40" w:rsidP="00830F40">
            <w:pPr>
              <w:pStyle w:val="BodyText"/>
            </w:pPr>
            <w:r w:rsidRPr="00830F40">
              <w:t>Data and Voice Communications</w:t>
            </w:r>
          </w:p>
        </w:tc>
      </w:tr>
    </w:tbl>
    <w:p w:rsidR="00000000" w:rsidRPr="00830F40" w:rsidP="00830F40">
      <w:pPr>
        <w:pStyle w:val="BodyText"/>
      </w:pPr>
    </w:p>
    <w:p w:rsidR="00000000" w:rsidRPr="00830F40" w:rsidP="00830F40"/>
    <w:sectPr w:rsidSect="00830F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40" w:rsidRPr="00A87CAE" w:rsidP="00A87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CAE" w:rsidP="00830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87CAE" w:rsidP="00830F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87CAE" w:rsidP="00830F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40" w:rsidRPr="00A87CAE" w:rsidP="00A87C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CAE" w:rsidRPr="002D2AF8" w:rsidP="00830F40">
    <w:pPr>
      <w:pStyle w:val="Header"/>
      <w:framePr w:wrap="around"/>
    </w:pPr>
    <w:r>
      <w:fldChar w:fldCharType="begin"/>
    </w:r>
    <w:r>
      <w:instrText xml:space="preserve"> TITLE   \* MERGEFORMAT </w:instrText>
    </w:r>
    <w:r>
      <w:fldChar w:fldCharType="separate"/>
    </w:r>
    <w:r>
      <w:t>UEENEEF101A Install and connect cabling for direct access to telecommunications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87CAE" w:rsidP="00830F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3ED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00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82C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F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F40"/>
    <w:pPr>
      <w:spacing w:before="360" w:after="60"/>
      <w:outlineLvl w:val="0"/>
    </w:pPr>
    <w:rPr>
      <w:sz w:val="32"/>
    </w:rPr>
  </w:style>
  <w:style w:type="paragraph" w:styleId="Heading2">
    <w:name w:val="heading 2"/>
    <w:basedOn w:val="HeadingBase"/>
    <w:next w:val="BodyText"/>
    <w:link w:val="Heading2Char"/>
    <w:qFormat/>
    <w:rsid w:val="00830F40"/>
    <w:pPr>
      <w:keepLines/>
      <w:spacing w:before="240" w:after="120"/>
      <w:outlineLvl w:val="1"/>
    </w:pPr>
    <w:rPr>
      <w:sz w:val="28"/>
      <w:szCs w:val="40"/>
    </w:rPr>
  </w:style>
  <w:style w:type="paragraph" w:styleId="Heading3">
    <w:name w:val="heading 3"/>
    <w:basedOn w:val="HeadingBase"/>
    <w:next w:val="BodyText"/>
    <w:link w:val="Heading3Char"/>
    <w:qFormat/>
    <w:rsid w:val="00830F40"/>
    <w:pPr>
      <w:spacing w:before="180" w:after="120"/>
      <w:outlineLvl w:val="2"/>
    </w:pPr>
    <w:rPr>
      <w:spacing w:val="-10"/>
      <w:kern w:val="32"/>
    </w:rPr>
  </w:style>
  <w:style w:type="paragraph" w:styleId="Heading4">
    <w:name w:val="heading 4"/>
    <w:basedOn w:val="HeadingBase"/>
    <w:next w:val="BodyText"/>
    <w:link w:val="Heading4Char"/>
    <w:qFormat/>
    <w:rsid w:val="00830F40"/>
    <w:pPr>
      <w:spacing w:before="160" w:after="120"/>
      <w:outlineLvl w:val="3"/>
    </w:pPr>
    <w:rPr>
      <w:sz w:val="22"/>
    </w:rPr>
  </w:style>
  <w:style w:type="paragraph" w:styleId="Heading5">
    <w:name w:val="heading 5"/>
    <w:basedOn w:val="HeadingBase"/>
    <w:next w:val="Normal"/>
    <w:link w:val="Heading5Char"/>
    <w:qFormat/>
    <w:rsid w:val="00830F40"/>
    <w:pPr>
      <w:spacing w:before="80"/>
      <w:outlineLvl w:val="4"/>
    </w:pPr>
    <w:rPr>
      <w:color w:val="918585"/>
      <w:sz w:val="20"/>
    </w:rPr>
  </w:style>
  <w:style w:type="paragraph" w:styleId="Heading6">
    <w:name w:val="heading 6"/>
    <w:basedOn w:val="HeadingBase"/>
    <w:next w:val="Normal"/>
    <w:link w:val="Heading6Char"/>
    <w:qFormat/>
    <w:rsid w:val="00830F40"/>
    <w:pPr>
      <w:spacing w:before="60"/>
      <w:outlineLvl w:val="5"/>
    </w:pPr>
    <w:rPr>
      <w:color w:val="918585"/>
      <w:sz w:val="20"/>
    </w:rPr>
  </w:style>
  <w:style w:type="paragraph" w:styleId="Heading7">
    <w:name w:val="heading 7"/>
    <w:basedOn w:val="Normal"/>
    <w:next w:val="Normal"/>
    <w:link w:val="Heading7Char"/>
    <w:qFormat/>
    <w:rsid w:val="00830F40"/>
    <w:pPr>
      <w:ind w:left="720"/>
      <w:outlineLvl w:val="6"/>
    </w:pPr>
    <w:rPr>
      <w:i/>
    </w:rPr>
  </w:style>
  <w:style w:type="paragraph" w:styleId="Heading8">
    <w:name w:val="heading 8"/>
    <w:basedOn w:val="Normal"/>
    <w:next w:val="Normal"/>
    <w:link w:val="Heading8Char"/>
    <w:qFormat/>
    <w:rsid w:val="00830F40"/>
    <w:pPr>
      <w:ind w:left="720"/>
      <w:outlineLvl w:val="7"/>
    </w:pPr>
    <w:rPr>
      <w:i/>
    </w:rPr>
  </w:style>
  <w:style w:type="paragraph" w:styleId="Heading9">
    <w:name w:val="heading 9"/>
    <w:basedOn w:val="Normal"/>
    <w:next w:val="Normal"/>
    <w:link w:val="Heading9Char"/>
    <w:qFormat/>
    <w:rsid w:val="00830F40"/>
    <w:pPr>
      <w:ind w:left="720"/>
      <w:outlineLvl w:val="8"/>
    </w:pPr>
    <w:rPr>
      <w:i/>
    </w:rPr>
  </w:style>
  <w:style w:type="character" w:default="1" w:styleId="DefaultParagraphFont">
    <w:name w:val="Default Paragraph Font"/>
    <w:uiPriority w:val="1"/>
    <w:unhideWhenUsed/>
    <w:rsid w:val="00830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F40"/>
  </w:style>
  <w:style w:type="character" w:customStyle="1" w:styleId="Heading1Char">
    <w:name w:val="Heading 1 Char"/>
    <w:basedOn w:val="DefaultParagraphFont"/>
    <w:link w:val="Heading1"/>
    <w:rsid w:val="00830F40"/>
    <w:rPr>
      <w:rFonts w:ascii="Times New Roman" w:eastAsia="Times New Roman" w:hAnsi="Times New Roman" w:cs="Times New Roman"/>
      <w:b/>
      <w:sz w:val="32"/>
      <w:szCs w:val="20"/>
      <w:lang w:eastAsia="en-US"/>
    </w:rPr>
  </w:style>
  <w:style w:type="paragraph" w:styleId="BodyText">
    <w:name w:val="Body Text"/>
    <w:basedOn w:val="Normal"/>
    <w:link w:val="BodyTextChar"/>
    <w:rsid w:val="00830F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F40"/>
    <w:rPr>
      <w:rFonts w:ascii="Times New Roman" w:eastAsia="Times New Roman" w:hAnsi="Times New Roman" w:cs="Times New Roman"/>
      <w:sz w:val="24"/>
      <w:lang w:eastAsia="en-US"/>
    </w:rPr>
  </w:style>
  <w:style w:type="paragraph" w:styleId="ListBullet">
    <w:name w:val="List Bullet"/>
    <w:basedOn w:val="List"/>
    <w:rsid w:val="00830F40"/>
    <w:pPr>
      <w:numPr>
        <w:numId w:val="13"/>
      </w:numPr>
      <w:tabs>
        <w:tab w:val="clear" w:pos="340"/>
      </w:tabs>
      <w:spacing w:before="40" w:after="40"/>
    </w:pPr>
  </w:style>
  <w:style w:type="character" w:customStyle="1" w:styleId="SpecialBold">
    <w:name w:val="Special Bold"/>
    <w:basedOn w:val="DefaultParagraphFont"/>
    <w:rsid w:val="00830F40"/>
    <w:rPr>
      <w:b/>
      <w:spacing w:val="0"/>
    </w:rPr>
  </w:style>
  <w:style w:type="paragraph" w:styleId="ListBullet2">
    <w:name w:val="List Bullet 2"/>
    <w:basedOn w:val="List2"/>
    <w:rsid w:val="00830F40"/>
    <w:pPr>
      <w:numPr>
        <w:numId w:val="14"/>
      </w:numPr>
      <w:tabs>
        <w:tab w:val="clear" w:pos="680"/>
      </w:tabs>
    </w:pPr>
  </w:style>
  <w:style w:type="paragraph" w:customStyle="1" w:styleId="SuperHeading">
    <w:name w:val="SuperHeading"/>
    <w:basedOn w:val="Normal"/>
    <w:rsid w:val="00830F40"/>
    <w:pPr>
      <w:spacing w:before="240" w:after="120"/>
      <w:outlineLvl w:val="0"/>
    </w:pPr>
    <w:rPr>
      <w:rFonts w:ascii="Times New Roman" w:hAnsi="Times New Roman"/>
      <w:b/>
      <w:sz w:val="32"/>
    </w:rPr>
  </w:style>
  <w:style w:type="paragraph" w:customStyle="1" w:styleId="AllowPageBreak">
    <w:name w:val="AllowPageBreak"/>
    <w:rsid w:val="00830F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F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F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F40"/>
    <w:rPr>
      <w:rFonts w:ascii="Courier New" w:eastAsia="Times New Roman" w:hAnsi="Courier New" w:cs="Times New Roman"/>
      <w:i/>
      <w:szCs w:val="20"/>
      <w:lang w:eastAsia="en-US"/>
    </w:rPr>
  </w:style>
  <w:style w:type="paragraph" w:customStyle="1" w:styleId="HeadingBase">
    <w:name w:val="Heading Base"/>
    <w:rsid w:val="00830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F40"/>
    <w:pPr>
      <w:tabs>
        <w:tab w:val="right" w:leader="dot" w:pos="9072"/>
      </w:tabs>
      <w:ind w:left="567"/>
    </w:pPr>
    <w:rPr>
      <w:szCs w:val="22"/>
    </w:rPr>
  </w:style>
  <w:style w:type="paragraph" w:customStyle="1" w:styleId="TOCBase">
    <w:name w:val="TOC Base"/>
    <w:rsid w:val="00830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F40"/>
    <w:pPr>
      <w:tabs>
        <w:tab w:val="right" w:leader="dot" w:pos="9072"/>
      </w:tabs>
      <w:spacing w:before="40" w:after="40"/>
      <w:ind w:left="284"/>
    </w:pPr>
    <w:rPr>
      <w:rFonts w:ascii="Times New Roman" w:hAnsi="Times New Roman"/>
    </w:rPr>
  </w:style>
  <w:style w:type="paragraph" w:styleId="TOC1">
    <w:name w:val="toc 1"/>
    <w:basedOn w:val="TOCBase"/>
    <w:next w:val="Normal"/>
    <w:rsid w:val="00830F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F40"/>
    <w:rPr>
      <w:rFonts w:ascii="Times New Roman" w:eastAsia="Times New Roman" w:hAnsi="Times New Roman" w:cs="Times New Roman"/>
      <w:sz w:val="16"/>
      <w:lang w:eastAsia="en-US"/>
    </w:rPr>
  </w:style>
  <w:style w:type="paragraph" w:styleId="Title">
    <w:name w:val="Title"/>
    <w:basedOn w:val="HeadingBase"/>
    <w:link w:val="TitleChar"/>
    <w:qFormat/>
    <w:rsid w:val="00830F40"/>
    <w:pPr>
      <w:spacing w:before="5040"/>
      <w:jc w:val="center"/>
    </w:pPr>
    <w:rPr>
      <w:sz w:val="48"/>
      <w:szCs w:val="72"/>
      <w:lang w:val="en-US"/>
    </w:rPr>
  </w:style>
  <w:style w:type="character" w:customStyle="1" w:styleId="TitleChar">
    <w:name w:val="Title Char"/>
    <w:basedOn w:val="DefaultParagraphFont"/>
    <w:link w:val="Title"/>
    <w:rsid w:val="00830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F40"/>
    <w:pPr>
      <w:tabs>
        <w:tab w:val="left" w:pos="3600"/>
        <w:tab w:val="left" w:pos="3958"/>
      </w:tabs>
    </w:pPr>
  </w:style>
  <w:style w:type="paragraph" w:styleId="List">
    <w:name w:val="List"/>
    <w:basedOn w:val="BodyText"/>
    <w:next w:val="BodyText"/>
    <w:rsid w:val="00830F40"/>
    <w:pPr>
      <w:tabs>
        <w:tab w:val="left" w:pos="340"/>
      </w:tabs>
      <w:spacing w:before="60" w:after="60"/>
      <w:ind w:left="340" w:hanging="340"/>
    </w:pPr>
  </w:style>
  <w:style w:type="paragraph" w:customStyle="1" w:styleId="Note">
    <w:name w:val="Note"/>
    <w:basedOn w:val="BodyText"/>
    <w:rsid w:val="00830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F40"/>
    <w:pPr>
      <w:framePr w:wrap="auto" w:hAnchor="text" w:y="6049"/>
    </w:pPr>
    <w:rPr>
      <w:color w:val="000000"/>
      <w:sz w:val="40"/>
    </w:rPr>
  </w:style>
  <w:style w:type="paragraph" w:customStyle="1" w:styleId="TOCTitle">
    <w:name w:val="TOCTitle"/>
    <w:basedOn w:val="Heading1"/>
    <w:rsid w:val="00830F40"/>
    <w:pPr>
      <w:spacing w:after="240"/>
      <w:jc w:val="center"/>
      <w:outlineLvl w:val="9"/>
    </w:pPr>
    <w:rPr>
      <w:caps/>
    </w:rPr>
  </w:style>
  <w:style w:type="paragraph" w:customStyle="1" w:styleId="Version">
    <w:name w:val="Version"/>
    <w:rsid w:val="00830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F40"/>
    <w:pPr>
      <w:keepNext w:val="0"/>
      <w:tabs>
        <w:tab w:val="right" w:pos="4176"/>
      </w:tabs>
      <w:ind w:left="198" w:hanging="198"/>
    </w:pPr>
    <w:rPr>
      <w:rFonts w:ascii="Garamond" w:hAnsi="Garamond"/>
    </w:rPr>
  </w:style>
  <w:style w:type="paragraph" w:styleId="IndexHeading">
    <w:name w:val="index heading"/>
    <w:basedOn w:val="Normal"/>
    <w:next w:val="Index1"/>
    <w:semiHidden/>
    <w:rsid w:val="00830F40"/>
    <w:pPr>
      <w:spacing w:before="120" w:after="120"/>
    </w:pPr>
    <w:rPr>
      <w:rFonts w:ascii="Arial" w:hAnsi="Arial"/>
      <w:b/>
      <w:color w:val="918585"/>
      <w:sz w:val="24"/>
    </w:rPr>
  </w:style>
  <w:style w:type="paragraph" w:styleId="Header">
    <w:name w:val="header"/>
    <w:basedOn w:val="Normal"/>
    <w:link w:val="HeaderChar"/>
    <w:rsid w:val="00830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F40"/>
    <w:rPr>
      <w:rFonts w:ascii="Times New Roman" w:eastAsia="Times New Roman" w:hAnsi="Times New Roman" w:cs="Times New Roman"/>
      <w:sz w:val="16"/>
      <w:szCs w:val="20"/>
      <w:lang w:val="en-GB" w:eastAsia="en-US"/>
    </w:rPr>
  </w:style>
  <w:style w:type="paragraph" w:customStyle="1" w:styleId="Chapter">
    <w:name w:val="Chapter"/>
    <w:basedOn w:val="Normal"/>
    <w:rsid w:val="00830F40"/>
    <w:pPr>
      <w:spacing w:before="240"/>
    </w:pPr>
    <w:rPr>
      <w:rFonts w:ascii="Times New Roman" w:hAnsi="Times New Roman"/>
      <w:smallCaps/>
      <w:spacing w:val="80"/>
      <w:sz w:val="28"/>
    </w:rPr>
  </w:style>
  <w:style w:type="paragraph" w:customStyle="1" w:styleId="InChapter">
    <w:name w:val="InChapter"/>
    <w:basedOn w:val="Heading3"/>
    <w:rsid w:val="00830F40"/>
    <w:pPr>
      <w:spacing w:after="240"/>
      <w:outlineLvl w:val="9"/>
    </w:pPr>
    <w:rPr>
      <w:noProof/>
    </w:rPr>
  </w:style>
  <w:style w:type="paragraph" w:styleId="Index2">
    <w:name w:val="index 2"/>
    <w:basedOn w:val="Normal"/>
    <w:next w:val="Normal"/>
    <w:semiHidden/>
    <w:rsid w:val="00830F40"/>
    <w:pPr>
      <w:tabs>
        <w:tab w:val="right" w:pos="4176"/>
      </w:tabs>
      <w:ind w:left="568" w:hanging="284"/>
    </w:pPr>
    <w:rPr>
      <w:rFonts w:ascii="Garamond" w:hAnsi="Garamond"/>
    </w:rPr>
  </w:style>
  <w:style w:type="paragraph" w:customStyle="1" w:styleId="Byline">
    <w:name w:val="Byline"/>
    <w:rsid w:val="00830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F40"/>
    <w:pPr>
      <w:tabs>
        <w:tab w:val="clear" w:pos="3600"/>
        <w:tab w:val="clear" w:pos="3958"/>
      </w:tabs>
      <w:jc w:val="right"/>
    </w:pPr>
  </w:style>
  <w:style w:type="character" w:styleId="Emphasis">
    <w:name w:val="Emphasis"/>
    <w:basedOn w:val="DefaultParagraphFont"/>
    <w:qFormat/>
    <w:rsid w:val="00830F40"/>
    <w:rPr>
      <w:i/>
    </w:rPr>
  </w:style>
  <w:style w:type="paragraph" w:styleId="Caption">
    <w:name w:val="caption"/>
    <w:basedOn w:val="BodyText"/>
    <w:next w:val="Normal"/>
    <w:qFormat/>
    <w:rsid w:val="00830F40"/>
    <w:pPr>
      <w:framePr w:w="2268" w:hSpace="181" w:vSpace="181" w:wrap="around" w:vAnchor="text" w:hAnchor="page" w:x="1135" w:y="285" w:anchorLock="1"/>
    </w:pPr>
    <w:rPr>
      <w:i/>
    </w:rPr>
  </w:style>
  <w:style w:type="paragraph" w:customStyle="1" w:styleId="MiniTOCTitle">
    <w:name w:val="MiniTOCTitle"/>
    <w:basedOn w:val="Heading4"/>
    <w:rsid w:val="00830F40"/>
    <w:pPr>
      <w:spacing w:before="240"/>
      <w:outlineLvl w:val="9"/>
    </w:pPr>
    <w:rPr>
      <w:noProof/>
      <w:sz w:val="24"/>
    </w:rPr>
  </w:style>
  <w:style w:type="paragraph" w:customStyle="1" w:styleId="MiniTOCItem">
    <w:name w:val="MiniTOCItem"/>
    <w:basedOn w:val="ListBullet"/>
    <w:rsid w:val="00830F40"/>
    <w:pPr>
      <w:numPr>
        <w:numId w:val="0"/>
      </w:numPr>
      <w:tabs>
        <w:tab w:val="right" w:leader="dot" w:pos="6521"/>
      </w:tabs>
      <w:spacing w:before="0" w:after="0"/>
    </w:pPr>
  </w:style>
  <w:style w:type="paragraph" w:customStyle="1" w:styleId="TOFTitle">
    <w:name w:val="TOFTitle"/>
    <w:basedOn w:val="TOCTitle"/>
    <w:rsid w:val="00830F40"/>
  </w:style>
  <w:style w:type="paragraph" w:styleId="TableofFigures">
    <w:name w:val="table of figures"/>
    <w:basedOn w:val="Normal"/>
    <w:next w:val="Normal"/>
    <w:semiHidden/>
    <w:rsid w:val="00830F40"/>
    <w:pPr>
      <w:tabs>
        <w:tab w:val="right" w:leader="dot" w:pos="9072"/>
      </w:tabs>
      <w:ind w:left="970" w:hanging="403"/>
    </w:pPr>
    <w:rPr>
      <w:rFonts w:ascii="Times New Roman" w:hAnsi="Times New Roman"/>
      <w:b/>
    </w:rPr>
  </w:style>
  <w:style w:type="paragraph" w:styleId="ListNumber">
    <w:name w:val="List Number"/>
    <w:basedOn w:val="List"/>
    <w:rsid w:val="00830F40"/>
    <w:pPr>
      <w:numPr>
        <w:numId w:val="11"/>
      </w:numPr>
    </w:pPr>
  </w:style>
  <w:style w:type="character" w:customStyle="1" w:styleId="WingdingSymbols">
    <w:name w:val="Wingding Symbols"/>
    <w:rsid w:val="00830F40"/>
    <w:rPr>
      <w:rFonts w:ascii="Wingdings" w:hAnsi="Wingdings"/>
    </w:rPr>
  </w:style>
  <w:style w:type="paragraph" w:customStyle="1" w:styleId="TableHeading">
    <w:name w:val="Table Heading"/>
    <w:basedOn w:val="HeadingBase"/>
    <w:rsid w:val="00830F40"/>
    <w:pPr>
      <w:keepLines/>
      <w:pBdr>
        <w:bottom w:val="single" w:sz="6" w:space="1" w:color="918585"/>
      </w:pBdr>
      <w:spacing w:before="240"/>
    </w:pPr>
  </w:style>
  <w:style w:type="character" w:customStyle="1" w:styleId="HotSpot">
    <w:name w:val="HotSpot"/>
    <w:rsid w:val="00830F40"/>
    <w:rPr>
      <w:color w:val="0033CC"/>
      <w:u w:val="none"/>
    </w:rPr>
  </w:style>
  <w:style w:type="paragraph" w:customStyle="1" w:styleId="BodyTextRight">
    <w:name w:val="Body Text Right"/>
    <w:basedOn w:val="BodyText"/>
    <w:rsid w:val="00830F40"/>
    <w:pPr>
      <w:spacing w:before="0" w:after="0"/>
      <w:jc w:val="right"/>
    </w:pPr>
  </w:style>
  <w:style w:type="paragraph" w:styleId="Index3">
    <w:name w:val="index 3"/>
    <w:basedOn w:val="ListNumber2"/>
    <w:next w:val="Normal"/>
    <w:semiHidden/>
    <w:rsid w:val="00830F40"/>
    <w:pPr>
      <w:numPr>
        <w:numId w:val="0"/>
      </w:numPr>
      <w:tabs>
        <w:tab w:val="right" w:leader="dot" w:pos="4176"/>
      </w:tabs>
    </w:pPr>
  </w:style>
  <w:style w:type="paragraph" w:styleId="ListNumber2">
    <w:name w:val="List Number 2"/>
    <w:basedOn w:val="List2"/>
    <w:rsid w:val="00830F40"/>
    <w:pPr>
      <w:numPr>
        <w:numId w:val="10"/>
      </w:numPr>
      <w:tabs>
        <w:tab w:val="clear" w:pos="1060"/>
      </w:tabs>
    </w:pPr>
  </w:style>
  <w:style w:type="paragraph" w:customStyle="1" w:styleId="MarginNote">
    <w:name w:val="Margin Note"/>
    <w:basedOn w:val="BodyText"/>
    <w:rsid w:val="00830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F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F40"/>
    <w:rPr>
      <w:sz w:val="32"/>
    </w:rPr>
  </w:style>
  <w:style w:type="paragraph" w:customStyle="1" w:styleId="HeadingProcedure">
    <w:name w:val="Heading Procedure"/>
    <w:basedOn w:val="HeadingBase"/>
    <w:next w:val="Normal"/>
    <w:rsid w:val="00830F40"/>
    <w:pPr>
      <w:tabs>
        <w:tab w:val="left" w:pos="0"/>
      </w:tabs>
      <w:spacing w:before="120" w:after="60"/>
    </w:pPr>
    <w:rPr>
      <w:i/>
      <w:color w:val="918585"/>
      <w:sz w:val="22"/>
    </w:rPr>
  </w:style>
  <w:style w:type="paragraph" w:customStyle="1" w:styleId="TableBodyText">
    <w:name w:val="Table Body Text"/>
    <w:basedOn w:val="BodyText"/>
    <w:rsid w:val="00830F40"/>
    <w:pPr>
      <w:spacing w:before="60" w:after="60"/>
    </w:pPr>
  </w:style>
  <w:style w:type="paragraph" w:styleId="ListContinue">
    <w:name w:val="List Continue"/>
    <w:basedOn w:val="List"/>
    <w:rsid w:val="00830F40"/>
    <w:pPr>
      <w:ind w:firstLine="0"/>
    </w:pPr>
  </w:style>
  <w:style w:type="paragraph" w:customStyle="1" w:styleId="ListNote">
    <w:name w:val="List Note"/>
    <w:basedOn w:val="List"/>
    <w:rsid w:val="00830F40"/>
    <w:pPr>
      <w:pBdr>
        <w:top w:val="single" w:sz="6" w:space="2" w:color="918585"/>
        <w:bottom w:val="single" w:sz="6" w:space="2" w:color="918585"/>
      </w:pBdr>
      <w:tabs>
        <w:tab w:val="left" w:pos="1021"/>
      </w:tabs>
      <w:ind w:firstLine="0"/>
    </w:pPr>
  </w:style>
  <w:style w:type="paragraph" w:customStyle="1" w:styleId="Warning">
    <w:name w:val="Warning"/>
    <w:basedOn w:val="BodyText"/>
    <w:rsid w:val="00830F40"/>
    <w:pPr>
      <w:shd w:val="clear" w:color="auto" w:fill="D9D9D9"/>
      <w:tabs>
        <w:tab w:val="left" w:pos="992"/>
      </w:tabs>
      <w:ind w:left="119" w:right="119"/>
    </w:pPr>
    <w:rPr>
      <w:sz w:val="20"/>
    </w:rPr>
  </w:style>
  <w:style w:type="paragraph" w:customStyle="1" w:styleId="MarginIcons">
    <w:name w:val="Margin Icons"/>
    <w:basedOn w:val="BodyText"/>
    <w:rsid w:val="00830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F40"/>
    <w:rPr>
      <w:rFonts w:ascii="Courier New" w:hAnsi="Courier New"/>
    </w:rPr>
  </w:style>
  <w:style w:type="paragraph" w:customStyle="1" w:styleId="NoteBullet">
    <w:name w:val="Note Bullet"/>
    <w:basedOn w:val="Note"/>
    <w:rsid w:val="00830F40"/>
    <w:pPr>
      <w:tabs>
        <w:tab w:val="clear" w:pos="680"/>
      </w:tabs>
      <w:spacing w:before="60" w:after="60"/>
    </w:pPr>
  </w:style>
  <w:style w:type="paragraph" w:customStyle="1" w:styleId="SubHeading2">
    <w:name w:val="SubHeading2"/>
    <w:basedOn w:val="HeadingBase"/>
    <w:rsid w:val="00830F40"/>
    <w:pPr>
      <w:spacing w:before="240" w:after="60"/>
    </w:pPr>
    <w:rPr>
      <w:sz w:val="20"/>
    </w:rPr>
  </w:style>
  <w:style w:type="paragraph" w:customStyle="1" w:styleId="SubHeading1">
    <w:name w:val="SubHeading1"/>
    <w:basedOn w:val="HeadingBase"/>
    <w:rsid w:val="00830F40"/>
    <w:pPr>
      <w:spacing w:before="240" w:after="60"/>
    </w:pPr>
    <w:rPr>
      <w:color w:val="918585"/>
      <w:sz w:val="22"/>
    </w:rPr>
  </w:style>
  <w:style w:type="paragraph" w:customStyle="1" w:styleId="SideHeading">
    <w:name w:val="Side Heading"/>
    <w:basedOn w:val="HeadingBase"/>
    <w:rsid w:val="00830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F40"/>
    <w:pPr>
      <w:numPr>
        <w:numId w:val="12"/>
      </w:numPr>
    </w:pPr>
  </w:style>
  <w:style w:type="paragraph" w:styleId="PlainText">
    <w:name w:val="Plain Text"/>
    <w:basedOn w:val="Normal"/>
    <w:link w:val="PlainTextChar"/>
    <w:rsid w:val="00830F40"/>
    <w:rPr>
      <w:sz w:val="20"/>
    </w:rPr>
  </w:style>
  <w:style w:type="character" w:customStyle="1" w:styleId="PlainTextChar">
    <w:name w:val="Plain Text Char"/>
    <w:basedOn w:val="DefaultParagraphFont"/>
    <w:link w:val="PlainText"/>
    <w:rsid w:val="00830F40"/>
    <w:rPr>
      <w:rFonts w:ascii="Courier New" w:eastAsia="Times New Roman" w:hAnsi="Courier New" w:cs="Times New Roman"/>
      <w:sz w:val="20"/>
      <w:szCs w:val="20"/>
      <w:lang w:eastAsia="en-US"/>
    </w:rPr>
  </w:style>
  <w:style w:type="character" w:customStyle="1" w:styleId="MenuOption">
    <w:name w:val="Menu Option"/>
    <w:basedOn w:val="DefaultParagraphFont"/>
    <w:rsid w:val="00830F40"/>
    <w:rPr>
      <w:b/>
      <w:smallCaps/>
    </w:rPr>
  </w:style>
  <w:style w:type="paragraph" w:customStyle="1" w:styleId="TableListNumber">
    <w:name w:val="Table List Number"/>
    <w:basedOn w:val="ListNumber"/>
    <w:rsid w:val="00830F40"/>
    <w:pPr>
      <w:numPr>
        <w:numId w:val="0"/>
      </w:numPr>
    </w:pPr>
  </w:style>
  <w:style w:type="paragraph" w:styleId="TOC4">
    <w:name w:val="toc 4"/>
    <w:basedOn w:val="TOCBase"/>
    <w:next w:val="Normal"/>
    <w:semiHidden/>
    <w:rsid w:val="00830F40"/>
    <w:pPr>
      <w:tabs>
        <w:tab w:val="right" w:leader="dot" w:pos="9071"/>
      </w:tabs>
      <w:ind w:left="1701"/>
    </w:pPr>
  </w:style>
  <w:style w:type="paragraph" w:customStyle="1" w:styleId="ListAlpha">
    <w:name w:val="List Alpha"/>
    <w:basedOn w:val="List"/>
    <w:rsid w:val="00830F40"/>
    <w:pPr>
      <w:numPr>
        <w:numId w:val="9"/>
      </w:numPr>
    </w:pPr>
  </w:style>
  <w:style w:type="paragraph" w:customStyle="1" w:styleId="ListAlpha2">
    <w:name w:val="List Alpha 2"/>
    <w:basedOn w:val="List2"/>
    <w:rsid w:val="00830F40"/>
    <w:pPr>
      <w:numPr>
        <w:numId w:val="8"/>
      </w:numPr>
    </w:pPr>
  </w:style>
  <w:style w:type="paragraph" w:styleId="List2">
    <w:name w:val="List 2"/>
    <w:basedOn w:val="BodyText"/>
    <w:rsid w:val="00830F40"/>
    <w:pPr>
      <w:tabs>
        <w:tab w:val="left" w:pos="680"/>
      </w:tabs>
      <w:spacing w:before="60" w:after="60"/>
      <w:ind w:left="680" w:hanging="340"/>
    </w:pPr>
  </w:style>
  <w:style w:type="paragraph" w:styleId="List3">
    <w:name w:val="List 3"/>
    <w:basedOn w:val="BodyText"/>
    <w:rsid w:val="00830F40"/>
    <w:pPr>
      <w:tabs>
        <w:tab w:val="left" w:pos="1021"/>
      </w:tabs>
      <w:spacing w:before="60" w:after="60"/>
      <w:ind w:left="1020" w:hanging="340"/>
    </w:pPr>
  </w:style>
  <w:style w:type="paragraph" w:styleId="List4">
    <w:name w:val="List 4"/>
    <w:basedOn w:val="BodyText"/>
    <w:rsid w:val="00830F40"/>
    <w:pPr>
      <w:tabs>
        <w:tab w:val="left" w:pos="1361"/>
      </w:tabs>
      <w:spacing w:before="60" w:after="60"/>
      <w:ind w:left="1361" w:hanging="340"/>
    </w:pPr>
  </w:style>
  <w:style w:type="paragraph" w:styleId="List5">
    <w:name w:val="List 5"/>
    <w:basedOn w:val="BodyText"/>
    <w:rsid w:val="00830F40"/>
    <w:pPr>
      <w:tabs>
        <w:tab w:val="left" w:pos="1701"/>
      </w:tabs>
      <w:spacing w:before="60" w:after="60"/>
      <w:ind w:left="1701" w:hanging="340"/>
    </w:pPr>
  </w:style>
  <w:style w:type="paragraph" w:styleId="ListBullet3">
    <w:name w:val="List Bullet 3"/>
    <w:basedOn w:val="List3"/>
    <w:rsid w:val="00830F40"/>
    <w:pPr>
      <w:numPr>
        <w:numId w:val="15"/>
      </w:numPr>
      <w:tabs>
        <w:tab w:val="clear" w:pos="1021"/>
      </w:tabs>
      <w:ind w:left="1037" w:hanging="357"/>
    </w:pPr>
  </w:style>
  <w:style w:type="paragraph" w:styleId="ListBullet4">
    <w:name w:val="List Bullet 4"/>
    <w:basedOn w:val="List4"/>
    <w:rsid w:val="00830F40"/>
    <w:pPr>
      <w:numPr>
        <w:numId w:val="3"/>
      </w:numPr>
    </w:pPr>
  </w:style>
  <w:style w:type="paragraph" w:styleId="ListBullet5">
    <w:name w:val="List Bullet 5"/>
    <w:basedOn w:val="List5"/>
    <w:rsid w:val="00830F40"/>
    <w:pPr>
      <w:numPr>
        <w:numId w:val="4"/>
      </w:numPr>
    </w:pPr>
  </w:style>
  <w:style w:type="paragraph" w:styleId="ListContinue2">
    <w:name w:val="List Continue 2"/>
    <w:basedOn w:val="List2"/>
    <w:rsid w:val="00830F40"/>
    <w:pPr>
      <w:ind w:firstLine="0"/>
    </w:pPr>
  </w:style>
  <w:style w:type="paragraph" w:styleId="ListContinue3">
    <w:name w:val="List Continue 3"/>
    <w:basedOn w:val="List3"/>
    <w:rsid w:val="00830F40"/>
    <w:pPr>
      <w:ind w:left="1021" w:firstLine="0"/>
    </w:pPr>
  </w:style>
  <w:style w:type="paragraph" w:styleId="ListContinue4">
    <w:name w:val="List Continue 4"/>
    <w:basedOn w:val="List4"/>
    <w:rsid w:val="00830F40"/>
    <w:pPr>
      <w:ind w:firstLine="0"/>
    </w:pPr>
  </w:style>
  <w:style w:type="paragraph" w:styleId="ListContinue5">
    <w:name w:val="List Continue 5"/>
    <w:basedOn w:val="List5"/>
    <w:rsid w:val="00830F40"/>
    <w:pPr>
      <w:ind w:firstLine="0"/>
    </w:pPr>
  </w:style>
  <w:style w:type="paragraph" w:styleId="ListNumber3">
    <w:name w:val="List Number 3"/>
    <w:basedOn w:val="List3"/>
    <w:rsid w:val="00830F40"/>
    <w:pPr>
      <w:numPr>
        <w:numId w:val="5"/>
      </w:numPr>
    </w:pPr>
  </w:style>
  <w:style w:type="paragraph" w:styleId="ListNumber4">
    <w:name w:val="List Number 4"/>
    <w:basedOn w:val="List4"/>
    <w:rsid w:val="00830F40"/>
    <w:pPr>
      <w:numPr>
        <w:numId w:val="6"/>
      </w:numPr>
    </w:pPr>
  </w:style>
  <w:style w:type="paragraph" w:styleId="ListNumber5">
    <w:name w:val="List Number 5"/>
    <w:basedOn w:val="List5"/>
    <w:rsid w:val="00830F40"/>
    <w:pPr>
      <w:numPr>
        <w:numId w:val="7"/>
      </w:numPr>
    </w:pPr>
  </w:style>
  <w:style w:type="paragraph" w:styleId="BlockText">
    <w:name w:val="Block Text"/>
    <w:basedOn w:val="Normal"/>
    <w:rsid w:val="00830F40"/>
    <w:pPr>
      <w:spacing w:after="120"/>
      <w:ind w:left="1440" w:right="1440"/>
    </w:pPr>
  </w:style>
  <w:style w:type="character" w:customStyle="1" w:styleId="Subscript">
    <w:name w:val="Subscript"/>
    <w:basedOn w:val="DefaultParagraphFont"/>
    <w:rsid w:val="00830F40"/>
    <w:rPr>
      <w:sz w:val="16"/>
      <w:vertAlign w:val="subscript"/>
    </w:rPr>
  </w:style>
  <w:style w:type="character" w:customStyle="1" w:styleId="Superscript">
    <w:name w:val="Superscript"/>
    <w:basedOn w:val="DefaultParagraphFont"/>
    <w:rsid w:val="00830F40"/>
    <w:rPr>
      <w:sz w:val="16"/>
      <w:vertAlign w:val="superscript"/>
    </w:rPr>
  </w:style>
  <w:style w:type="character" w:customStyle="1" w:styleId="Symbols">
    <w:name w:val="Symbols"/>
    <w:basedOn w:val="DefaultParagraphFont"/>
    <w:rsid w:val="00830F40"/>
    <w:rPr>
      <w:rFonts w:ascii="Symbol" w:hAnsi="Symbol"/>
    </w:rPr>
  </w:style>
  <w:style w:type="character" w:customStyle="1" w:styleId="MenuOptions">
    <w:name w:val="Menu Options"/>
    <w:basedOn w:val="DefaultParagraphFont"/>
    <w:rsid w:val="00830F40"/>
    <w:rPr>
      <w:rFonts w:ascii="Arial Narrow" w:hAnsi="Arial Narrow"/>
      <w:smallCaps/>
    </w:rPr>
  </w:style>
  <w:style w:type="character" w:customStyle="1" w:styleId="Buttons">
    <w:name w:val="Buttons"/>
    <w:basedOn w:val="DefaultParagraphFont"/>
    <w:rsid w:val="00830F40"/>
    <w:rPr>
      <w:b/>
    </w:rPr>
  </w:style>
  <w:style w:type="character" w:customStyle="1" w:styleId="Underlined">
    <w:name w:val="Underlined"/>
    <w:basedOn w:val="DefaultParagraphFont"/>
    <w:rsid w:val="00830F40"/>
    <w:rPr>
      <w:u w:val="single"/>
    </w:rPr>
  </w:style>
  <w:style w:type="paragraph" w:customStyle="1" w:styleId="TableBodyTextRight">
    <w:name w:val="Table Body Text Right"/>
    <w:basedOn w:val="TableBodyText"/>
    <w:rsid w:val="00830F40"/>
    <w:pPr>
      <w:widowControl w:val="0"/>
      <w:autoSpaceDE w:val="0"/>
      <w:autoSpaceDN w:val="0"/>
      <w:adjustRightInd w:val="0"/>
      <w:jc w:val="right"/>
    </w:pPr>
    <w:rPr>
      <w:rFonts w:cs="Arial"/>
      <w:szCs w:val="18"/>
    </w:rPr>
  </w:style>
  <w:style w:type="paragraph" w:customStyle="1" w:styleId="CopyrightText">
    <w:name w:val="Copyright Text"/>
    <w:basedOn w:val="BodyText"/>
    <w:rsid w:val="00830F40"/>
    <w:rPr>
      <w:sz w:val="18"/>
    </w:rPr>
  </w:style>
  <w:style w:type="paragraph" w:customStyle="1" w:styleId="BodySmallRight">
    <w:name w:val="Body Small Right"/>
    <w:basedOn w:val="BodyTextRight"/>
    <w:rsid w:val="00830F40"/>
    <w:rPr>
      <w:sz w:val="18"/>
      <w:szCs w:val="18"/>
    </w:rPr>
  </w:style>
  <w:style w:type="paragraph" w:customStyle="1" w:styleId="MarginEdition">
    <w:name w:val="Margin Edition"/>
    <w:basedOn w:val="MarginNote"/>
    <w:rsid w:val="00830F40"/>
    <w:pPr>
      <w:spacing w:before="0" w:after="0"/>
    </w:pPr>
    <w:rPr>
      <w:rFonts w:ascii="Times New Roman" w:hAnsi="Times New Roman"/>
      <w:color w:val="999999"/>
    </w:rPr>
  </w:style>
  <w:style w:type="paragraph" w:customStyle="1" w:styleId="Spacer">
    <w:name w:val="Spacer"/>
    <w:basedOn w:val="Normal"/>
    <w:rsid w:val="00830F40"/>
    <w:rPr>
      <w:sz w:val="2"/>
      <w:szCs w:val="2"/>
    </w:rPr>
  </w:style>
  <w:style w:type="character" w:customStyle="1" w:styleId="Small">
    <w:name w:val="Small"/>
    <w:basedOn w:val="DefaultParagraphFont"/>
    <w:rsid w:val="00830F40"/>
    <w:rPr>
      <w:sz w:val="16"/>
    </w:rPr>
  </w:style>
  <w:style w:type="paragraph" w:customStyle="1" w:styleId="WideTable">
    <w:name w:val="Wide Table"/>
    <w:basedOn w:val="Normal"/>
    <w:rsid w:val="00830F40"/>
    <w:pPr>
      <w:ind w:left="-1418"/>
    </w:pPr>
    <w:rPr>
      <w:sz w:val="2"/>
      <w:szCs w:val="2"/>
    </w:rPr>
  </w:style>
  <w:style w:type="character" w:styleId="PageNumber">
    <w:name w:val="page number"/>
    <w:basedOn w:val="DefaultParagraphFont"/>
    <w:rsid w:val="00830F40"/>
  </w:style>
  <w:style w:type="paragraph" w:styleId="Quote">
    <w:name w:val="Quote"/>
    <w:basedOn w:val="Heading1"/>
    <w:link w:val="QuoteChar"/>
    <w:qFormat/>
    <w:rsid w:val="00830F40"/>
    <w:rPr>
      <w:b w:val="0"/>
      <w:sz w:val="72"/>
      <w:szCs w:val="72"/>
      <w:lang w:val="en-NZ"/>
    </w:rPr>
  </w:style>
  <w:style w:type="character" w:customStyle="1" w:styleId="QuoteChar">
    <w:name w:val="Quote Char"/>
    <w:basedOn w:val="DefaultParagraphFont"/>
    <w:link w:val="Quote"/>
    <w:rsid w:val="00830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F40"/>
    <w:pPr>
      <w:pageBreakBefore/>
    </w:pPr>
  </w:style>
  <w:style w:type="paragraph" w:customStyle="1" w:styleId="Border">
    <w:name w:val="Border"/>
    <w:basedOn w:val="Normal"/>
    <w:qFormat/>
    <w:rsid w:val="00830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F40"/>
    <w:rPr>
      <w:b/>
      <w:bCs/>
      <w:i/>
      <w:iCs/>
      <w:color w:val="auto"/>
    </w:rPr>
  </w:style>
  <w:style w:type="paragraph" w:styleId="IntenseQuote">
    <w:name w:val="Intense Quote"/>
    <w:basedOn w:val="Normal"/>
    <w:next w:val="Normal"/>
    <w:link w:val="IntenseQuoteChar"/>
    <w:uiPriority w:val="30"/>
    <w:qFormat/>
    <w:rsid w:val="00830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F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F40"/>
    <w:rPr>
      <w:smallCaps/>
      <w:color w:val="auto"/>
      <w:u w:val="single"/>
    </w:rPr>
  </w:style>
  <w:style w:type="character" w:styleId="IntenseReference">
    <w:name w:val="Intense Reference"/>
    <w:basedOn w:val="DefaultParagraphFont"/>
    <w:uiPriority w:val="32"/>
    <w:qFormat/>
    <w:rsid w:val="00830F40"/>
    <w:rPr>
      <w:b/>
      <w:bCs/>
      <w:smallCaps/>
      <w:color w:val="auto"/>
      <w:spacing w:val="5"/>
      <w:u w:val="single"/>
    </w:rPr>
  </w:style>
  <w:style w:type="paragraph" w:customStyle="1" w:styleId="2ColumnHeading">
    <w:name w:val="2Column Heading"/>
    <w:basedOn w:val="BodyText"/>
    <w:qFormat/>
    <w:rsid w:val="00830F40"/>
    <w:pPr>
      <w:spacing w:after="60"/>
      <w:ind w:left="-2268"/>
    </w:pPr>
    <w:rPr>
      <w:b/>
    </w:rPr>
  </w:style>
  <w:style w:type="paragraph" w:customStyle="1" w:styleId="Heading1TOC">
    <w:name w:val="Heading1 TOC"/>
    <w:basedOn w:val="Normal"/>
    <w:qFormat/>
    <w:rsid w:val="00830F40"/>
    <w:pPr>
      <w:spacing w:before="240" w:after="120"/>
    </w:pPr>
    <w:rPr>
      <w:rFonts w:ascii="Times New Roman" w:hAnsi="Times New Roman"/>
      <w:b/>
      <w:sz w:val="32"/>
    </w:rPr>
  </w:style>
  <w:style w:type="paragraph" w:customStyle="1" w:styleId="Heading2TOC">
    <w:name w:val="Heading2 TOC"/>
    <w:basedOn w:val="Normal"/>
    <w:qFormat/>
    <w:rsid w:val="00830F40"/>
    <w:pPr>
      <w:spacing w:before="240" w:after="60"/>
    </w:pPr>
    <w:rPr>
      <w:rFonts w:ascii="Times New Roman" w:hAnsi="Times New Roman"/>
      <w:b/>
      <w:sz w:val="28"/>
    </w:rPr>
  </w:style>
  <w:style w:type="character" w:customStyle="1" w:styleId="Underline">
    <w:name w:val="Underline"/>
    <w:basedOn w:val="DefaultParagraphFont"/>
    <w:qFormat/>
    <w:rsid w:val="00830F40"/>
    <w:rPr>
      <w:u w:val="single"/>
    </w:rPr>
  </w:style>
  <w:style w:type="character" w:customStyle="1" w:styleId="BoldandItalics">
    <w:name w:val="Bold and Italics"/>
    <w:qFormat/>
    <w:rsid w:val="00830F40"/>
    <w:rPr>
      <w:b/>
      <w:i/>
      <w:u w:val="none"/>
    </w:rPr>
  </w:style>
  <w:style w:type="paragraph" w:styleId="BalloonText">
    <w:name w:val="Balloon Text"/>
    <w:basedOn w:val="Normal"/>
    <w:link w:val="BalloonTextChar"/>
    <w:rsid w:val="00830F40"/>
    <w:rPr>
      <w:rFonts w:ascii="Tahoma" w:hAnsi="Tahoma" w:cs="Tahoma"/>
      <w:sz w:val="16"/>
      <w:szCs w:val="16"/>
    </w:rPr>
  </w:style>
  <w:style w:type="character" w:customStyle="1" w:styleId="BalloonTextChar">
    <w:name w:val="Balloon Text Char"/>
    <w:basedOn w:val="DefaultParagraphFont"/>
    <w:link w:val="BalloonText"/>
    <w:rsid w:val="00830F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F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F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F40"/>
    <w:rPr>
      <w:b/>
      <w:color w:val="660033"/>
      <w:spacing w:val="0"/>
    </w:rPr>
  </w:style>
  <w:style w:type="paragraph" w:customStyle="1" w:styleId="Nameditemlist">
    <w:name w:val="Named item list"/>
    <w:basedOn w:val="BodyText"/>
    <w:qFormat/>
    <w:rsid w:val="00830F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2734</Words>
  <Characters>16960</Characters>
  <Application>Microsoft Office Word</Application>
  <DocSecurity>0</DocSecurity>
  <Lines>673</Lines>
  <Paragraphs>279</Paragraphs>
  <ScaleCrop>false</ScaleCrop>
  <Company>Author-it Software Corporation Ltd.</Company>
  <LinksUpToDate>false</LinksUpToDate>
  <CharactersWithSpaces>19520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UEENEEF101A Install and connect cabling for direct access to telecommunications service</dc:title>
  <dc:subject>Approved</dc:subject>
  <dc:creator>E-OZ Training Standards</dc:creator>
  <cp:keywords>Release: 2</cp:keywords>
  <dc:description>Review Date: 12 April 2008</dc:description>
  <cp:lastModifiedBy>HSD_TPCMSd.prod</cp:lastModifiedBy>
  <cp:revision>3</cp:revision>
  <dcterms:created xsi:type="dcterms:W3CDTF">2013-08-14T07:23:00Z</dcterms:created>
  <dcterms:modified xsi:type="dcterms:W3CDTF">2013-08-14T07:23:00Z</dcterms:modified>
</cp:coreProperties>
</file>