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01C" w:rsidP="0031601C">
      <w:pPr>
        <w:pStyle w:val="Title"/>
      </w:pPr>
      <w:bookmarkStart w:id="0" w:name="_GoBack"/>
      <w:bookmarkEnd w:id="0"/>
      <w:r>
        <w:fldChar w:fldCharType="begin"/>
      </w:r>
      <w:r>
        <w:instrText xml:space="preserve"> TITLE   \* MERGEFORMAT </w:instrText>
      </w:r>
      <w:r>
        <w:fldChar w:fldCharType="separate"/>
      </w:r>
      <w:r>
        <w:t>UEENEEE160A Provide engineering solutions for uses of materials and thermodynamic effects</w:t>
      </w:r>
      <w:r>
        <w:fldChar w:fldCharType="end"/>
      </w:r>
    </w:p>
    <w:p w:rsidR="0031601C" w:rsidP="0031601C">
      <w:pPr>
        <w:pStyle w:val="Version"/>
        <w:sectPr w:rsidSect="003225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5AC" w:rsidP="003225AC">
      <w:pPr>
        <w:pStyle w:val="SuperHeading"/>
      </w:pPr>
      <w:r w:rsidRPr="003225AC">
        <w:t>UEENEEE160A Provide engineering solutions for uses of materials and thermodynamic effects</w:t>
      </w:r>
    </w:p>
    <w:p w:rsidR="00000000" w:rsidRPr="003225AC" w:rsidP="003225AC">
      <w:pPr>
        <w:pStyle w:val="Heading1"/>
      </w:pPr>
      <w:bookmarkStart w:id="1" w:name="O_418423"/>
      <w:bookmarkEnd w:id="1"/>
      <w:r w:rsidRPr="003225AC">
        <w:t>Modification History</w:t>
      </w:r>
    </w:p>
    <w:p w:rsidR="00000000" w:rsidRPr="003225AC" w:rsidP="003225AC">
      <w:pPr>
        <w:pStyle w:val="BodyText"/>
      </w:pPr>
      <w:r w:rsidRPr="003225AC">
        <w:t>Not applicable.</w:t>
      </w:r>
    </w:p>
    <w:p w:rsidR="00000000" w:rsidRPr="003225AC" w:rsidP="003225AC">
      <w:pPr>
        <w:pStyle w:val="AllowPageBreak"/>
      </w:pPr>
    </w:p>
    <w:p w:rsidR="00000000" w:rsidRPr="003225AC" w:rsidP="003225AC">
      <w:pPr>
        <w:pStyle w:val="Heading1"/>
      </w:pPr>
      <w:bookmarkStart w:id="2" w:name="O_418421"/>
      <w:bookmarkEnd w:id="2"/>
      <w:r w:rsidRPr="003225AC">
        <w:t>Unit Descriptor</w:t>
      </w:r>
    </w:p>
    <w:tbl>
      <w:tblPr>
        <w:tblW w:w="0" w:type="auto"/>
        <w:tblLayout w:type="fixed"/>
        <w:tblCellMar>
          <w:left w:w="62" w:type="dxa"/>
          <w:right w:w="62" w:type="dxa"/>
        </w:tblCellMar>
        <w:tblLook w:val="0000"/>
      </w:tblPr>
      <w:tblGrid>
        <w:gridCol w:w="2700"/>
        <w:gridCol w:w="5760"/>
      </w:tblGrid>
      <w:tr w:rsidTr="003160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rPr>
                <w:rStyle w:val="SpecialBold"/>
              </w:rPr>
              <w:t>1)</w:t>
            </w:r>
            <w:r w:rsidRPr="003225AC">
              <w:t xml:space="preserve"> </w:t>
            </w:r>
            <w:r w:rsidRPr="003225AC">
              <w:rPr>
                <w:rStyle w:val="SpecialBold"/>
              </w:rPr>
              <w:t>Scope:</w:t>
            </w:r>
          </w:p>
        </w:tc>
      </w:tr>
      <w:tr w:rsidTr="003160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225A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rPr>
                <w:rStyle w:val="SpecialBold"/>
              </w:rPr>
              <w:t>1.1) Descriptor</w:t>
            </w:r>
          </w:p>
        </w:tc>
      </w:tr>
      <w:tr w:rsidTr="003160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t>This unit covers the engineering solution for the appropriate selection and use of materials and thermodynamic effects relative to an electrotechnology problem. It encompasses working safely, problem solving procedures, including using measuring instrument</w:t>
            </w:r>
            <w:r w:rsidRPr="003225AC">
              <w:t>s, applying appropriate theorems and providing solutions derived from measurements and calculations and justification for such solutions.</w:t>
            </w:r>
          </w:p>
        </w:tc>
      </w:tr>
    </w:tbl>
    <w:p w:rsidR="00000000" w:rsidRPr="003225AC" w:rsidP="003225AC">
      <w:pPr>
        <w:pStyle w:val="BodyText"/>
      </w:pPr>
    </w:p>
    <w:p w:rsidR="00000000" w:rsidRPr="003225AC" w:rsidP="003225AC">
      <w:pPr>
        <w:pStyle w:val="AllowPageBreak"/>
      </w:pPr>
    </w:p>
    <w:p w:rsidR="00000000" w:rsidRPr="003225AC" w:rsidP="003225AC">
      <w:pPr>
        <w:pStyle w:val="Heading1"/>
      </w:pPr>
      <w:bookmarkStart w:id="3" w:name="O_418410"/>
      <w:bookmarkEnd w:id="3"/>
      <w:r w:rsidRPr="003225AC">
        <w:t>Application of the Unit</w:t>
      </w:r>
    </w:p>
    <w:tbl>
      <w:tblPr>
        <w:tblW w:w="0" w:type="auto"/>
        <w:tblLayout w:type="fixed"/>
        <w:tblCellMar>
          <w:left w:w="62" w:type="dxa"/>
          <w:right w:w="62" w:type="dxa"/>
        </w:tblCellMar>
        <w:tblLook w:val="0000"/>
      </w:tblPr>
      <w:tblGrid>
        <w:gridCol w:w="2672"/>
        <w:gridCol w:w="5699"/>
      </w:tblGrid>
      <w:tr w:rsidTr="0031601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rPr>
                <w:rStyle w:val="SpecialBold"/>
              </w:rPr>
              <w:t>2)</w:t>
            </w:r>
          </w:p>
        </w:tc>
      </w:tr>
      <w:tr w:rsidTr="0031601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t>This unit is intended to apply to any recognised development program that leads to the acquisition of a formal award at AQF level 6. It may also be suitable for employment-based programs under an approved contract of training.</w:t>
            </w:r>
          </w:p>
        </w:tc>
      </w:tr>
    </w:tbl>
    <w:p w:rsidR="00000000" w:rsidRPr="003225AC" w:rsidP="003225AC">
      <w:pPr>
        <w:pStyle w:val="BodyText"/>
      </w:pPr>
    </w:p>
    <w:p w:rsidR="00000000" w:rsidRPr="003225AC" w:rsidP="003225AC">
      <w:pPr>
        <w:pStyle w:val="AllowPageBreak"/>
      </w:pPr>
    </w:p>
    <w:p w:rsidR="00000000" w:rsidRPr="003225AC" w:rsidP="003225AC">
      <w:pPr>
        <w:pStyle w:val="Heading1"/>
      </w:pPr>
      <w:bookmarkStart w:id="4" w:name="O_418417"/>
      <w:bookmarkEnd w:id="4"/>
      <w:r w:rsidRPr="003225AC">
        <w:t>Licensing/</w:t>
      </w:r>
      <w:r w:rsidRPr="003225AC">
        <w:t>Regulatory Information</w:t>
      </w:r>
    </w:p>
    <w:tbl>
      <w:tblPr>
        <w:tblW w:w="0" w:type="auto"/>
        <w:tblLayout w:type="fixed"/>
        <w:tblCellMar>
          <w:left w:w="62" w:type="dxa"/>
          <w:right w:w="62" w:type="dxa"/>
        </w:tblCellMar>
        <w:tblLook w:val="0000"/>
      </w:tblPr>
      <w:tblGrid>
        <w:gridCol w:w="2700"/>
        <w:gridCol w:w="5760"/>
      </w:tblGrid>
      <w:tr w:rsidTr="003160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rPr>
                <w:rStyle w:val="SpecialBold"/>
              </w:rPr>
              <w:t xml:space="preserve">3) </w:t>
            </w:r>
          </w:p>
        </w:tc>
      </w:tr>
      <w:tr w:rsidTr="003160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t>The skills and knowledge described in this unit do not require a license to practice in the workplace. However, practice in this unit is subject to regulations directly related to occupational health and saf</w:t>
            </w:r>
            <w:r w:rsidRPr="003225AC">
              <w:t xml:space="preserve">ety, codes of work practice and standard work procedures related to the characteristics and behaviour of material in an engineering </w:t>
            </w:r>
            <w:r w:rsidRPr="003225AC">
              <w:t>environment.</w:t>
            </w:r>
          </w:p>
        </w:tc>
      </w:tr>
    </w:tbl>
    <w:p w:rsidR="00000000" w:rsidRPr="003225AC" w:rsidP="003225AC">
      <w:pPr>
        <w:pStyle w:val="BodyText"/>
      </w:pPr>
    </w:p>
    <w:p w:rsidR="00000000" w:rsidRPr="003225AC" w:rsidP="003225AC">
      <w:pPr>
        <w:pStyle w:val="AllowPageBreak"/>
      </w:pPr>
    </w:p>
    <w:p w:rsidR="00000000" w:rsidRPr="003225AC" w:rsidP="003225AC">
      <w:pPr>
        <w:pStyle w:val="Heading1"/>
      </w:pPr>
      <w:bookmarkStart w:id="5" w:name="O_418418"/>
      <w:bookmarkEnd w:id="5"/>
      <w:r w:rsidRPr="003225AC">
        <w:t>Pre-Requisites</w:t>
      </w:r>
    </w:p>
    <w:tbl>
      <w:tblPr>
        <w:tblW w:w="0" w:type="auto"/>
        <w:tblLayout w:type="fixed"/>
        <w:tblCellMar>
          <w:left w:w="62" w:type="dxa"/>
          <w:right w:w="62" w:type="dxa"/>
        </w:tblCellMar>
        <w:tblLook w:val="0000"/>
      </w:tblPr>
      <w:tblGrid>
        <w:gridCol w:w="2700"/>
        <w:gridCol w:w="1440"/>
        <w:gridCol w:w="4320"/>
      </w:tblGrid>
      <w:tr w:rsidTr="003160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rPr>
                <w:rStyle w:val="SpecialBold"/>
              </w:rPr>
              <w:t xml:space="preserve">4) </w:t>
            </w:r>
          </w:p>
        </w:tc>
      </w:tr>
      <w:tr w:rsidTr="003160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rPr>
                <w:rStyle w:val="SpecialBold"/>
              </w:rPr>
              <w:t>4.1)</w:t>
            </w:r>
          </w:p>
        </w:tc>
      </w:tr>
      <w:tr w:rsidTr="003160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Granting competency in this unit shall be made only after competency in the following unit(s) has/have been confirmed.</w:t>
            </w:r>
          </w:p>
        </w:tc>
      </w:tr>
      <w:tr w:rsidTr="0031601C">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UEENEEE101A</w:t>
            </w:r>
          </w:p>
        </w:tc>
        <w:tc>
          <w:tcPr>
            <w:tcW w:w="432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t>Apply Occupational Health and Safety regulations, codes and practices in the workplace</w:t>
            </w:r>
          </w:p>
        </w:tc>
      </w:tr>
    </w:tbl>
    <w:p w:rsidR="00000000" w:rsidRPr="003225AC" w:rsidP="003225A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1601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rPr>
                <w:rStyle w:val="SpecialBold"/>
              </w:rPr>
              <w:t>4.2)</w:t>
            </w:r>
            <w:r w:rsidRPr="003225AC">
              <w:rPr>
                <w:rStyle w:val="SpecialBold"/>
              </w:rPr>
              <w:t xml:space="preserve"> </w:t>
            </w:r>
          </w:p>
        </w:tc>
      </w:tr>
      <w:tr w:rsidTr="003160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Participants are best equipped to achieve competency in this unit if they have reading, writing and numeracy skills indicated by the following scales. Description of each scale is given in Volume 2, Part 3 ‘Literacy and Numeracy’</w:t>
            </w:r>
          </w:p>
        </w:tc>
      </w:tr>
      <w:tr w:rsidTr="003160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Reading</w:t>
            </w:r>
          </w:p>
        </w:tc>
        <w:tc>
          <w:tcPr>
            <w:tcW w:w="810"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5</w:t>
            </w:r>
          </w:p>
        </w:tc>
        <w:tc>
          <w:tcPr>
            <w:tcW w:w="990"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Writing</w:t>
            </w:r>
          </w:p>
        </w:tc>
        <w:tc>
          <w:tcPr>
            <w:tcW w:w="900"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5</w:t>
            </w:r>
          </w:p>
        </w:tc>
        <w:tc>
          <w:tcPr>
            <w:tcW w:w="1260"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Numeracy</w:t>
            </w:r>
          </w:p>
        </w:tc>
        <w:tc>
          <w:tcPr>
            <w:tcW w:w="72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t>5</w:t>
            </w:r>
          </w:p>
        </w:tc>
      </w:tr>
    </w:tbl>
    <w:p w:rsidR="00000000" w:rsidRPr="003225AC" w:rsidP="003225AC">
      <w:pPr>
        <w:pStyle w:val="BodyText"/>
      </w:pPr>
    </w:p>
    <w:p w:rsidR="00000000" w:rsidRPr="003225AC" w:rsidP="003225AC">
      <w:pPr>
        <w:pStyle w:val="AllowPageBreak"/>
      </w:pPr>
    </w:p>
    <w:p w:rsidR="00000000" w:rsidRPr="003225AC" w:rsidP="003225AC">
      <w:pPr>
        <w:pStyle w:val="Heading1"/>
      </w:pPr>
      <w:bookmarkStart w:id="6" w:name="O_418414"/>
      <w:bookmarkEnd w:id="6"/>
      <w:r w:rsidRPr="003225AC">
        <w:t>Employability Skills Information</w:t>
      </w:r>
    </w:p>
    <w:tbl>
      <w:tblPr>
        <w:tblW w:w="0" w:type="auto"/>
        <w:tblLayout w:type="fixed"/>
        <w:tblCellMar>
          <w:left w:w="62" w:type="dxa"/>
          <w:right w:w="62" w:type="dxa"/>
        </w:tblCellMar>
        <w:tblLook w:val="0000"/>
      </w:tblPr>
      <w:tblGrid>
        <w:gridCol w:w="2700"/>
        <w:gridCol w:w="5760"/>
      </w:tblGrid>
      <w:tr w:rsidTr="003160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rPr>
                <w:rStyle w:val="SpecialBold"/>
              </w:rPr>
              <w:t xml:space="preserve">5) </w:t>
            </w:r>
          </w:p>
        </w:tc>
      </w:tr>
      <w:tr w:rsidTr="003160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t>This unit contains Employability Skills</w:t>
            </w:r>
          </w:p>
          <w:p w:rsidR="00000000" w:rsidRPr="003225AC" w:rsidP="003225AC">
            <w:pPr>
              <w:pStyle w:val="BodyText"/>
            </w:pPr>
            <w:r w:rsidRPr="003225A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225AC">
              <w:t>requirements.</w:t>
            </w:r>
          </w:p>
        </w:tc>
      </w:tr>
    </w:tbl>
    <w:p w:rsidR="00000000" w:rsidRPr="003225AC" w:rsidP="003225AC">
      <w:pPr>
        <w:pStyle w:val="BodyText"/>
      </w:pPr>
    </w:p>
    <w:p w:rsidR="00000000" w:rsidRPr="003225AC" w:rsidP="003225AC">
      <w:pPr>
        <w:pStyle w:val="AllowPageBreak"/>
      </w:pPr>
    </w:p>
    <w:p w:rsidR="00000000" w:rsidRPr="003225AC" w:rsidP="003225AC">
      <w:pPr>
        <w:pStyle w:val="Heading1"/>
      </w:pPr>
      <w:bookmarkStart w:id="7" w:name="O_418413"/>
      <w:bookmarkEnd w:id="7"/>
      <w:r w:rsidRPr="003225AC">
        <w:t>Elements and Performance Criteria Pre-Content</w:t>
      </w:r>
    </w:p>
    <w:tbl>
      <w:tblPr>
        <w:tblW w:w="0" w:type="auto"/>
        <w:tblLayout w:type="fixed"/>
        <w:tblCellMar>
          <w:left w:w="62" w:type="dxa"/>
          <w:right w:w="62" w:type="dxa"/>
        </w:tblCellMar>
        <w:tblLook w:val="0000"/>
      </w:tblPr>
      <w:tblGrid>
        <w:gridCol w:w="2700"/>
        <w:gridCol w:w="5760"/>
      </w:tblGrid>
      <w:tr w:rsidTr="003160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rPr>
                <w:rStyle w:val="SpecialBold"/>
              </w:rPr>
              <w:t>6)</w:t>
            </w:r>
            <w:r w:rsidRPr="003225A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t>Performance Criteria describe the required performance needed to demonstrate achievement of the element. Assessment of performance is to be consistent with the Evidence Guide.</w:t>
            </w:r>
          </w:p>
        </w:tc>
      </w:tr>
    </w:tbl>
    <w:p w:rsidR="00000000" w:rsidRPr="003225AC" w:rsidP="003225AC">
      <w:pPr>
        <w:pStyle w:val="BodyText"/>
      </w:pPr>
    </w:p>
    <w:p w:rsidR="00000000" w:rsidRPr="003225AC" w:rsidP="003225AC">
      <w:pPr>
        <w:pStyle w:val="AllowPageBreak"/>
      </w:pPr>
    </w:p>
    <w:p w:rsidR="00000000" w:rsidRPr="003225AC" w:rsidP="003225AC">
      <w:pPr>
        <w:pStyle w:val="Heading1"/>
      </w:pPr>
      <w:bookmarkStart w:id="8" w:name="O_418412"/>
      <w:bookmarkEnd w:id="8"/>
      <w:r w:rsidRPr="003225AC">
        <w:t>Elements and Performance Criteria</w:t>
      </w:r>
    </w:p>
    <w:tbl>
      <w:tblPr>
        <w:tblW w:w="0" w:type="auto"/>
        <w:tblLayout w:type="fixed"/>
        <w:tblCellMar>
          <w:left w:w="62" w:type="dxa"/>
          <w:right w:w="62" w:type="dxa"/>
        </w:tblCellMar>
        <w:tblLook w:val="0000"/>
      </w:tblPr>
      <w:tblGrid>
        <w:gridCol w:w="403"/>
        <w:gridCol w:w="2274"/>
        <w:gridCol w:w="23"/>
        <w:gridCol w:w="870"/>
        <w:gridCol w:w="4815"/>
        <w:gridCol w:w="75"/>
      </w:tblGrid>
      <w:tr w:rsidTr="0031601C">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rPr>
                <w:rStyle w:val="SpecialBold"/>
              </w:rPr>
              <w:t>PERFORMANCE CRITER</w:t>
            </w:r>
            <w:r w:rsidRPr="003225AC">
              <w:rPr>
                <w:rStyle w:val="SpecialBold"/>
              </w:rPr>
              <w:t>IA</w:t>
            </w:r>
          </w:p>
        </w:tc>
      </w:tr>
      <w:tr w:rsidTr="0031601C">
        <w:tblPrEx>
          <w:tblW w:w="0" w:type="auto"/>
          <w:tblLayout w:type="fixed"/>
          <w:tblCellMar>
            <w:left w:w="62" w:type="dxa"/>
            <w:right w:w="62" w:type="dxa"/>
          </w:tblCellMar>
          <w:tblLook w:val="0000"/>
        </w:tblPrEx>
        <w:trPr>
          <w:gridAfter w:val="1"/>
          <w:wAfter w:w="75" w:type="dxa"/>
        </w:trPr>
        <w:tc>
          <w:tcPr>
            <w:tcW w:w="403"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1</w:t>
            </w:r>
          </w:p>
        </w:tc>
        <w:tc>
          <w:tcPr>
            <w:tcW w:w="2274" w:type="dxa"/>
            <w:vMerge w:val="restart"/>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Prepare to provide solutions for the uses of materials and thermodynamics.</w:t>
            </w:r>
          </w:p>
        </w:tc>
        <w:tc>
          <w:tcPr>
            <w:tcW w:w="893" w:type="dxa"/>
            <w:gridSpan w:val="2"/>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1.1</w:t>
            </w:r>
          </w:p>
        </w:tc>
        <w:tc>
          <w:tcPr>
            <w:tcW w:w="4815"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OHS procedures for a given work area are obtained and understood</w:t>
            </w:r>
          </w:p>
        </w:tc>
      </w:tr>
      <w:tr w:rsidTr="0031601C">
        <w:tblPrEx>
          <w:tblW w:w="0" w:type="auto"/>
          <w:tblLayout w:type="fixed"/>
          <w:tblCellMar>
            <w:left w:w="62" w:type="dxa"/>
            <w:right w:w="62" w:type="dxa"/>
          </w:tblCellMar>
          <w:tblLook w:val="0000"/>
        </w:tblPrEx>
        <w:trPr>
          <w:gridAfter w:val="1"/>
          <w:wAfter w:w="75"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1.2</w:t>
            </w:r>
          </w:p>
        </w:tc>
        <w:tc>
          <w:tcPr>
            <w:tcW w:w="4815"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OHS risk control work preparation measures and procedures are followed.</w:t>
            </w:r>
          </w:p>
        </w:tc>
      </w:tr>
      <w:tr w:rsidTr="0031601C">
        <w:tblPrEx>
          <w:tblW w:w="0" w:type="auto"/>
          <w:tblLayout w:type="fixed"/>
          <w:tblCellMar>
            <w:left w:w="62" w:type="dxa"/>
            <w:right w:w="62" w:type="dxa"/>
          </w:tblCellMar>
          <w:tblLook w:val="0000"/>
        </w:tblPrEx>
        <w:trPr>
          <w:gridAfter w:val="1"/>
          <w:wAfter w:w="75"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1.3</w:t>
            </w:r>
          </w:p>
        </w:tc>
        <w:tc>
          <w:tcPr>
            <w:tcW w:w="4815"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The nature of the problem is obtained from documentation or from work supervisor to establish the scope of work to be undertaken.</w:t>
            </w:r>
          </w:p>
        </w:tc>
      </w:tr>
      <w:tr w:rsidTr="0031601C">
        <w:tblPrEx>
          <w:tblW w:w="0" w:type="auto"/>
          <w:tblLayout w:type="fixed"/>
          <w:tblCellMar>
            <w:left w:w="62" w:type="dxa"/>
            <w:right w:w="62" w:type="dxa"/>
          </w:tblCellMar>
          <w:tblLook w:val="0000"/>
        </w:tblPrEx>
        <w:trPr>
          <w:gridAfter w:val="1"/>
          <w:wAfter w:w="75"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1.4</w:t>
            </w:r>
          </w:p>
        </w:tc>
        <w:tc>
          <w:tcPr>
            <w:tcW w:w="4815"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Advice is sought from the work supervisor to ensure the work is coordinated effectively with others.</w:t>
            </w:r>
          </w:p>
        </w:tc>
      </w:tr>
      <w:tr w:rsidTr="0031601C">
        <w:tblPrEx>
          <w:tblW w:w="0" w:type="auto"/>
          <w:tblLayout w:type="fixed"/>
          <w:tblCellMar>
            <w:left w:w="62" w:type="dxa"/>
            <w:right w:w="62" w:type="dxa"/>
          </w:tblCellMar>
          <w:tblLook w:val="0000"/>
        </w:tblPrEx>
        <w:trPr>
          <w:gridAfter w:val="1"/>
          <w:wAfter w:w="75"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1.5</w:t>
            </w:r>
          </w:p>
        </w:tc>
        <w:tc>
          <w:tcPr>
            <w:tcW w:w="4815"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 xml:space="preserve">Sources of </w:t>
            </w:r>
            <w:r w:rsidRPr="003225AC">
              <w:t>equipment and products that may be required for the work are established in accordance with established procedures.</w:t>
            </w:r>
          </w:p>
        </w:tc>
      </w:tr>
      <w:tr w:rsidTr="0031601C">
        <w:tblPrEx>
          <w:tblW w:w="0" w:type="auto"/>
          <w:tblLayout w:type="fixed"/>
          <w:tblCellMar>
            <w:left w:w="62" w:type="dxa"/>
            <w:right w:w="62" w:type="dxa"/>
          </w:tblCellMar>
          <w:tblLook w:val="0000"/>
        </w:tblPrEx>
        <w:trPr>
          <w:gridAfter w:val="1"/>
          <w:wAfter w:w="75"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1.6</w:t>
            </w:r>
          </w:p>
        </w:tc>
        <w:tc>
          <w:tcPr>
            <w:tcW w:w="4815"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Tools, equipment and testing devices necessary for the work are obtained and checked for correct operation and safety.</w:t>
            </w:r>
          </w:p>
        </w:tc>
      </w:tr>
      <w:tr w:rsidTr="0031601C">
        <w:tblPrEx>
          <w:tblW w:w="0" w:type="auto"/>
          <w:tblLayout w:type="fixed"/>
          <w:tblCellMar>
            <w:left w:w="62" w:type="dxa"/>
            <w:right w:w="62" w:type="dxa"/>
          </w:tblCellMar>
          <w:tblLook w:val="0000"/>
        </w:tblPrEx>
        <w:trPr>
          <w:gridAfter w:val="1"/>
          <w:wAfter w:w="75" w:type="dxa"/>
        </w:trPr>
        <w:tc>
          <w:tcPr>
            <w:tcW w:w="403"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2</w:t>
            </w:r>
          </w:p>
        </w:tc>
        <w:tc>
          <w:tcPr>
            <w:tcW w:w="2274" w:type="dxa"/>
            <w:vMerge w:val="restart"/>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Provide solutions for the uses of materials and thermodynamics.</w:t>
            </w:r>
          </w:p>
        </w:tc>
        <w:tc>
          <w:tcPr>
            <w:tcW w:w="893" w:type="dxa"/>
            <w:gridSpan w:val="2"/>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2.1</w:t>
            </w:r>
          </w:p>
        </w:tc>
        <w:tc>
          <w:tcPr>
            <w:tcW w:w="4815"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OHS risk control work measures and procedures are followed.</w:t>
            </w:r>
          </w:p>
        </w:tc>
      </w:tr>
      <w:tr w:rsidTr="0031601C">
        <w:tblPrEx>
          <w:tblW w:w="0" w:type="auto"/>
          <w:tblLayout w:type="fixed"/>
          <w:tblCellMar>
            <w:left w:w="62" w:type="dxa"/>
            <w:right w:w="62" w:type="dxa"/>
          </w:tblCellMar>
          <w:tblLook w:val="0000"/>
        </w:tblPrEx>
        <w:trPr>
          <w:gridAfter w:val="1"/>
          <w:wAfter w:w="75"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2.2</w:t>
            </w:r>
          </w:p>
        </w:tc>
        <w:tc>
          <w:tcPr>
            <w:tcW w:w="4815"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The need to test or measure active systems is determined in strict accordance with OHS requirements and when necessary co</w:t>
            </w:r>
            <w:r w:rsidRPr="003225AC">
              <w:t>nducted within established safety procedures</w:t>
            </w:r>
          </w:p>
        </w:tc>
      </w:tr>
      <w:tr w:rsidTr="0031601C">
        <w:tblPrEx>
          <w:tblW w:w="0" w:type="auto"/>
          <w:tblLayout w:type="fixed"/>
          <w:tblCellMar>
            <w:left w:w="62" w:type="dxa"/>
            <w:right w:w="62" w:type="dxa"/>
          </w:tblCellMar>
          <w:tblLook w:val="0000"/>
        </w:tblPrEx>
        <w:trPr>
          <w:gridAfter w:val="1"/>
          <w:wAfter w:w="75"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2.3</w:t>
            </w:r>
          </w:p>
        </w:tc>
        <w:tc>
          <w:tcPr>
            <w:tcW w:w="4815"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Systems are checked as being isolated where necessary in strict accordance OHS requirements and procedures</w:t>
            </w:r>
          </w:p>
        </w:tc>
      </w:tr>
      <w:tr w:rsidTr="0031601C">
        <w:tblPrEx>
          <w:tblW w:w="0" w:type="auto"/>
          <w:tblLayout w:type="fixed"/>
          <w:tblCellMar>
            <w:left w:w="62" w:type="dxa"/>
            <w:right w:w="62" w:type="dxa"/>
          </w:tblCellMar>
          <w:tblLook w:val="0000"/>
        </w:tblPrEx>
        <w:trPr>
          <w:gridAfter w:val="1"/>
          <w:wAfter w:w="75"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2.4</w:t>
            </w:r>
          </w:p>
        </w:tc>
        <w:tc>
          <w:tcPr>
            <w:tcW w:w="4815"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Established methods are used to solve system problems from measure and calculated values, as they apply to materials and thermodynamics.</w:t>
            </w:r>
          </w:p>
        </w:tc>
      </w:tr>
      <w:tr w:rsidTr="0031601C">
        <w:tblPrEx>
          <w:tblW w:w="0" w:type="auto"/>
          <w:tblLayout w:type="fixed"/>
          <w:tblCellMar>
            <w:left w:w="62" w:type="dxa"/>
            <w:right w:w="62" w:type="dxa"/>
          </w:tblCellMar>
          <w:tblLook w:val="0000"/>
        </w:tblPrEx>
        <w:trPr>
          <w:gridAfter w:val="1"/>
          <w:wAfter w:w="75"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2.5</w:t>
            </w:r>
          </w:p>
        </w:tc>
        <w:tc>
          <w:tcPr>
            <w:tcW w:w="4815"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Unexpected situations are dealt with safely and with the approval of an authorised person.</w:t>
            </w:r>
          </w:p>
        </w:tc>
      </w:tr>
      <w:tr w:rsidTr="0031601C">
        <w:tblPrEx>
          <w:tblW w:w="0" w:type="auto"/>
          <w:tblLayout w:type="fixed"/>
          <w:tblCellMar>
            <w:left w:w="62" w:type="dxa"/>
            <w:right w:w="62" w:type="dxa"/>
          </w:tblCellMar>
          <w:tblLook w:val="0000"/>
        </w:tblPrEx>
        <w:trPr>
          <w:gridAfter w:val="1"/>
          <w:wAfter w:w="75"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2.6</w:t>
            </w:r>
          </w:p>
        </w:tc>
        <w:tc>
          <w:tcPr>
            <w:tcW w:w="4815"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Problems are solved without damage to apparatus, circuits, the surrounding environment or services and using sustainable energy practices with the minimum waste and rework.</w:t>
            </w:r>
          </w:p>
        </w:tc>
      </w:tr>
      <w:tr w:rsidTr="0031601C">
        <w:tblPrEx>
          <w:tblW w:w="0" w:type="auto"/>
          <w:tblLayout w:type="fixed"/>
          <w:tblCellMar>
            <w:left w:w="62" w:type="dxa"/>
            <w:right w:w="62" w:type="dxa"/>
          </w:tblCellMar>
          <w:tblLook w:val="0000"/>
        </w:tblPrEx>
        <w:trPr>
          <w:gridAfter w:val="1"/>
          <w:wAfter w:w="75" w:type="dxa"/>
        </w:trPr>
        <w:tc>
          <w:tcPr>
            <w:tcW w:w="403"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3</w:t>
            </w:r>
          </w:p>
        </w:tc>
        <w:tc>
          <w:tcPr>
            <w:tcW w:w="2274" w:type="dxa"/>
            <w:vMerge w:val="restart"/>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Complete work and document solutions to discovered problem.</w:t>
            </w:r>
          </w:p>
        </w:tc>
        <w:tc>
          <w:tcPr>
            <w:tcW w:w="893" w:type="dxa"/>
            <w:gridSpan w:val="2"/>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3.1</w:t>
            </w:r>
          </w:p>
        </w:tc>
        <w:tc>
          <w:tcPr>
            <w:tcW w:w="4815"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OHS work complet</w:t>
            </w:r>
            <w:r w:rsidRPr="003225AC">
              <w:t>ion risk control measures and procedures are followed.</w:t>
            </w:r>
          </w:p>
        </w:tc>
      </w:tr>
      <w:tr w:rsidTr="0031601C">
        <w:tblPrEx>
          <w:tblW w:w="0" w:type="auto"/>
          <w:tblLayout w:type="fixed"/>
          <w:tblCellMar>
            <w:left w:w="62" w:type="dxa"/>
            <w:right w:w="62" w:type="dxa"/>
          </w:tblCellMar>
          <w:tblLook w:val="0000"/>
        </w:tblPrEx>
        <w:trPr>
          <w:gridAfter w:val="1"/>
          <w:wAfter w:w="75"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3.2</w:t>
            </w:r>
          </w:p>
        </w:tc>
        <w:tc>
          <w:tcPr>
            <w:tcW w:w="4815"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Work site is cleaned and made safe in accordance with established procedures.</w:t>
            </w:r>
          </w:p>
        </w:tc>
      </w:tr>
      <w:tr w:rsidTr="0031601C">
        <w:tblPrEx>
          <w:tblW w:w="0" w:type="auto"/>
          <w:tblLayout w:type="fixed"/>
          <w:tblCellMar>
            <w:left w:w="62" w:type="dxa"/>
            <w:right w:w="62" w:type="dxa"/>
          </w:tblCellMar>
          <w:tblLook w:val="0000"/>
        </w:tblPrEx>
        <w:trPr>
          <w:gridAfter w:val="1"/>
          <w:wAfter w:w="75"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3.3</w:t>
            </w:r>
          </w:p>
        </w:tc>
        <w:tc>
          <w:tcPr>
            <w:tcW w:w="4815"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Justification for solutions used to solve system problems is documented.</w:t>
            </w:r>
          </w:p>
        </w:tc>
      </w:tr>
      <w:tr w:rsidTr="0031601C">
        <w:tblPrEx>
          <w:tblW w:w="0" w:type="auto"/>
          <w:tblLayout w:type="fixed"/>
          <w:tblCellMar>
            <w:left w:w="62" w:type="dxa"/>
            <w:right w:w="62" w:type="dxa"/>
          </w:tblCellMar>
          <w:tblLook w:val="0000"/>
        </w:tblPrEx>
        <w:trPr>
          <w:gridAfter w:val="1"/>
          <w:wAfter w:w="75"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3.4</w:t>
            </w:r>
          </w:p>
        </w:tc>
        <w:tc>
          <w:tcPr>
            <w:tcW w:w="4815"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t>Work completion is documented and appropriate person(s) notified in accordance with established procedures.</w:t>
            </w:r>
          </w:p>
        </w:tc>
      </w:tr>
    </w:tbl>
    <w:p w:rsidR="00000000" w:rsidRPr="003225AC" w:rsidP="003225AC">
      <w:pPr>
        <w:pStyle w:val="BodyText"/>
      </w:pPr>
    </w:p>
    <w:p w:rsidR="00000000" w:rsidRPr="003225AC" w:rsidP="003225AC">
      <w:pPr>
        <w:pStyle w:val="AllowPageBreak"/>
      </w:pPr>
    </w:p>
    <w:p w:rsidR="00000000" w:rsidRPr="003225AC" w:rsidP="003225AC">
      <w:pPr>
        <w:pStyle w:val="Heading1"/>
      </w:pPr>
      <w:bookmarkStart w:id="9" w:name="O_418420"/>
      <w:bookmarkEnd w:id="9"/>
      <w:r w:rsidRPr="003225AC">
        <w:t>Required Skills and Knowledge</w:t>
      </w:r>
    </w:p>
    <w:tbl>
      <w:tblPr>
        <w:tblW w:w="0" w:type="auto"/>
        <w:tblLayout w:type="fixed"/>
        <w:tblCellMar>
          <w:left w:w="62" w:type="dxa"/>
          <w:right w:w="62" w:type="dxa"/>
        </w:tblCellMar>
        <w:tblLook w:val="0000"/>
      </w:tblPr>
      <w:tblGrid>
        <w:gridCol w:w="8460"/>
      </w:tblGrid>
      <w:tr w:rsidTr="0031601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rPr>
                <w:rStyle w:val="SpecialBold"/>
              </w:rPr>
              <w:t>REQUIRED SKILLS AND KNOWLEDGE</w:t>
            </w:r>
          </w:p>
        </w:tc>
      </w:tr>
      <w:tr w:rsidTr="0031601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rPr>
                <w:rStyle w:val="SpecialBold"/>
              </w:rPr>
              <w:t>8)</w:t>
            </w:r>
            <w:r w:rsidRPr="003225AC">
              <w:t xml:space="preserve"> This describes the essential skills and knowledge and their level, required for this unit.</w:t>
            </w:r>
          </w:p>
          <w:p w:rsidR="00000000" w:rsidRPr="003225AC" w:rsidP="003225AC">
            <w:pPr>
              <w:pStyle w:val="BodyText"/>
            </w:pPr>
            <w:r w:rsidRPr="003225AC">
              <w:t>Evidence shall show that knowledge has been acquired of safe working practices and providing solutions for uses of materials and thermodynamic effects.</w:t>
            </w:r>
          </w:p>
          <w:p w:rsidR="00000000" w:rsidRPr="003225AC" w:rsidP="003225AC">
            <w:pPr>
              <w:pStyle w:val="BodyText"/>
            </w:pPr>
            <w:r w:rsidRPr="003225AC">
              <w:t>All knowledg</w:t>
            </w:r>
            <w:r w:rsidRPr="003225AC">
              <w:t>e and skills detailed in this unit should be contextualised to current industry practices and technologies.</w:t>
            </w:r>
          </w:p>
          <w:p w:rsidR="00000000" w:rsidRPr="003225AC" w:rsidP="003225AC">
            <w:pPr>
              <w:pStyle w:val="BodyText"/>
            </w:pPr>
            <w:r w:rsidRPr="003225AC">
              <w:rPr>
                <w:rStyle w:val="SpecialBold"/>
              </w:rPr>
              <w:t>KS01-EE160A</w:t>
            </w:r>
            <w:r w:rsidRPr="003225AC">
              <w:rPr>
                <w:rStyle w:val="SpecialBold"/>
              </w:rPr>
              <w:tab/>
              <w:t xml:space="preserve">              Material science and thermodynamics</w:t>
            </w:r>
          </w:p>
          <w:p w:rsidR="00000000" w:rsidRPr="003225AC" w:rsidP="003225AC">
            <w:pPr>
              <w:pStyle w:val="BodyText"/>
            </w:pPr>
            <w:r w:rsidRPr="003225AC">
              <w:t>Evidence shall show an understanding of materials and there characteristics and thermo</w:t>
            </w:r>
            <w:r w:rsidRPr="003225AC">
              <w:t>dynamics to an extent indicated by the following aspects:</w:t>
            </w:r>
          </w:p>
          <w:p w:rsidR="00000000" w:rsidRPr="003225AC" w:rsidP="003225AC">
            <w:pPr>
              <w:pStyle w:val="BodyText"/>
            </w:pPr>
            <w:r w:rsidRPr="003225AC">
              <w:t>T1</w:t>
            </w:r>
            <w:r w:rsidRPr="003225AC">
              <w:tab/>
              <w:t>Classification of materials on the basis of state</w:t>
            </w:r>
          </w:p>
          <w:p w:rsidR="00000000" w:rsidRPr="003225AC" w:rsidP="003225AC">
            <w:pPr>
              <w:pStyle w:val="BodyText"/>
            </w:pPr>
            <w:r w:rsidRPr="003225AC">
              <w:t>T2</w:t>
            </w:r>
            <w:r w:rsidRPr="003225AC">
              <w:tab/>
              <w:t>Difference between elements, compounds and mixtures</w:t>
            </w:r>
          </w:p>
          <w:p w:rsidR="00000000" w:rsidRPr="003225AC" w:rsidP="003225AC">
            <w:pPr>
              <w:pStyle w:val="BodyText"/>
            </w:pPr>
            <w:r w:rsidRPr="003225AC">
              <w:t>T3</w:t>
            </w:r>
            <w:r w:rsidRPr="003225AC">
              <w:tab/>
              <w:t>Atomic structure and bonding of materials</w:t>
            </w:r>
          </w:p>
          <w:p w:rsidR="00000000" w:rsidRPr="003225AC" w:rsidP="003225AC">
            <w:pPr>
              <w:pStyle w:val="BodyText"/>
            </w:pPr>
            <w:r w:rsidRPr="003225AC">
              <w:t>T4</w:t>
            </w:r>
            <w:r w:rsidRPr="003225AC">
              <w:tab/>
              <w:t>Properties of ferrous and non-ferrous mate</w:t>
            </w:r>
            <w:r w:rsidRPr="003225AC">
              <w:t>rials</w:t>
            </w:r>
          </w:p>
          <w:p w:rsidR="00000000" w:rsidRPr="003225AC" w:rsidP="003225AC">
            <w:pPr>
              <w:pStyle w:val="BodyText"/>
            </w:pPr>
            <w:r w:rsidRPr="003225AC">
              <w:t>T5</w:t>
            </w:r>
            <w:r w:rsidRPr="003225AC">
              <w:tab/>
              <w:t>Properties of ceramic and composite materials</w:t>
            </w:r>
          </w:p>
          <w:p w:rsidR="00000000" w:rsidRPr="003225AC" w:rsidP="003225AC">
            <w:pPr>
              <w:pStyle w:val="BodyText"/>
            </w:pPr>
            <w:r w:rsidRPr="003225AC">
              <w:t>T6</w:t>
            </w:r>
            <w:r w:rsidRPr="003225AC">
              <w:tab/>
              <w:t>Chemical, physical and mechanical properties of materials</w:t>
            </w:r>
          </w:p>
          <w:p w:rsidR="00000000" w:rsidRPr="003225AC" w:rsidP="003225AC">
            <w:pPr>
              <w:pStyle w:val="BodyText"/>
            </w:pPr>
            <w:r w:rsidRPr="003225AC">
              <w:t>T7</w:t>
            </w:r>
            <w:r w:rsidRPr="003225AC">
              <w:tab/>
              <w:t>Corrosion and corrosion protection of metallic structures and systems</w:t>
            </w:r>
          </w:p>
          <w:p w:rsidR="00000000" w:rsidRPr="003225AC" w:rsidP="003225AC">
            <w:pPr>
              <w:pStyle w:val="BodyText"/>
            </w:pPr>
            <w:r w:rsidRPr="003225AC">
              <w:t>T8</w:t>
            </w:r>
            <w:r w:rsidRPr="003225AC">
              <w:tab/>
              <w:t>Causes of degradation of polymer materials</w:t>
            </w:r>
          </w:p>
          <w:p w:rsidR="00000000" w:rsidRPr="003225AC" w:rsidP="003225AC">
            <w:pPr>
              <w:pStyle w:val="BodyText"/>
            </w:pPr>
            <w:r w:rsidRPr="003225AC">
              <w:t>T9</w:t>
            </w:r>
            <w:r w:rsidRPr="003225AC">
              <w:tab/>
              <w:t>Non-destructive te</w:t>
            </w:r>
            <w:r w:rsidRPr="003225AC">
              <w:t>sting and types of test equipment</w:t>
            </w:r>
          </w:p>
          <w:p w:rsidR="00000000" w:rsidRPr="003225AC" w:rsidP="003225AC">
            <w:pPr>
              <w:pStyle w:val="BodyText"/>
            </w:pPr>
            <w:r w:rsidRPr="003225AC">
              <w:t>T10</w:t>
            </w:r>
            <w:r w:rsidRPr="003225AC">
              <w:tab/>
              <w:t>Corrosion testing</w:t>
            </w:r>
          </w:p>
          <w:p w:rsidR="00000000" w:rsidRPr="003225AC" w:rsidP="003225AC">
            <w:pPr>
              <w:pStyle w:val="BodyText"/>
            </w:pPr>
            <w:r w:rsidRPr="003225AC">
              <w:t>T11</w:t>
            </w:r>
            <w:r w:rsidRPr="003225AC">
              <w:tab/>
              <w:t>Evaluation and suitability of materials for specific applications</w:t>
            </w:r>
          </w:p>
          <w:p w:rsidR="00000000" w:rsidRPr="003225AC" w:rsidP="003225AC">
            <w:pPr>
              <w:pStyle w:val="BodyText"/>
            </w:pPr>
            <w:r w:rsidRPr="003225AC">
              <w:t>T12</w:t>
            </w:r>
            <w:r w:rsidRPr="003225AC">
              <w:tab/>
              <w:t>Principles, advantages and limitations of casting, forging, extrusion and powder metallurgical processes</w:t>
            </w:r>
          </w:p>
          <w:p w:rsidR="00000000" w:rsidRPr="003225AC" w:rsidP="003225AC">
            <w:pPr>
              <w:pStyle w:val="BodyText"/>
            </w:pPr>
            <w:r w:rsidRPr="003225AC">
              <w:t>T13</w:t>
            </w:r>
            <w:r w:rsidRPr="003225AC">
              <w:tab/>
              <w:t>Methods of joinin</w:t>
            </w:r>
            <w:r w:rsidRPr="003225AC">
              <w:t>g materials, including limitations</w:t>
            </w:r>
          </w:p>
          <w:p w:rsidR="00000000" w:rsidRPr="003225AC" w:rsidP="003225AC">
            <w:pPr>
              <w:pStyle w:val="BodyText"/>
            </w:pPr>
            <w:r w:rsidRPr="003225AC">
              <w:t>T14</w:t>
            </w:r>
            <w:r w:rsidRPr="003225AC">
              <w:tab/>
              <w:t>Methods used for surface finishing of materials, including limitations</w:t>
            </w:r>
          </w:p>
          <w:p w:rsidR="00000000" w:rsidRPr="003225AC" w:rsidP="003225AC">
            <w:pPr>
              <w:pStyle w:val="BodyText"/>
            </w:pPr>
            <w:r w:rsidRPr="003225AC">
              <w:t>T15</w:t>
            </w:r>
            <w:r w:rsidRPr="003225AC">
              <w:tab/>
              <w:t>Relationship between energy usage and standard of living</w:t>
            </w:r>
          </w:p>
          <w:p w:rsidR="00000000" w:rsidRPr="003225AC" w:rsidP="003225AC">
            <w:pPr>
              <w:pStyle w:val="BodyText"/>
            </w:pPr>
            <w:r w:rsidRPr="003225AC">
              <w:t>T16</w:t>
            </w:r>
            <w:r w:rsidRPr="003225AC">
              <w:tab/>
              <w:t>Energy conversion and conversion efficiencies</w:t>
            </w:r>
          </w:p>
          <w:p w:rsidR="00000000" w:rsidRPr="003225AC" w:rsidP="003225AC">
            <w:pPr>
              <w:pStyle w:val="BodyText"/>
            </w:pPr>
            <w:r w:rsidRPr="003225AC">
              <w:t>T17</w:t>
            </w:r>
            <w:r w:rsidRPr="003225AC">
              <w:tab/>
              <w:t>Energy sources and there advant</w:t>
            </w:r>
            <w:r w:rsidRPr="003225AC">
              <w:t>age in engineering processes</w:t>
            </w:r>
          </w:p>
          <w:p w:rsidR="00000000" w:rsidRPr="003225AC" w:rsidP="003225AC">
            <w:pPr>
              <w:pStyle w:val="BodyText"/>
            </w:pPr>
            <w:r w:rsidRPr="003225AC">
              <w:t>T18</w:t>
            </w:r>
            <w:r w:rsidRPr="003225AC">
              <w:tab/>
              <w:t>Energy conservation</w:t>
            </w:r>
          </w:p>
          <w:p w:rsidR="00000000" w:rsidRPr="003225AC" w:rsidP="003225AC">
            <w:pPr>
              <w:pStyle w:val="BodyText"/>
            </w:pPr>
            <w:r w:rsidRPr="003225AC">
              <w:t>T19</w:t>
            </w:r>
            <w:r w:rsidRPr="003225AC">
              <w:tab/>
              <w:t>State of matter in terms of molecular theory</w:t>
            </w:r>
          </w:p>
          <w:p w:rsidR="00000000" w:rsidRPr="003225AC" w:rsidP="003225AC">
            <w:pPr>
              <w:pStyle w:val="BodyText"/>
            </w:pPr>
            <w:r w:rsidRPr="003225AC">
              <w:t>T20</w:t>
            </w:r>
            <w:r w:rsidRPr="003225AC">
              <w:tab/>
              <w:t>Relationship between mass, volume, density, force, pressure and temperature in thermodynamic concepts</w:t>
            </w:r>
          </w:p>
          <w:p w:rsidR="00000000" w:rsidRPr="003225AC" w:rsidP="003225AC">
            <w:pPr>
              <w:pStyle w:val="BodyText"/>
            </w:pPr>
            <w:r w:rsidRPr="003225AC">
              <w:t>T21</w:t>
            </w:r>
            <w:r w:rsidRPr="003225AC">
              <w:tab/>
            </w:r>
            <w:r w:rsidRPr="003225AC">
              <w:t>Compression ratio and pressure ration calculations in a basic piston and cylinder mechanism</w:t>
            </w:r>
          </w:p>
          <w:p w:rsidR="00000000" w:rsidRPr="003225AC" w:rsidP="003225AC">
            <w:pPr>
              <w:pStyle w:val="BodyText"/>
            </w:pPr>
            <w:r w:rsidRPr="003225AC">
              <w:t>T22</w:t>
            </w:r>
            <w:r w:rsidRPr="003225AC">
              <w:tab/>
              <w:t>Concepts, theorems and calculations related to potential energy, kinetic energy, work and powered, heat and internal energy of object.</w:t>
            </w:r>
          </w:p>
          <w:p w:rsidR="00000000" w:rsidRPr="003225AC" w:rsidP="003225AC">
            <w:pPr>
              <w:pStyle w:val="BodyText"/>
            </w:pPr>
            <w:r w:rsidRPr="003225AC">
              <w:t>T23</w:t>
            </w:r>
            <w:r w:rsidRPr="003225AC">
              <w:tab/>
              <w:t xml:space="preserve">Relationship between </w:t>
            </w:r>
            <w:r w:rsidRPr="003225AC">
              <w:t>work and pressure/volume</w:t>
            </w:r>
          </w:p>
          <w:p w:rsidR="00000000" w:rsidRPr="003225AC" w:rsidP="003225AC">
            <w:pPr>
              <w:pStyle w:val="BodyText"/>
            </w:pPr>
            <w:r w:rsidRPr="003225AC">
              <w:t>T24</w:t>
            </w:r>
            <w:r w:rsidRPr="003225AC">
              <w:tab/>
              <w:t>Concept and calculations related to energy transfer in a closed loop system</w:t>
            </w:r>
          </w:p>
          <w:p w:rsidR="00000000" w:rsidRPr="003225AC" w:rsidP="003225AC">
            <w:pPr>
              <w:pStyle w:val="BodyText"/>
            </w:pPr>
            <w:r w:rsidRPr="003225AC">
              <w:t>T25</w:t>
            </w:r>
            <w:r w:rsidRPr="003225AC">
              <w:tab/>
              <w:t>Concept of and calculations about property changes and work, heat and internal energy transfer in gases in typical engineering processes</w:t>
            </w:r>
          </w:p>
          <w:p w:rsidR="00000000" w:rsidRPr="003225AC" w:rsidP="003225AC">
            <w:pPr>
              <w:pStyle w:val="BodyText"/>
            </w:pPr>
            <w:r w:rsidRPr="003225AC">
              <w:t>T26</w:t>
            </w:r>
            <w:r w:rsidRPr="003225AC">
              <w:tab/>
              <w:t>Princi</w:t>
            </w:r>
            <w:r w:rsidRPr="003225AC">
              <w:t>ple, operation and performance of common types of heat engines</w:t>
            </w:r>
          </w:p>
          <w:p w:rsidR="00000000" w:rsidRPr="003225AC" w:rsidP="003225AC">
            <w:pPr>
              <w:pStyle w:val="BodyText"/>
            </w:pPr>
            <w:r w:rsidRPr="003225AC">
              <w:t>T27</w:t>
            </w:r>
            <w:r w:rsidRPr="003225AC">
              <w:tab/>
              <w:t>Heat engine performance parameters and typical performance tests</w:t>
            </w:r>
          </w:p>
        </w:tc>
      </w:tr>
    </w:tbl>
    <w:p w:rsidR="00000000" w:rsidRPr="003225AC" w:rsidP="003225AC">
      <w:pPr>
        <w:pStyle w:val="BodyText"/>
      </w:pPr>
    </w:p>
    <w:p w:rsidR="00000000" w:rsidRPr="003225AC" w:rsidP="003225AC">
      <w:pPr>
        <w:pStyle w:val="AllowPageBreak"/>
      </w:pPr>
    </w:p>
    <w:p w:rsidR="00000000" w:rsidRPr="003225AC" w:rsidP="003225AC">
      <w:pPr>
        <w:pStyle w:val="Heading1"/>
      </w:pPr>
      <w:bookmarkStart w:id="10" w:name="O_418415"/>
      <w:bookmarkEnd w:id="10"/>
      <w:r w:rsidRPr="003225AC">
        <w:t>Evidence Guide</w:t>
      </w:r>
    </w:p>
    <w:tbl>
      <w:tblPr>
        <w:tblW w:w="0" w:type="auto"/>
        <w:tblLayout w:type="fixed"/>
        <w:tblCellMar>
          <w:left w:w="62" w:type="dxa"/>
          <w:right w:w="62" w:type="dxa"/>
        </w:tblCellMar>
        <w:tblLook w:val="0000"/>
      </w:tblPr>
      <w:tblGrid>
        <w:gridCol w:w="8460"/>
      </w:tblGrid>
      <w:tr w:rsidTr="0031601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rPr>
                <w:rStyle w:val="SpecialBold"/>
              </w:rPr>
              <w:t>EVIDENCE GUIDE</w:t>
            </w:r>
          </w:p>
        </w:tc>
      </w:tr>
      <w:tr w:rsidTr="003160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rPr>
                <w:rStyle w:val="SpecialBold"/>
              </w:rPr>
              <w:t>9)</w:t>
            </w:r>
            <w:r w:rsidRPr="003225AC">
              <w:t xml:space="preserve"> The evidence guide provides advice on assessment and must be read in conjunction with the Performance Criteria, Required Skills and Knowledge, the Range Statement and the Assessment Guidelines for this Training Package. </w:t>
            </w:r>
          </w:p>
          <w:p w:rsidR="00000000" w:rsidRPr="003225AC" w:rsidP="003225AC">
            <w:pPr>
              <w:pStyle w:val="BodyText"/>
            </w:pPr>
            <w:r w:rsidRPr="003225AC">
              <w:t>The Evidence Guide forms an integr</w:t>
            </w:r>
            <w:r w:rsidRPr="003225AC">
              <w:t>al part of this unit. It must be used in conjunction with all parts of the unit and performed in accordance with the Assessment Guidelines of this Training Package.</w:t>
            </w:r>
          </w:p>
        </w:tc>
      </w:tr>
    </w:tbl>
    <w:p w:rsidR="00000000" w:rsidRPr="003225AC" w:rsidP="003225AC">
      <w:pPr>
        <w:pStyle w:val="BodyText"/>
      </w:pPr>
    </w:p>
    <w:tbl>
      <w:tblPr>
        <w:tblW w:w="0" w:type="auto"/>
        <w:tblLayout w:type="fixed"/>
        <w:tblCellMar>
          <w:left w:w="62" w:type="dxa"/>
          <w:right w:w="62" w:type="dxa"/>
        </w:tblCellMar>
        <w:tblLook w:val="0000"/>
      </w:tblPr>
      <w:tblGrid>
        <w:gridCol w:w="1890"/>
        <w:gridCol w:w="6570"/>
      </w:tblGrid>
      <w:tr w:rsidTr="003160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rPr>
                <w:rStyle w:val="SpecialBold"/>
              </w:rPr>
              <w:t>9.1)</w:t>
            </w:r>
          </w:p>
        </w:tc>
      </w:tr>
      <w:tr w:rsidTr="003160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t>Longitudinal competency development approaches to assessmen</w:t>
            </w:r>
            <w:r w:rsidRPr="003225AC">
              <w:t>t, such as Profiling, require data to be reliably gathered in a form that can be consistently interpreted over time. This approach is best utilised in Apprenticeship programs and reduces assessment intervention. It is the industry-preferred model for appre</w:t>
            </w:r>
            <w:r w:rsidRPr="003225AC">
              <w:t>nticeships. However, where summative (or final) assessment is used it is to include the application of the competency in the normal work environment or, at a minimum, the application of the competency in a realistically simulated work environment. It is re</w:t>
            </w:r>
            <w:r w:rsidRPr="003225AC">
              <w:t>cognised that, in some circumstances, assessment in part or full can occur outside the workplace. However, it must be in accordance with industry and regulatory policy.</w:t>
            </w:r>
          </w:p>
          <w:p w:rsidR="00000000" w:rsidRPr="003225AC" w:rsidP="003225AC">
            <w:pPr>
              <w:pStyle w:val="BodyText"/>
            </w:pPr>
            <w:r w:rsidRPr="003225AC">
              <w:t>Methods chosen for a particular assessment will be influenced by various factors. These</w:t>
            </w:r>
            <w:r w:rsidRPr="003225AC">
              <w:t xml:space="preserv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3225AC" w:rsidP="003225AC">
            <w:pPr>
              <w:pStyle w:val="BodyText"/>
            </w:pPr>
            <w:r w:rsidRPr="003225AC">
              <w:t>The c</w:t>
            </w:r>
            <w:r w:rsidRPr="003225AC">
              <w:t>ritical safety nature of working with electricity, electrical equipment, gas or any other hazardous substance/material carries risk in deeming a person competent. Sources of evidence need to be ‘rich’ in nature to minimise error in judgment.</w:t>
            </w:r>
          </w:p>
          <w:p w:rsidR="00000000" w:rsidRPr="003225AC" w:rsidP="003225AC">
            <w:pPr>
              <w:pStyle w:val="BodyText"/>
            </w:pPr>
            <w:r w:rsidRPr="003225AC">
              <w:t>Activities associated with normal everyday work have a bearing on the decision as to how much and how detailed the data gathered will contribute to its ‘richness’. Some skills are more critical to safety and operational requirements while the same skills m</w:t>
            </w:r>
            <w:r w:rsidRPr="003225AC">
              <w:t>ay be more or less frequently practised. These points are raised for the assessors to consider when choosing an assessment method and developing assessment instruments. Sample assessment instruments are included for Assessors in the Assessment Guidelines o</w:t>
            </w:r>
            <w:r w:rsidRPr="003225AC">
              <w:t>f this Training Package.</w:t>
            </w:r>
          </w:p>
        </w:tc>
      </w:tr>
    </w:tbl>
    <w:p w:rsidR="00000000" w:rsidRPr="003225AC" w:rsidP="003225AC">
      <w:pPr>
        <w:pStyle w:val="BodyText"/>
      </w:pPr>
    </w:p>
    <w:tbl>
      <w:tblPr>
        <w:tblW w:w="0" w:type="auto"/>
        <w:tblLayout w:type="fixed"/>
        <w:tblCellMar>
          <w:left w:w="62" w:type="dxa"/>
          <w:right w:w="62" w:type="dxa"/>
        </w:tblCellMar>
        <w:tblLook w:val="0000"/>
      </w:tblPr>
      <w:tblGrid>
        <w:gridCol w:w="1890"/>
        <w:gridCol w:w="944"/>
        <w:gridCol w:w="5626"/>
      </w:tblGrid>
      <w:tr w:rsidTr="003160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rPr>
                <w:rStyle w:val="SpecialBold"/>
              </w:rPr>
              <w:t>9.2)</w:t>
            </w:r>
          </w:p>
        </w:tc>
      </w:tr>
      <w:tr w:rsidTr="003160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t>Before the critical aspects of evidence are considered all prerequisites must be met.</w:t>
            </w:r>
          </w:p>
          <w:p w:rsidR="00000000" w:rsidRPr="003225AC" w:rsidP="003225AC">
            <w:pPr>
              <w:pStyle w:val="BodyText"/>
            </w:pPr>
            <w:r w:rsidRPr="003225AC">
              <w:t>Evidence for competence in this unit shall be considered h</w:t>
            </w:r>
            <w:r w:rsidRPr="003225AC">
              <w:t>olistically.  Each element and associated performance criteria shall be demonstrated on at least two occasions in accordance with the ‘Assessment Guidelines – UEE11’.  Evidence shall also comprise:</w:t>
            </w:r>
          </w:p>
          <w:p w:rsidR="00000000" w:rsidRPr="003225AC" w:rsidP="003225AC">
            <w:pPr>
              <w:pStyle w:val="ListBullet"/>
            </w:pPr>
            <w:r w:rsidRPr="003225AC">
              <w:t>A representative body of work performance demonstrated wit</w:t>
            </w:r>
            <w:r w:rsidRPr="003225AC">
              <w:t>hin the timeframes typically expected of the discipline, work function and industrial environment. In particular this shall incorporate evidence that shows a candidate is able to:</w:t>
            </w:r>
          </w:p>
          <w:p w:rsidR="00000000" w:rsidRPr="003225AC" w:rsidP="003225AC">
            <w:pPr>
              <w:pStyle w:val="ListBullet2"/>
            </w:pPr>
            <w:r w:rsidRPr="003225AC">
              <w:t>Implement Occupational Health and Safety workplace procedures and practices</w:t>
            </w:r>
            <w:r w:rsidRPr="003225AC">
              <w:t>, including the use of risk control measures as specified in the performance criteria and range statement</w:t>
            </w:r>
          </w:p>
          <w:p w:rsidR="00000000" w:rsidRPr="003225AC" w:rsidP="003225AC">
            <w:pPr>
              <w:pStyle w:val="ListBullet2"/>
            </w:pPr>
            <w:r w:rsidRPr="003225AC">
              <w:t>Apply sustainable energy principles and practices as specified in the performance criteria and range statement</w:t>
            </w:r>
          </w:p>
          <w:p w:rsidR="00000000" w:rsidRPr="003225AC" w:rsidP="003225AC">
            <w:pPr>
              <w:pStyle w:val="ListBullet2"/>
            </w:pPr>
            <w:r w:rsidRPr="003225AC">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3225AC" w:rsidP="003225AC">
            <w:pPr>
              <w:pStyle w:val="ListBullet2"/>
            </w:pPr>
            <w:r w:rsidRPr="003225AC">
              <w:t>Demo</w:t>
            </w:r>
            <w:r w:rsidRPr="003225AC">
              <w:t>nstrate an appropriate level of skills enabling employment</w:t>
            </w:r>
          </w:p>
          <w:p w:rsidR="00000000" w:rsidRPr="003225AC" w:rsidP="003225AC">
            <w:pPr>
              <w:pStyle w:val="ListBullet2"/>
            </w:pPr>
            <w:r w:rsidRPr="003225AC">
              <w:t>Conduct work observing the relevant Anti Discrimination legislation, regulations, polices and workplace procedures</w:t>
            </w:r>
          </w:p>
          <w:p w:rsidR="00000000" w:rsidRPr="003225AC" w:rsidP="003225AC">
            <w:pPr>
              <w:pStyle w:val="ListBullet"/>
            </w:pPr>
            <w:r w:rsidRPr="003225AC">
              <w:t>Demonstrated consistent performance across a representative range of contexts from</w:t>
            </w:r>
            <w:r w:rsidRPr="003225AC">
              <w:t xml:space="preserve"> the prescribed items below:</w:t>
            </w:r>
          </w:p>
          <w:p w:rsidR="00000000" w:rsidP="003225AC">
            <w:pPr>
              <w:pStyle w:val="ListBullet2"/>
              <w:rPr>
                <w:lang w:val="en-NZ"/>
              </w:rPr>
            </w:pPr>
            <w:r w:rsidRPr="003225AC">
              <w:t>Provide solutions for uses of materials and thermodynamic effects as described in 8) and including:</w:t>
            </w:r>
          </w:p>
        </w:tc>
      </w:tr>
      <w:tr w:rsidTr="003160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4"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A</w:t>
            </w:r>
          </w:p>
        </w:tc>
        <w:tc>
          <w:tcPr>
            <w:tcW w:w="5626"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Determining the characteristics and application of materials and the effects of thermodynamics.</w:t>
            </w:r>
          </w:p>
        </w:tc>
      </w:tr>
      <w:tr w:rsidTr="003160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4"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B</w:t>
            </w:r>
          </w:p>
        </w:tc>
        <w:tc>
          <w:tcPr>
            <w:tcW w:w="5626"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Using established problem solving methods.</w:t>
            </w:r>
          </w:p>
        </w:tc>
      </w:tr>
      <w:tr w:rsidTr="003160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4"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C</w:t>
            </w:r>
          </w:p>
        </w:tc>
        <w:tc>
          <w:tcPr>
            <w:tcW w:w="5626"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Taking relevant measurements accurately.</w:t>
            </w:r>
          </w:p>
        </w:tc>
      </w:tr>
      <w:tr w:rsidTr="003160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4"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D</w:t>
            </w:r>
          </w:p>
        </w:tc>
        <w:tc>
          <w:tcPr>
            <w:tcW w:w="5626"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Interpreting measured values appropriately.</w:t>
            </w:r>
          </w:p>
        </w:tc>
      </w:tr>
      <w:tr w:rsidTr="003160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4"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E</w:t>
            </w:r>
          </w:p>
        </w:tc>
        <w:tc>
          <w:tcPr>
            <w:tcW w:w="5626"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Providing effective solutions to system problems from measurements and calculations.</w:t>
            </w:r>
          </w:p>
        </w:tc>
      </w:tr>
      <w:tr w:rsidTr="003160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4"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F</w:t>
            </w:r>
          </w:p>
        </w:tc>
        <w:tc>
          <w:tcPr>
            <w:tcW w:w="5626"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Giving written justificatio</w:t>
            </w:r>
            <w:r w:rsidRPr="003225AC">
              <w:t>n of solutions provided.</w:t>
            </w:r>
          </w:p>
        </w:tc>
      </w:tr>
      <w:tr w:rsidTr="003160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4"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t>G</w:t>
            </w:r>
          </w:p>
        </w:tc>
        <w:tc>
          <w:tcPr>
            <w:tcW w:w="5626"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t>Dealing with unplanned events by drawing on essential knowledge and skills to provide appropriate solutions incorporated in a holistic assessment with the above listed items.</w:t>
            </w:r>
          </w:p>
        </w:tc>
      </w:tr>
    </w:tbl>
    <w:p w:rsidR="00000000" w:rsidRPr="003225AC" w:rsidP="003225AC">
      <w:pPr>
        <w:pStyle w:val="BodyText"/>
      </w:pPr>
    </w:p>
    <w:tbl>
      <w:tblPr>
        <w:tblW w:w="0" w:type="auto"/>
        <w:tblLayout w:type="fixed"/>
        <w:tblCellMar>
          <w:left w:w="62" w:type="dxa"/>
          <w:right w:w="62" w:type="dxa"/>
        </w:tblCellMar>
        <w:tblLook w:val="0000"/>
      </w:tblPr>
      <w:tblGrid>
        <w:gridCol w:w="1890"/>
        <w:gridCol w:w="6570"/>
      </w:tblGrid>
      <w:tr w:rsidTr="0031601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rPr>
                <w:rStyle w:val="SpecialBold"/>
              </w:rPr>
              <w:t>9.3)</w:t>
            </w:r>
          </w:p>
        </w:tc>
      </w:tr>
      <w:tr w:rsidTr="0031601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t>This unit should be assessed as it relates to normal work practice using procedures, information and resources typical of a workplace. This should include:</w:t>
            </w:r>
          </w:p>
          <w:p w:rsidR="00000000" w:rsidRPr="003225AC" w:rsidP="003225AC">
            <w:pPr>
              <w:pStyle w:val="ListBullet"/>
            </w:pPr>
            <w:r w:rsidRPr="003225AC">
              <w:t>OHS policy and work procedures and instructions.</w:t>
            </w:r>
          </w:p>
          <w:p w:rsidR="00000000" w:rsidRPr="003225AC" w:rsidP="003225AC">
            <w:pPr>
              <w:pStyle w:val="ListBullet"/>
            </w:pPr>
            <w:r w:rsidRPr="003225AC">
              <w:t>Suitable work environment, facilities, equip</w:t>
            </w:r>
            <w:r w:rsidRPr="003225AC">
              <w:t>ment and materials to undertake actual work as prescribed in this unit.</w:t>
            </w:r>
          </w:p>
          <w:p w:rsidR="00000000" w:rsidRPr="003225AC" w:rsidP="003225AC">
            <w:pPr>
              <w:pStyle w:val="BodyText"/>
            </w:pPr>
            <w:r w:rsidRPr="003225AC">
              <w:t>These should be used in the formal learning/assessment environment.</w:t>
            </w:r>
          </w:p>
          <w:p w:rsidR="00000000" w:rsidRPr="003225AC" w:rsidP="003225AC">
            <w:pPr>
              <w:pStyle w:val="BodyText"/>
            </w:pPr>
            <w:r w:rsidRPr="003225AC">
              <w:t>Note:</w:t>
            </w:r>
          </w:p>
          <w:p w:rsidR="00000000" w:rsidRPr="003225AC" w:rsidP="003225AC">
            <w:pPr>
              <w:pStyle w:val="BodyText"/>
            </w:pPr>
            <w:r w:rsidRPr="003225AC">
              <w:t>Where simulation is considered a suitable strategy for assessment, conditions for assessment must be authentic and as far as possible reproduce and replicate the workplace and be consistent with the approved industry simulation policy.</w:t>
            </w:r>
          </w:p>
          <w:p w:rsidR="00000000" w:rsidRPr="003225AC" w:rsidP="003225AC">
            <w:pPr>
              <w:pStyle w:val="BodyText"/>
            </w:pPr>
            <w:r w:rsidRPr="003225AC">
              <w:t>The resources used f</w:t>
            </w:r>
            <w:r w:rsidRPr="003225AC">
              <w:t>or assessment should reflect current industry practices in relation to providing solutions for uses of materials and thermodynamic effects.</w:t>
            </w:r>
          </w:p>
        </w:tc>
      </w:tr>
    </w:tbl>
    <w:p w:rsidR="00000000" w:rsidRPr="003225AC" w:rsidP="003225AC">
      <w:pPr>
        <w:pStyle w:val="BodyText"/>
      </w:pPr>
    </w:p>
    <w:tbl>
      <w:tblPr>
        <w:tblW w:w="0" w:type="auto"/>
        <w:tblLayout w:type="fixed"/>
        <w:tblCellMar>
          <w:left w:w="62" w:type="dxa"/>
          <w:right w:w="62" w:type="dxa"/>
        </w:tblCellMar>
        <w:tblLook w:val="0000"/>
      </w:tblPr>
      <w:tblGrid>
        <w:gridCol w:w="1890"/>
        <w:gridCol w:w="6570"/>
      </w:tblGrid>
      <w:tr w:rsidTr="003160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rPr>
                <w:rStyle w:val="SpecialBold"/>
              </w:rPr>
              <w:t>9.4)</w:t>
            </w:r>
          </w:p>
        </w:tc>
      </w:tr>
      <w:tr w:rsidTr="003160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t>This unit shall be assessed by methods given in Volume 1, Part 3 ‘Assessment Guideline</w:t>
            </w:r>
            <w:r w:rsidRPr="003225AC">
              <w:t>s’.</w:t>
            </w:r>
          </w:p>
          <w:p w:rsidR="00000000" w:rsidRPr="003225AC" w:rsidP="003225AC">
            <w:pPr>
              <w:pStyle w:val="BodyText"/>
            </w:pPr>
            <w:r w:rsidRPr="003225AC">
              <w:t xml:space="preserve">Note: </w:t>
            </w:r>
          </w:p>
          <w:p w:rsidR="00000000" w:rsidRPr="003225AC" w:rsidP="003225AC">
            <w:pPr>
              <w:pStyle w:val="BodyText"/>
            </w:pPr>
            <w:r w:rsidRPr="003225AC">
              <w:t>Competent performance with inherent safe working practices is expected in the Industry to which this unit applies. This requires that the specified essential knowledge and associated skills are assessed in a structured environment which is prima</w:t>
            </w:r>
            <w:r w:rsidRPr="003225AC">
              <w:t>rily intended for learning/assessment and incorporates all necessary equipment and facilities for learners to develop and demonstrate the essential knowledge and skills described in this unit.</w:t>
            </w:r>
          </w:p>
        </w:tc>
      </w:tr>
    </w:tbl>
    <w:p w:rsidR="00000000" w:rsidRPr="003225AC" w:rsidP="003225AC">
      <w:pPr>
        <w:pStyle w:val="BodyText"/>
      </w:pPr>
    </w:p>
    <w:tbl>
      <w:tblPr>
        <w:tblW w:w="0" w:type="auto"/>
        <w:tblLayout w:type="fixed"/>
        <w:tblCellMar>
          <w:left w:w="62" w:type="dxa"/>
          <w:right w:w="62" w:type="dxa"/>
        </w:tblCellMar>
        <w:tblLook w:val="0000"/>
      </w:tblPr>
      <w:tblGrid>
        <w:gridCol w:w="1890"/>
        <w:gridCol w:w="6570"/>
      </w:tblGrid>
      <w:tr w:rsidTr="003160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rPr>
                <w:rStyle w:val="SpecialBold"/>
              </w:rPr>
              <w:t>9.5)</w:t>
            </w:r>
          </w:p>
        </w:tc>
      </w:tr>
      <w:tr w:rsidTr="003160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t>There are no concurrent assessment recommendations for this unit.</w:t>
            </w:r>
          </w:p>
        </w:tc>
      </w:tr>
    </w:tbl>
    <w:p w:rsidR="00000000" w:rsidRPr="003225AC" w:rsidP="003225AC">
      <w:pPr>
        <w:pStyle w:val="BodyText"/>
      </w:pPr>
    </w:p>
    <w:p w:rsidR="00000000" w:rsidRPr="003225AC" w:rsidP="003225AC">
      <w:pPr>
        <w:pStyle w:val="AllowPageBreak"/>
      </w:pPr>
    </w:p>
    <w:p w:rsidR="00000000" w:rsidRPr="003225AC" w:rsidP="003225AC">
      <w:pPr>
        <w:pStyle w:val="Heading1"/>
      </w:pPr>
      <w:bookmarkStart w:id="11" w:name="O_418419"/>
      <w:bookmarkEnd w:id="11"/>
      <w:r w:rsidRPr="003225AC">
        <w:t>Range Statement</w:t>
      </w:r>
    </w:p>
    <w:tbl>
      <w:tblPr>
        <w:tblW w:w="0" w:type="auto"/>
        <w:tblLayout w:type="fixed"/>
        <w:tblCellMar>
          <w:left w:w="62" w:type="dxa"/>
          <w:right w:w="62" w:type="dxa"/>
        </w:tblCellMar>
        <w:tblLook w:val="0000"/>
      </w:tblPr>
      <w:tblGrid>
        <w:gridCol w:w="8460"/>
      </w:tblGrid>
      <w:tr w:rsidTr="0031601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rPr>
                <w:rStyle w:val="SpecialBold"/>
              </w:rPr>
              <w:t>RANGE STATEMENT</w:t>
            </w:r>
          </w:p>
        </w:tc>
      </w:tr>
      <w:tr w:rsidTr="003160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rPr>
                <w:rStyle w:val="SpecialBold"/>
              </w:rPr>
              <w:t>10)</w:t>
            </w:r>
            <w:r w:rsidRPr="003225AC">
              <w:t xml:space="preserve"> This relates to the unit as a whole providing the range of contexts and conditions to which the performance criteria apply. It allow</w:t>
            </w:r>
            <w:r w:rsidRPr="003225AC">
              <w:t>s for different work environments and situations that will affect performance.</w:t>
            </w:r>
          </w:p>
          <w:p w:rsidR="00000000" w:rsidRPr="003225AC" w:rsidP="003225AC">
            <w:pPr>
              <w:pStyle w:val="BodyText"/>
            </w:pPr>
            <w:r w:rsidRPr="003225AC">
              <w:t>This unit shall be demonstrated in relation to analysing materials and thermodynamic effects relative to two different engineering applications.</w:t>
            </w:r>
          </w:p>
          <w:p w:rsidR="00000000" w:rsidRPr="003225AC" w:rsidP="003225AC">
            <w:pPr>
              <w:pStyle w:val="BodyText"/>
            </w:pPr>
            <w:r w:rsidRPr="003225AC">
              <w:t>Note.</w:t>
            </w:r>
          </w:p>
          <w:p w:rsidR="00000000" w:rsidRPr="003225AC" w:rsidP="003225AC">
            <w:pPr>
              <w:pStyle w:val="BodyText"/>
            </w:pPr>
            <w:r w:rsidRPr="003225AC">
              <w:t>Typical engineering applic</w:t>
            </w:r>
            <w:r w:rsidRPr="003225AC">
              <w:t>ations are those encountered in meeting performance requirements and compliance standards, revising a machine operating parameters and dealing with machine malfunctions.</w:t>
            </w:r>
          </w:p>
          <w:p w:rsidR="00000000" w:rsidRPr="003225AC" w:rsidP="003225AC">
            <w:pPr>
              <w:pStyle w:val="BodyText"/>
            </w:pPr>
            <w:r w:rsidRPr="003225AC">
              <w:t>Generic terms used throughout this Vocational Standard shall be regarded as part of th</w:t>
            </w:r>
            <w:r w:rsidRPr="003225AC">
              <w:t>e Range Statement in which competency is demonstrated. The definition of these and other terms that apply are given in Volume 2, Part 2.1.</w:t>
            </w:r>
          </w:p>
        </w:tc>
      </w:tr>
    </w:tbl>
    <w:p w:rsidR="00000000" w:rsidRPr="003225AC" w:rsidP="003225AC">
      <w:pPr>
        <w:pStyle w:val="BodyText"/>
      </w:pPr>
    </w:p>
    <w:p w:rsidR="00000000" w:rsidRPr="003225AC" w:rsidP="003225AC">
      <w:pPr>
        <w:pStyle w:val="AllowPageBreak"/>
      </w:pPr>
    </w:p>
    <w:p w:rsidR="00000000" w:rsidRPr="003225AC" w:rsidP="003225AC">
      <w:pPr>
        <w:pStyle w:val="Heading1"/>
      </w:pPr>
      <w:bookmarkStart w:id="12" w:name="O_418422"/>
      <w:bookmarkEnd w:id="12"/>
      <w:r w:rsidRPr="003225AC">
        <w:t>Unit Sector(s)</w:t>
      </w:r>
    </w:p>
    <w:p w:rsidR="00000000" w:rsidRPr="003225AC" w:rsidP="003225AC">
      <w:pPr>
        <w:pStyle w:val="BodyText"/>
      </w:pPr>
      <w:r w:rsidRPr="003225AC">
        <w:t>Not applicable.</w:t>
      </w:r>
    </w:p>
    <w:p w:rsidR="00000000" w:rsidRPr="003225AC" w:rsidP="003225AC">
      <w:pPr>
        <w:pStyle w:val="AllowPageBreak"/>
      </w:pPr>
    </w:p>
    <w:p w:rsidR="00000000" w:rsidRPr="003225AC" w:rsidP="003225AC">
      <w:pPr>
        <w:pStyle w:val="Heading1"/>
      </w:pPr>
      <w:bookmarkStart w:id="13" w:name="O_418411"/>
      <w:bookmarkEnd w:id="13"/>
      <w:r w:rsidRPr="003225AC">
        <w:t>Competency Field</w:t>
      </w:r>
    </w:p>
    <w:tbl>
      <w:tblPr>
        <w:tblW w:w="0" w:type="auto"/>
        <w:tblLayout w:type="fixed"/>
        <w:tblCellMar>
          <w:left w:w="62" w:type="dxa"/>
          <w:right w:w="62" w:type="dxa"/>
        </w:tblCellMar>
        <w:tblLook w:val="0000"/>
      </w:tblPr>
      <w:tblGrid>
        <w:gridCol w:w="2700"/>
        <w:gridCol w:w="5760"/>
      </w:tblGrid>
      <w:tr w:rsidTr="003160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225AC">
            <w:pPr>
              <w:pStyle w:val="BodyText"/>
              <w:rPr>
                <w:lang w:val="en-NZ"/>
              </w:rPr>
            </w:pPr>
            <w:r w:rsidRPr="003225AC">
              <w:rPr>
                <w:rStyle w:val="SpecialBold"/>
              </w:rPr>
              <w:t xml:space="preserve">11) </w:t>
            </w:r>
          </w:p>
        </w:tc>
      </w:tr>
      <w:tr w:rsidTr="003160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25AC" w:rsidP="003225AC">
            <w:pPr>
              <w:pStyle w:val="BodyText"/>
            </w:pPr>
            <w:r w:rsidRPr="003225AC">
              <w:t>Electrotechnology</w:t>
            </w:r>
          </w:p>
        </w:tc>
      </w:tr>
    </w:tbl>
    <w:p w:rsidR="00000000" w:rsidRPr="003225AC" w:rsidP="003225AC">
      <w:pPr>
        <w:pStyle w:val="BodyText"/>
      </w:pPr>
    </w:p>
    <w:p w:rsidR="00000000" w:rsidRPr="003225AC" w:rsidP="003225AC"/>
    <w:sectPr w:rsidSect="003225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601C" w:rsidP="0031601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01C" w:rsidP="003225A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1601C" w:rsidP="003225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1601C" w:rsidP="003225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AC" w:rsidRPr="0031601C" w:rsidP="003160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01C" w:rsidRPr="002D2AF8" w:rsidP="003225AC">
    <w:pPr>
      <w:pStyle w:val="Header"/>
      <w:framePr w:wrap="around"/>
    </w:pPr>
    <w:r>
      <w:fldChar w:fldCharType="begin"/>
    </w:r>
    <w:r>
      <w:instrText xml:space="preserve"> TITLE   \* MERGEFORMAT </w:instrText>
    </w:r>
    <w:r>
      <w:fldChar w:fldCharType="separate"/>
    </w:r>
    <w:r>
      <w:t>UEENEEE160A Provide engineering solutions for uses of materials and thermodynamic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October 2012</w:t>
    </w:r>
    <w:r>
      <w:fldChar w:fldCharType="end"/>
    </w:r>
  </w:p>
  <w:p w:rsidR="0031601C" w:rsidP="003225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AA9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BC12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1461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5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5AC"/>
    <w:pPr>
      <w:spacing w:before="360" w:after="60"/>
      <w:outlineLvl w:val="0"/>
    </w:pPr>
    <w:rPr>
      <w:sz w:val="32"/>
    </w:rPr>
  </w:style>
  <w:style w:type="paragraph" w:styleId="Heading2">
    <w:name w:val="heading 2"/>
    <w:basedOn w:val="HeadingBase"/>
    <w:next w:val="BodyText"/>
    <w:link w:val="Heading2Char"/>
    <w:qFormat/>
    <w:rsid w:val="003225AC"/>
    <w:pPr>
      <w:keepLines/>
      <w:spacing w:before="240" w:after="120"/>
      <w:outlineLvl w:val="1"/>
    </w:pPr>
    <w:rPr>
      <w:sz w:val="28"/>
      <w:szCs w:val="40"/>
    </w:rPr>
  </w:style>
  <w:style w:type="paragraph" w:styleId="Heading3">
    <w:name w:val="heading 3"/>
    <w:basedOn w:val="HeadingBase"/>
    <w:next w:val="BodyText"/>
    <w:link w:val="Heading3Char"/>
    <w:qFormat/>
    <w:rsid w:val="003225AC"/>
    <w:pPr>
      <w:spacing w:before="180" w:after="120"/>
      <w:outlineLvl w:val="2"/>
    </w:pPr>
    <w:rPr>
      <w:spacing w:val="-10"/>
      <w:kern w:val="32"/>
    </w:rPr>
  </w:style>
  <w:style w:type="paragraph" w:styleId="Heading4">
    <w:name w:val="heading 4"/>
    <w:basedOn w:val="HeadingBase"/>
    <w:next w:val="BodyText"/>
    <w:link w:val="Heading4Char"/>
    <w:qFormat/>
    <w:rsid w:val="003225AC"/>
    <w:pPr>
      <w:spacing w:before="160" w:after="120"/>
      <w:outlineLvl w:val="3"/>
    </w:pPr>
    <w:rPr>
      <w:sz w:val="22"/>
    </w:rPr>
  </w:style>
  <w:style w:type="paragraph" w:styleId="Heading5">
    <w:name w:val="heading 5"/>
    <w:basedOn w:val="HeadingBase"/>
    <w:next w:val="Normal"/>
    <w:link w:val="Heading5Char"/>
    <w:qFormat/>
    <w:rsid w:val="003225AC"/>
    <w:pPr>
      <w:spacing w:before="80"/>
      <w:outlineLvl w:val="4"/>
    </w:pPr>
    <w:rPr>
      <w:color w:val="918585"/>
      <w:sz w:val="20"/>
    </w:rPr>
  </w:style>
  <w:style w:type="paragraph" w:styleId="Heading6">
    <w:name w:val="heading 6"/>
    <w:basedOn w:val="HeadingBase"/>
    <w:next w:val="Normal"/>
    <w:link w:val="Heading6Char"/>
    <w:qFormat/>
    <w:rsid w:val="003225AC"/>
    <w:pPr>
      <w:spacing w:before="60"/>
      <w:outlineLvl w:val="5"/>
    </w:pPr>
    <w:rPr>
      <w:color w:val="918585"/>
      <w:sz w:val="20"/>
    </w:rPr>
  </w:style>
  <w:style w:type="paragraph" w:styleId="Heading7">
    <w:name w:val="heading 7"/>
    <w:basedOn w:val="Normal"/>
    <w:next w:val="Normal"/>
    <w:link w:val="Heading7Char"/>
    <w:qFormat/>
    <w:rsid w:val="003225AC"/>
    <w:pPr>
      <w:ind w:left="720"/>
      <w:outlineLvl w:val="6"/>
    </w:pPr>
    <w:rPr>
      <w:i/>
    </w:rPr>
  </w:style>
  <w:style w:type="paragraph" w:styleId="Heading8">
    <w:name w:val="heading 8"/>
    <w:basedOn w:val="Normal"/>
    <w:next w:val="Normal"/>
    <w:link w:val="Heading8Char"/>
    <w:qFormat/>
    <w:rsid w:val="003225AC"/>
    <w:pPr>
      <w:ind w:left="720"/>
      <w:outlineLvl w:val="7"/>
    </w:pPr>
    <w:rPr>
      <w:i/>
    </w:rPr>
  </w:style>
  <w:style w:type="paragraph" w:styleId="Heading9">
    <w:name w:val="heading 9"/>
    <w:basedOn w:val="Normal"/>
    <w:next w:val="Normal"/>
    <w:link w:val="Heading9Char"/>
    <w:qFormat/>
    <w:rsid w:val="003225AC"/>
    <w:pPr>
      <w:ind w:left="720"/>
      <w:outlineLvl w:val="8"/>
    </w:pPr>
    <w:rPr>
      <w:i/>
    </w:rPr>
  </w:style>
  <w:style w:type="character" w:default="1" w:styleId="DefaultParagraphFont">
    <w:name w:val="Default Paragraph Font"/>
    <w:uiPriority w:val="1"/>
    <w:unhideWhenUsed/>
    <w:rsid w:val="003225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5AC"/>
  </w:style>
  <w:style w:type="character" w:customStyle="1" w:styleId="Heading1Char">
    <w:name w:val="Heading 1 Char"/>
    <w:basedOn w:val="DefaultParagraphFont"/>
    <w:link w:val="Heading1"/>
    <w:rsid w:val="003225AC"/>
    <w:rPr>
      <w:rFonts w:ascii="Times New Roman" w:eastAsia="Times New Roman" w:hAnsi="Times New Roman" w:cs="Times New Roman"/>
      <w:b/>
      <w:sz w:val="32"/>
      <w:szCs w:val="20"/>
      <w:lang w:eastAsia="en-US"/>
    </w:rPr>
  </w:style>
  <w:style w:type="paragraph" w:styleId="BodyText">
    <w:name w:val="Body Text"/>
    <w:basedOn w:val="Normal"/>
    <w:link w:val="BodyTextChar"/>
    <w:rsid w:val="003225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25AC"/>
    <w:rPr>
      <w:rFonts w:ascii="Times New Roman" w:eastAsia="Times New Roman" w:hAnsi="Times New Roman" w:cs="Times New Roman"/>
      <w:sz w:val="24"/>
      <w:lang w:eastAsia="en-US"/>
    </w:rPr>
  </w:style>
  <w:style w:type="paragraph" w:styleId="Footer">
    <w:name w:val="footer"/>
    <w:basedOn w:val="Normal"/>
    <w:link w:val="FooterChar"/>
    <w:rsid w:val="003225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5AC"/>
    <w:rPr>
      <w:rFonts w:ascii="Times New Roman" w:eastAsia="Times New Roman" w:hAnsi="Times New Roman" w:cs="Times New Roman"/>
      <w:sz w:val="16"/>
      <w:lang w:eastAsia="en-US"/>
    </w:rPr>
  </w:style>
  <w:style w:type="paragraph" w:styleId="ListBullet">
    <w:name w:val="List Bullet"/>
    <w:basedOn w:val="List"/>
    <w:rsid w:val="003225AC"/>
    <w:pPr>
      <w:numPr>
        <w:numId w:val="13"/>
      </w:numPr>
      <w:tabs>
        <w:tab w:val="clear" w:pos="340"/>
      </w:tabs>
      <w:spacing w:before="40" w:after="40"/>
    </w:pPr>
  </w:style>
  <w:style w:type="character" w:customStyle="1" w:styleId="SpecialBold">
    <w:name w:val="Special Bold"/>
    <w:basedOn w:val="DefaultParagraphFont"/>
    <w:rsid w:val="003225AC"/>
    <w:rPr>
      <w:b/>
      <w:spacing w:val="0"/>
    </w:rPr>
  </w:style>
  <w:style w:type="paragraph" w:styleId="ListBullet2">
    <w:name w:val="List Bullet 2"/>
    <w:basedOn w:val="List2"/>
    <w:rsid w:val="003225AC"/>
    <w:pPr>
      <w:numPr>
        <w:numId w:val="14"/>
      </w:numPr>
      <w:tabs>
        <w:tab w:val="clear" w:pos="680"/>
      </w:tabs>
    </w:pPr>
  </w:style>
  <w:style w:type="paragraph" w:customStyle="1" w:styleId="SuperHeading">
    <w:name w:val="SuperHeading"/>
    <w:basedOn w:val="Normal"/>
    <w:rsid w:val="003225AC"/>
    <w:pPr>
      <w:spacing w:before="240" w:after="120"/>
      <w:outlineLvl w:val="0"/>
    </w:pPr>
    <w:rPr>
      <w:rFonts w:ascii="Times New Roman" w:hAnsi="Times New Roman"/>
      <w:b/>
      <w:sz w:val="28"/>
    </w:rPr>
  </w:style>
  <w:style w:type="paragraph" w:customStyle="1" w:styleId="AllowPageBreak">
    <w:name w:val="AllowPageBreak"/>
    <w:rsid w:val="003225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25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5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5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5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5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5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5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5AC"/>
    <w:rPr>
      <w:rFonts w:ascii="Courier New" w:eastAsia="Times New Roman" w:hAnsi="Courier New" w:cs="Times New Roman"/>
      <w:i/>
      <w:szCs w:val="20"/>
      <w:lang w:eastAsia="en-US"/>
    </w:rPr>
  </w:style>
  <w:style w:type="paragraph" w:customStyle="1" w:styleId="HeadingBase">
    <w:name w:val="Heading Base"/>
    <w:rsid w:val="003225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5AC"/>
    <w:pPr>
      <w:tabs>
        <w:tab w:val="right" w:leader="dot" w:pos="9072"/>
      </w:tabs>
      <w:ind w:left="567"/>
    </w:pPr>
    <w:rPr>
      <w:szCs w:val="22"/>
    </w:rPr>
  </w:style>
  <w:style w:type="paragraph" w:customStyle="1" w:styleId="TOCBase">
    <w:name w:val="TOC Base"/>
    <w:rsid w:val="003225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5AC"/>
    <w:pPr>
      <w:tabs>
        <w:tab w:val="right" w:leader="dot" w:pos="9072"/>
      </w:tabs>
      <w:spacing w:before="40" w:after="40"/>
      <w:ind w:left="284"/>
    </w:pPr>
    <w:rPr>
      <w:rFonts w:ascii="Times New Roman" w:hAnsi="Times New Roman"/>
    </w:rPr>
  </w:style>
  <w:style w:type="paragraph" w:styleId="TOC1">
    <w:name w:val="toc 1"/>
    <w:basedOn w:val="TOCBase"/>
    <w:next w:val="Normal"/>
    <w:rsid w:val="003225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25AC"/>
    <w:pPr>
      <w:spacing w:before="5040"/>
      <w:jc w:val="center"/>
    </w:pPr>
    <w:rPr>
      <w:sz w:val="48"/>
      <w:szCs w:val="72"/>
      <w:lang w:val="en-US"/>
    </w:rPr>
  </w:style>
  <w:style w:type="character" w:customStyle="1" w:styleId="TitleChar">
    <w:name w:val="Title Char"/>
    <w:basedOn w:val="DefaultParagraphFont"/>
    <w:link w:val="Title"/>
    <w:rsid w:val="003225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5AC"/>
    <w:pPr>
      <w:tabs>
        <w:tab w:val="left" w:pos="3600"/>
        <w:tab w:val="left" w:pos="3958"/>
      </w:tabs>
    </w:pPr>
  </w:style>
  <w:style w:type="paragraph" w:styleId="List">
    <w:name w:val="List"/>
    <w:basedOn w:val="BodyText"/>
    <w:next w:val="BodyText"/>
    <w:rsid w:val="003225AC"/>
    <w:pPr>
      <w:tabs>
        <w:tab w:val="left" w:pos="340"/>
      </w:tabs>
      <w:spacing w:before="60" w:after="60"/>
      <w:ind w:left="340" w:hanging="340"/>
    </w:pPr>
  </w:style>
  <w:style w:type="paragraph" w:customStyle="1" w:styleId="Note">
    <w:name w:val="Note"/>
    <w:basedOn w:val="BodyText"/>
    <w:rsid w:val="003225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5AC"/>
    <w:pPr>
      <w:framePr w:wrap="auto" w:hAnchor="text" w:y="6049"/>
    </w:pPr>
    <w:rPr>
      <w:color w:val="000000"/>
      <w:sz w:val="40"/>
    </w:rPr>
  </w:style>
  <w:style w:type="paragraph" w:customStyle="1" w:styleId="TOCTitle">
    <w:name w:val="TOCTitle"/>
    <w:basedOn w:val="Heading1"/>
    <w:rsid w:val="003225AC"/>
    <w:pPr>
      <w:spacing w:after="240"/>
      <w:jc w:val="center"/>
      <w:outlineLvl w:val="9"/>
    </w:pPr>
    <w:rPr>
      <w:caps/>
    </w:rPr>
  </w:style>
  <w:style w:type="paragraph" w:customStyle="1" w:styleId="Version">
    <w:name w:val="Version"/>
    <w:rsid w:val="003225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5AC"/>
    <w:pPr>
      <w:keepNext w:val="0"/>
      <w:tabs>
        <w:tab w:val="right" w:pos="4176"/>
      </w:tabs>
      <w:ind w:left="198" w:hanging="198"/>
    </w:pPr>
    <w:rPr>
      <w:rFonts w:ascii="Garamond" w:hAnsi="Garamond"/>
    </w:rPr>
  </w:style>
  <w:style w:type="paragraph" w:styleId="IndexHeading">
    <w:name w:val="index heading"/>
    <w:basedOn w:val="Normal"/>
    <w:next w:val="Index1"/>
    <w:semiHidden/>
    <w:rsid w:val="003225AC"/>
    <w:pPr>
      <w:spacing w:before="120" w:after="120"/>
    </w:pPr>
    <w:rPr>
      <w:rFonts w:ascii="Arial" w:hAnsi="Arial"/>
      <w:b/>
      <w:color w:val="918585"/>
      <w:sz w:val="24"/>
    </w:rPr>
  </w:style>
  <w:style w:type="paragraph" w:styleId="Header">
    <w:name w:val="header"/>
    <w:basedOn w:val="Normal"/>
    <w:link w:val="HeaderChar"/>
    <w:rsid w:val="003225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5AC"/>
    <w:rPr>
      <w:rFonts w:ascii="Times New Roman" w:eastAsia="Times New Roman" w:hAnsi="Times New Roman" w:cs="Times New Roman"/>
      <w:sz w:val="16"/>
      <w:szCs w:val="20"/>
      <w:lang w:val="en-GB" w:eastAsia="en-US"/>
    </w:rPr>
  </w:style>
  <w:style w:type="paragraph" w:customStyle="1" w:styleId="Chapter">
    <w:name w:val="Chapter"/>
    <w:basedOn w:val="Normal"/>
    <w:rsid w:val="003225AC"/>
    <w:pPr>
      <w:spacing w:before="240"/>
    </w:pPr>
    <w:rPr>
      <w:rFonts w:ascii="Times New Roman" w:hAnsi="Times New Roman"/>
      <w:smallCaps/>
      <w:spacing w:val="80"/>
      <w:sz w:val="28"/>
    </w:rPr>
  </w:style>
  <w:style w:type="paragraph" w:customStyle="1" w:styleId="InChapter">
    <w:name w:val="InChapter"/>
    <w:basedOn w:val="Heading3"/>
    <w:rsid w:val="003225AC"/>
    <w:pPr>
      <w:spacing w:after="240"/>
      <w:outlineLvl w:val="9"/>
    </w:pPr>
    <w:rPr>
      <w:noProof/>
    </w:rPr>
  </w:style>
  <w:style w:type="paragraph" w:styleId="Index2">
    <w:name w:val="index 2"/>
    <w:basedOn w:val="Normal"/>
    <w:next w:val="Normal"/>
    <w:semiHidden/>
    <w:rsid w:val="003225AC"/>
    <w:pPr>
      <w:tabs>
        <w:tab w:val="right" w:pos="4176"/>
      </w:tabs>
      <w:ind w:left="568" w:hanging="284"/>
    </w:pPr>
    <w:rPr>
      <w:rFonts w:ascii="Garamond" w:hAnsi="Garamond"/>
    </w:rPr>
  </w:style>
  <w:style w:type="paragraph" w:customStyle="1" w:styleId="Byline">
    <w:name w:val="Byline"/>
    <w:rsid w:val="003225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5AC"/>
    <w:pPr>
      <w:tabs>
        <w:tab w:val="clear" w:pos="3600"/>
        <w:tab w:val="clear" w:pos="3958"/>
      </w:tabs>
      <w:jc w:val="right"/>
    </w:pPr>
  </w:style>
  <w:style w:type="character" w:styleId="Emphasis">
    <w:name w:val="Emphasis"/>
    <w:basedOn w:val="DefaultParagraphFont"/>
    <w:qFormat/>
    <w:rsid w:val="003225AC"/>
    <w:rPr>
      <w:i/>
    </w:rPr>
  </w:style>
  <w:style w:type="paragraph" w:styleId="Caption">
    <w:name w:val="caption"/>
    <w:basedOn w:val="BodyText"/>
    <w:next w:val="Normal"/>
    <w:qFormat/>
    <w:rsid w:val="003225AC"/>
    <w:pPr>
      <w:framePr w:w="2268" w:hSpace="181" w:vSpace="181" w:wrap="around" w:vAnchor="text" w:hAnchor="page" w:x="1135" w:y="285" w:anchorLock="1"/>
    </w:pPr>
    <w:rPr>
      <w:i/>
    </w:rPr>
  </w:style>
  <w:style w:type="paragraph" w:customStyle="1" w:styleId="MiniTOCTitle">
    <w:name w:val="MiniTOCTitle"/>
    <w:basedOn w:val="Heading4"/>
    <w:rsid w:val="003225AC"/>
    <w:pPr>
      <w:spacing w:before="240"/>
      <w:outlineLvl w:val="9"/>
    </w:pPr>
    <w:rPr>
      <w:noProof/>
      <w:sz w:val="24"/>
    </w:rPr>
  </w:style>
  <w:style w:type="paragraph" w:customStyle="1" w:styleId="MiniTOCItem">
    <w:name w:val="MiniTOCItem"/>
    <w:basedOn w:val="ListBullet"/>
    <w:rsid w:val="003225AC"/>
    <w:pPr>
      <w:numPr>
        <w:numId w:val="0"/>
      </w:numPr>
      <w:tabs>
        <w:tab w:val="right" w:leader="dot" w:pos="6521"/>
      </w:tabs>
      <w:spacing w:before="0" w:after="0"/>
    </w:pPr>
  </w:style>
  <w:style w:type="paragraph" w:customStyle="1" w:styleId="TOFTitle">
    <w:name w:val="TOFTitle"/>
    <w:basedOn w:val="TOCTitle"/>
    <w:rsid w:val="003225AC"/>
  </w:style>
  <w:style w:type="paragraph" w:styleId="TableofFigures">
    <w:name w:val="table of figures"/>
    <w:basedOn w:val="Normal"/>
    <w:next w:val="Normal"/>
    <w:semiHidden/>
    <w:rsid w:val="003225AC"/>
    <w:pPr>
      <w:tabs>
        <w:tab w:val="right" w:leader="dot" w:pos="9072"/>
      </w:tabs>
      <w:ind w:left="970" w:hanging="403"/>
    </w:pPr>
    <w:rPr>
      <w:rFonts w:ascii="Times New Roman" w:hAnsi="Times New Roman"/>
      <w:b/>
    </w:rPr>
  </w:style>
  <w:style w:type="paragraph" w:styleId="ListNumber">
    <w:name w:val="List Number"/>
    <w:basedOn w:val="List"/>
    <w:rsid w:val="003225AC"/>
    <w:pPr>
      <w:numPr>
        <w:numId w:val="11"/>
      </w:numPr>
    </w:pPr>
  </w:style>
  <w:style w:type="character" w:customStyle="1" w:styleId="WingdingSymbols">
    <w:name w:val="Wingding Symbols"/>
    <w:rsid w:val="003225AC"/>
    <w:rPr>
      <w:rFonts w:ascii="Wingdings" w:hAnsi="Wingdings"/>
    </w:rPr>
  </w:style>
  <w:style w:type="paragraph" w:customStyle="1" w:styleId="TableHeading">
    <w:name w:val="Table Heading"/>
    <w:basedOn w:val="HeadingBase"/>
    <w:rsid w:val="003225AC"/>
    <w:pPr>
      <w:keepLines/>
      <w:pBdr>
        <w:bottom w:val="single" w:sz="6" w:space="1" w:color="918585"/>
      </w:pBdr>
      <w:spacing w:before="240"/>
    </w:pPr>
  </w:style>
  <w:style w:type="character" w:customStyle="1" w:styleId="HotSpot">
    <w:name w:val="HotSpot"/>
    <w:rsid w:val="003225AC"/>
    <w:rPr>
      <w:color w:val="0033CC"/>
      <w:u w:val="none"/>
    </w:rPr>
  </w:style>
  <w:style w:type="paragraph" w:customStyle="1" w:styleId="BodyTextRight">
    <w:name w:val="Body Text Right"/>
    <w:basedOn w:val="BodyText"/>
    <w:rsid w:val="003225AC"/>
    <w:pPr>
      <w:spacing w:before="0" w:after="0"/>
      <w:jc w:val="right"/>
    </w:pPr>
  </w:style>
  <w:style w:type="paragraph" w:styleId="Index3">
    <w:name w:val="index 3"/>
    <w:basedOn w:val="ListNumber2"/>
    <w:next w:val="Normal"/>
    <w:semiHidden/>
    <w:rsid w:val="003225AC"/>
    <w:pPr>
      <w:numPr>
        <w:numId w:val="0"/>
      </w:numPr>
      <w:tabs>
        <w:tab w:val="right" w:leader="dot" w:pos="4176"/>
      </w:tabs>
    </w:pPr>
  </w:style>
  <w:style w:type="paragraph" w:styleId="ListNumber2">
    <w:name w:val="List Number 2"/>
    <w:basedOn w:val="List2"/>
    <w:rsid w:val="003225AC"/>
    <w:pPr>
      <w:numPr>
        <w:numId w:val="10"/>
      </w:numPr>
      <w:tabs>
        <w:tab w:val="clear" w:pos="1060"/>
      </w:tabs>
    </w:pPr>
  </w:style>
  <w:style w:type="paragraph" w:customStyle="1" w:styleId="MarginNote">
    <w:name w:val="Margin Note"/>
    <w:basedOn w:val="BodyText"/>
    <w:rsid w:val="003225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5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5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5AC"/>
    <w:rPr>
      <w:sz w:val="32"/>
    </w:rPr>
  </w:style>
  <w:style w:type="paragraph" w:customStyle="1" w:styleId="HeadingProcedure">
    <w:name w:val="Heading Procedure"/>
    <w:basedOn w:val="HeadingBase"/>
    <w:next w:val="Normal"/>
    <w:rsid w:val="003225AC"/>
    <w:pPr>
      <w:tabs>
        <w:tab w:val="left" w:pos="0"/>
      </w:tabs>
      <w:spacing w:before="120" w:after="60"/>
    </w:pPr>
    <w:rPr>
      <w:i/>
      <w:color w:val="918585"/>
      <w:sz w:val="22"/>
    </w:rPr>
  </w:style>
  <w:style w:type="paragraph" w:customStyle="1" w:styleId="TableBodyText">
    <w:name w:val="Table Body Text"/>
    <w:basedOn w:val="BodyText"/>
    <w:rsid w:val="003225AC"/>
    <w:pPr>
      <w:spacing w:before="60" w:after="60"/>
    </w:pPr>
  </w:style>
  <w:style w:type="paragraph" w:styleId="ListContinue">
    <w:name w:val="List Continue"/>
    <w:basedOn w:val="List"/>
    <w:rsid w:val="003225AC"/>
    <w:pPr>
      <w:ind w:firstLine="0"/>
    </w:pPr>
  </w:style>
  <w:style w:type="paragraph" w:customStyle="1" w:styleId="ListNote">
    <w:name w:val="List Note"/>
    <w:basedOn w:val="List"/>
    <w:rsid w:val="003225AC"/>
    <w:pPr>
      <w:pBdr>
        <w:top w:val="single" w:sz="6" w:space="2" w:color="918585"/>
        <w:bottom w:val="single" w:sz="6" w:space="2" w:color="918585"/>
      </w:pBdr>
      <w:tabs>
        <w:tab w:val="left" w:pos="1021"/>
      </w:tabs>
      <w:ind w:firstLine="0"/>
    </w:pPr>
  </w:style>
  <w:style w:type="paragraph" w:customStyle="1" w:styleId="Warning">
    <w:name w:val="Warning"/>
    <w:basedOn w:val="BodyText"/>
    <w:rsid w:val="003225AC"/>
    <w:pPr>
      <w:shd w:val="clear" w:color="auto" w:fill="D9D9D9"/>
      <w:tabs>
        <w:tab w:val="left" w:pos="992"/>
      </w:tabs>
      <w:ind w:left="119" w:right="119"/>
    </w:pPr>
    <w:rPr>
      <w:sz w:val="20"/>
    </w:rPr>
  </w:style>
  <w:style w:type="paragraph" w:customStyle="1" w:styleId="MarginIcons">
    <w:name w:val="Margin Icons"/>
    <w:basedOn w:val="BodyText"/>
    <w:rsid w:val="003225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5AC"/>
    <w:rPr>
      <w:rFonts w:ascii="Courier New" w:hAnsi="Courier New"/>
    </w:rPr>
  </w:style>
  <w:style w:type="paragraph" w:customStyle="1" w:styleId="NoteBullet">
    <w:name w:val="Note Bullet"/>
    <w:basedOn w:val="Note"/>
    <w:rsid w:val="003225AC"/>
    <w:pPr>
      <w:tabs>
        <w:tab w:val="clear" w:pos="680"/>
      </w:tabs>
      <w:spacing w:before="60" w:after="60"/>
    </w:pPr>
  </w:style>
  <w:style w:type="paragraph" w:customStyle="1" w:styleId="SubHeading2">
    <w:name w:val="SubHeading2"/>
    <w:basedOn w:val="HeadingBase"/>
    <w:rsid w:val="003225AC"/>
    <w:pPr>
      <w:spacing w:before="240" w:after="60"/>
    </w:pPr>
    <w:rPr>
      <w:sz w:val="20"/>
    </w:rPr>
  </w:style>
  <w:style w:type="paragraph" w:customStyle="1" w:styleId="SubHeading1">
    <w:name w:val="SubHeading1"/>
    <w:basedOn w:val="HeadingBase"/>
    <w:rsid w:val="003225AC"/>
    <w:pPr>
      <w:spacing w:before="240" w:after="60"/>
    </w:pPr>
    <w:rPr>
      <w:color w:val="918585"/>
      <w:sz w:val="22"/>
    </w:rPr>
  </w:style>
  <w:style w:type="paragraph" w:customStyle="1" w:styleId="SideHeading">
    <w:name w:val="Side Heading"/>
    <w:basedOn w:val="HeadingBase"/>
    <w:rsid w:val="003225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5AC"/>
    <w:pPr>
      <w:numPr>
        <w:numId w:val="12"/>
      </w:numPr>
    </w:pPr>
  </w:style>
  <w:style w:type="paragraph" w:styleId="PlainText">
    <w:name w:val="Plain Text"/>
    <w:basedOn w:val="Normal"/>
    <w:link w:val="PlainTextChar"/>
    <w:rsid w:val="003225AC"/>
    <w:rPr>
      <w:sz w:val="20"/>
    </w:rPr>
  </w:style>
  <w:style w:type="character" w:customStyle="1" w:styleId="PlainTextChar">
    <w:name w:val="Plain Text Char"/>
    <w:basedOn w:val="DefaultParagraphFont"/>
    <w:link w:val="PlainText"/>
    <w:rsid w:val="003225AC"/>
    <w:rPr>
      <w:rFonts w:ascii="Courier New" w:eastAsia="Times New Roman" w:hAnsi="Courier New" w:cs="Times New Roman"/>
      <w:sz w:val="20"/>
      <w:szCs w:val="20"/>
      <w:lang w:eastAsia="en-US"/>
    </w:rPr>
  </w:style>
  <w:style w:type="character" w:customStyle="1" w:styleId="MenuOption">
    <w:name w:val="Menu Option"/>
    <w:basedOn w:val="DefaultParagraphFont"/>
    <w:rsid w:val="003225AC"/>
    <w:rPr>
      <w:b/>
      <w:smallCaps/>
    </w:rPr>
  </w:style>
  <w:style w:type="paragraph" w:customStyle="1" w:styleId="TableListNumber">
    <w:name w:val="Table List Number"/>
    <w:basedOn w:val="ListNumber"/>
    <w:rsid w:val="003225AC"/>
    <w:pPr>
      <w:numPr>
        <w:numId w:val="0"/>
      </w:numPr>
    </w:pPr>
  </w:style>
  <w:style w:type="paragraph" w:styleId="TOC4">
    <w:name w:val="toc 4"/>
    <w:basedOn w:val="TOCBase"/>
    <w:next w:val="Normal"/>
    <w:semiHidden/>
    <w:rsid w:val="003225AC"/>
    <w:pPr>
      <w:tabs>
        <w:tab w:val="right" w:leader="dot" w:pos="9071"/>
      </w:tabs>
      <w:ind w:left="1701"/>
    </w:pPr>
  </w:style>
  <w:style w:type="paragraph" w:customStyle="1" w:styleId="ListAlpha">
    <w:name w:val="List Alpha"/>
    <w:basedOn w:val="List"/>
    <w:rsid w:val="003225AC"/>
    <w:pPr>
      <w:numPr>
        <w:numId w:val="9"/>
      </w:numPr>
    </w:pPr>
  </w:style>
  <w:style w:type="paragraph" w:customStyle="1" w:styleId="ListAlpha2">
    <w:name w:val="List Alpha 2"/>
    <w:basedOn w:val="List2"/>
    <w:rsid w:val="003225AC"/>
    <w:pPr>
      <w:numPr>
        <w:numId w:val="8"/>
      </w:numPr>
    </w:pPr>
  </w:style>
  <w:style w:type="paragraph" w:styleId="List2">
    <w:name w:val="List 2"/>
    <w:basedOn w:val="BodyText"/>
    <w:rsid w:val="003225AC"/>
    <w:pPr>
      <w:tabs>
        <w:tab w:val="left" w:pos="680"/>
      </w:tabs>
      <w:spacing w:before="60" w:after="60"/>
      <w:ind w:left="680" w:hanging="340"/>
    </w:pPr>
  </w:style>
  <w:style w:type="paragraph" w:styleId="List3">
    <w:name w:val="List 3"/>
    <w:basedOn w:val="BodyText"/>
    <w:rsid w:val="003225AC"/>
    <w:pPr>
      <w:tabs>
        <w:tab w:val="left" w:pos="1021"/>
      </w:tabs>
      <w:spacing w:before="60" w:after="60"/>
      <w:ind w:left="1020" w:hanging="340"/>
    </w:pPr>
  </w:style>
  <w:style w:type="paragraph" w:styleId="List4">
    <w:name w:val="List 4"/>
    <w:basedOn w:val="BodyText"/>
    <w:rsid w:val="003225AC"/>
    <w:pPr>
      <w:tabs>
        <w:tab w:val="left" w:pos="1361"/>
      </w:tabs>
      <w:spacing w:before="60" w:after="60"/>
      <w:ind w:left="1361" w:hanging="340"/>
    </w:pPr>
  </w:style>
  <w:style w:type="paragraph" w:styleId="List5">
    <w:name w:val="List 5"/>
    <w:basedOn w:val="BodyText"/>
    <w:rsid w:val="003225AC"/>
    <w:pPr>
      <w:tabs>
        <w:tab w:val="left" w:pos="1701"/>
      </w:tabs>
      <w:spacing w:before="60" w:after="60"/>
      <w:ind w:left="1701" w:hanging="340"/>
    </w:pPr>
  </w:style>
  <w:style w:type="paragraph" w:styleId="ListBullet3">
    <w:name w:val="List Bullet 3"/>
    <w:basedOn w:val="List3"/>
    <w:rsid w:val="003225AC"/>
    <w:pPr>
      <w:numPr>
        <w:numId w:val="15"/>
      </w:numPr>
      <w:tabs>
        <w:tab w:val="clear" w:pos="1021"/>
      </w:tabs>
      <w:ind w:left="1037" w:hanging="357"/>
    </w:pPr>
  </w:style>
  <w:style w:type="paragraph" w:styleId="ListBullet4">
    <w:name w:val="List Bullet 4"/>
    <w:basedOn w:val="List4"/>
    <w:rsid w:val="003225AC"/>
    <w:pPr>
      <w:numPr>
        <w:numId w:val="3"/>
      </w:numPr>
    </w:pPr>
  </w:style>
  <w:style w:type="paragraph" w:styleId="ListBullet5">
    <w:name w:val="List Bullet 5"/>
    <w:basedOn w:val="List5"/>
    <w:rsid w:val="003225AC"/>
    <w:pPr>
      <w:numPr>
        <w:numId w:val="4"/>
      </w:numPr>
    </w:pPr>
  </w:style>
  <w:style w:type="paragraph" w:styleId="ListContinue2">
    <w:name w:val="List Continue 2"/>
    <w:basedOn w:val="List2"/>
    <w:rsid w:val="003225AC"/>
    <w:pPr>
      <w:ind w:firstLine="0"/>
    </w:pPr>
  </w:style>
  <w:style w:type="paragraph" w:styleId="ListContinue3">
    <w:name w:val="List Continue 3"/>
    <w:basedOn w:val="List3"/>
    <w:rsid w:val="003225AC"/>
    <w:pPr>
      <w:ind w:left="1021" w:firstLine="0"/>
    </w:pPr>
  </w:style>
  <w:style w:type="paragraph" w:styleId="ListContinue4">
    <w:name w:val="List Continue 4"/>
    <w:basedOn w:val="List4"/>
    <w:rsid w:val="003225AC"/>
    <w:pPr>
      <w:ind w:firstLine="0"/>
    </w:pPr>
  </w:style>
  <w:style w:type="paragraph" w:styleId="ListContinue5">
    <w:name w:val="List Continue 5"/>
    <w:basedOn w:val="List5"/>
    <w:rsid w:val="003225AC"/>
    <w:pPr>
      <w:ind w:firstLine="0"/>
    </w:pPr>
  </w:style>
  <w:style w:type="paragraph" w:styleId="ListNumber3">
    <w:name w:val="List Number 3"/>
    <w:basedOn w:val="List3"/>
    <w:rsid w:val="003225AC"/>
    <w:pPr>
      <w:numPr>
        <w:numId w:val="5"/>
      </w:numPr>
    </w:pPr>
  </w:style>
  <w:style w:type="paragraph" w:styleId="ListNumber4">
    <w:name w:val="List Number 4"/>
    <w:basedOn w:val="List4"/>
    <w:rsid w:val="003225AC"/>
    <w:pPr>
      <w:numPr>
        <w:numId w:val="6"/>
      </w:numPr>
    </w:pPr>
  </w:style>
  <w:style w:type="paragraph" w:styleId="ListNumber5">
    <w:name w:val="List Number 5"/>
    <w:basedOn w:val="List5"/>
    <w:rsid w:val="003225AC"/>
    <w:pPr>
      <w:numPr>
        <w:numId w:val="7"/>
      </w:numPr>
    </w:pPr>
  </w:style>
  <w:style w:type="paragraph" w:styleId="BlockText">
    <w:name w:val="Block Text"/>
    <w:basedOn w:val="Normal"/>
    <w:rsid w:val="003225AC"/>
    <w:pPr>
      <w:spacing w:after="120"/>
      <w:ind w:left="1440" w:right="1440"/>
    </w:pPr>
  </w:style>
  <w:style w:type="character" w:customStyle="1" w:styleId="Subscript">
    <w:name w:val="Subscript"/>
    <w:basedOn w:val="DefaultParagraphFont"/>
    <w:rsid w:val="003225AC"/>
    <w:rPr>
      <w:sz w:val="16"/>
      <w:vertAlign w:val="subscript"/>
    </w:rPr>
  </w:style>
  <w:style w:type="character" w:customStyle="1" w:styleId="Superscript">
    <w:name w:val="Superscript"/>
    <w:basedOn w:val="DefaultParagraphFont"/>
    <w:rsid w:val="003225AC"/>
    <w:rPr>
      <w:sz w:val="16"/>
      <w:vertAlign w:val="superscript"/>
    </w:rPr>
  </w:style>
  <w:style w:type="character" w:customStyle="1" w:styleId="Symbols">
    <w:name w:val="Symbols"/>
    <w:basedOn w:val="DefaultParagraphFont"/>
    <w:rsid w:val="003225AC"/>
    <w:rPr>
      <w:rFonts w:ascii="Symbol" w:hAnsi="Symbol"/>
    </w:rPr>
  </w:style>
  <w:style w:type="character" w:customStyle="1" w:styleId="MenuOptions">
    <w:name w:val="Menu Options"/>
    <w:basedOn w:val="DefaultParagraphFont"/>
    <w:rsid w:val="003225AC"/>
    <w:rPr>
      <w:rFonts w:ascii="Arial Narrow" w:hAnsi="Arial Narrow"/>
      <w:smallCaps/>
    </w:rPr>
  </w:style>
  <w:style w:type="character" w:customStyle="1" w:styleId="Buttons">
    <w:name w:val="Buttons"/>
    <w:basedOn w:val="DefaultParagraphFont"/>
    <w:rsid w:val="003225AC"/>
    <w:rPr>
      <w:b/>
    </w:rPr>
  </w:style>
  <w:style w:type="character" w:customStyle="1" w:styleId="Underlined">
    <w:name w:val="Underlined"/>
    <w:basedOn w:val="DefaultParagraphFont"/>
    <w:rsid w:val="003225AC"/>
    <w:rPr>
      <w:u w:val="single"/>
    </w:rPr>
  </w:style>
  <w:style w:type="paragraph" w:customStyle="1" w:styleId="TableBodyTextRight">
    <w:name w:val="Table Body Text Right"/>
    <w:basedOn w:val="TableBodyText"/>
    <w:rsid w:val="003225AC"/>
    <w:pPr>
      <w:widowControl w:val="0"/>
      <w:autoSpaceDE w:val="0"/>
      <w:autoSpaceDN w:val="0"/>
      <w:adjustRightInd w:val="0"/>
      <w:jc w:val="right"/>
    </w:pPr>
    <w:rPr>
      <w:rFonts w:cs="Arial"/>
      <w:szCs w:val="18"/>
    </w:rPr>
  </w:style>
  <w:style w:type="paragraph" w:customStyle="1" w:styleId="CopyrightText">
    <w:name w:val="Copyright Text"/>
    <w:basedOn w:val="BodyText"/>
    <w:rsid w:val="003225AC"/>
    <w:rPr>
      <w:sz w:val="18"/>
    </w:rPr>
  </w:style>
  <w:style w:type="paragraph" w:customStyle="1" w:styleId="BodySmallRight">
    <w:name w:val="Body Small Right"/>
    <w:basedOn w:val="BodyTextRight"/>
    <w:rsid w:val="003225AC"/>
    <w:rPr>
      <w:sz w:val="18"/>
      <w:szCs w:val="18"/>
    </w:rPr>
  </w:style>
  <w:style w:type="paragraph" w:customStyle="1" w:styleId="MarginEdition">
    <w:name w:val="Margin Edition"/>
    <w:basedOn w:val="MarginNote"/>
    <w:rsid w:val="003225AC"/>
    <w:pPr>
      <w:spacing w:before="0" w:after="0"/>
    </w:pPr>
    <w:rPr>
      <w:rFonts w:ascii="Times New Roman" w:hAnsi="Times New Roman"/>
      <w:color w:val="999999"/>
    </w:rPr>
  </w:style>
  <w:style w:type="paragraph" w:customStyle="1" w:styleId="Spacer">
    <w:name w:val="Spacer"/>
    <w:basedOn w:val="Normal"/>
    <w:rsid w:val="003225AC"/>
    <w:rPr>
      <w:sz w:val="2"/>
      <w:szCs w:val="2"/>
    </w:rPr>
  </w:style>
  <w:style w:type="character" w:customStyle="1" w:styleId="Small">
    <w:name w:val="Small"/>
    <w:basedOn w:val="DefaultParagraphFont"/>
    <w:rsid w:val="003225AC"/>
    <w:rPr>
      <w:sz w:val="16"/>
    </w:rPr>
  </w:style>
  <w:style w:type="paragraph" w:customStyle="1" w:styleId="WideTable">
    <w:name w:val="Wide Table"/>
    <w:basedOn w:val="Normal"/>
    <w:rsid w:val="003225AC"/>
    <w:pPr>
      <w:ind w:left="-1418"/>
    </w:pPr>
    <w:rPr>
      <w:sz w:val="2"/>
      <w:szCs w:val="2"/>
    </w:rPr>
  </w:style>
  <w:style w:type="character" w:styleId="PageNumber">
    <w:name w:val="page number"/>
    <w:basedOn w:val="DefaultParagraphFont"/>
    <w:rsid w:val="003225AC"/>
  </w:style>
  <w:style w:type="paragraph" w:styleId="Quote">
    <w:name w:val="Quote"/>
    <w:basedOn w:val="Heading1"/>
    <w:link w:val="QuoteChar"/>
    <w:qFormat/>
    <w:rsid w:val="003225AC"/>
    <w:rPr>
      <w:b w:val="0"/>
      <w:sz w:val="72"/>
      <w:szCs w:val="72"/>
      <w:lang w:val="en-NZ"/>
    </w:rPr>
  </w:style>
  <w:style w:type="character" w:customStyle="1" w:styleId="QuoteChar">
    <w:name w:val="Quote Char"/>
    <w:basedOn w:val="DefaultParagraphFont"/>
    <w:link w:val="Quote"/>
    <w:rsid w:val="003225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5AC"/>
    <w:pPr>
      <w:pageBreakBefore/>
    </w:pPr>
  </w:style>
  <w:style w:type="paragraph" w:customStyle="1" w:styleId="Border">
    <w:name w:val="Border"/>
    <w:basedOn w:val="Normal"/>
    <w:qFormat/>
    <w:rsid w:val="003225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5AC"/>
    <w:rPr>
      <w:b/>
      <w:bCs/>
      <w:i/>
      <w:iCs/>
      <w:color w:val="auto"/>
    </w:rPr>
  </w:style>
  <w:style w:type="paragraph" w:styleId="IntenseQuote">
    <w:name w:val="Intense Quote"/>
    <w:basedOn w:val="Normal"/>
    <w:next w:val="Normal"/>
    <w:link w:val="IntenseQuoteChar"/>
    <w:uiPriority w:val="30"/>
    <w:qFormat/>
    <w:rsid w:val="003225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5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5AC"/>
    <w:rPr>
      <w:smallCaps/>
      <w:color w:val="auto"/>
      <w:u w:val="single"/>
    </w:rPr>
  </w:style>
  <w:style w:type="character" w:styleId="IntenseReference">
    <w:name w:val="Intense Reference"/>
    <w:basedOn w:val="DefaultParagraphFont"/>
    <w:uiPriority w:val="32"/>
    <w:qFormat/>
    <w:rsid w:val="003225AC"/>
    <w:rPr>
      <w:b/>
      <w:bCs/>
      <w:smallCaps/>
      <w:color w:val="auto"/>
      <w:spacing w:val="5"/>
      <w:u w:val="single"/>
    </w:rPr>
  </w:style>
  <w:style w:type="paragraph" w:customStyle="1" w:styleId="2ColumnHeading">
    <w:name w:val="2Column Heading"/>
    <w:basedOn w:val="BodyText"/>
    <w:qFormat/>
    <w:rsid w:val="003225AC"/>
    <w:pPr>
      <w:spacing w:after="60"/>
      <w:ind w:left="-2268"/>
    </w:pPr>
    <w:rPr>
      <w:b/>
    </w:rPr>
  </w:style>
  <w:style w:type="paragraph" w:customStyle="1" w:styleId="Heading1TOC">
    <w:name w:val="Heading1 TOC"/>
    <w:basedOn w:val="Normal"/>
    <w:qFormat/>
    <w:rsid w:val="003225AC"/>
    <w:pPr>
      <w:spacing w:before="240" w:after="120"/>
    </w:pPr>
    <w:rPr>
      <w:rFonts w:ascii="Times New Roman" w:hAnsi="Times New Roman"/>
      <w:b/>
      <w:sz w:val="32"/>
    </w:rPr>
  </w:style>
  <w:style w:type="paragraph" w:customStyle="1" w:styleId="Heading2TOC">
    <w:name w:val="Heading2 TOC"/>
    <w:basedOn w:val="Normal"/>
    <w:qFormat/>
    <w:rsid w:val="003225AC"/>
    <w:pPr>
      <w:spacing w:before="240" w:after="60"/>
    </w:pPr>
    <w:rPr>
      <w:rFonts w:ascii="Times New Roman" w:hAnsi="Times New Roman"/>
      <w:b/>
      <w:sz w:val="28"/>
    </w:rPr>
  </w:style>
  <w:style w:type="character" w:customStyle="1" w:styleId="Underline">
    <w:name w:val="Underline"/>
    <w:basedOn w:val="DefaultParagraphFont"/>
    <w:qFormat/>
    <w:rsid w:val="003225AC"/>
    <w:rPr>
      <w:u w:val="single"/>
    </w:rPr>
  </w:style>
  <w:style w:type="character" w:customStyle="1" w:styleId="BoldandItalics">
    <w:name w:val="Bold and Italics"/>
    <w:qFormat/>
    <w:rsid w:val="003225AC"/>
    <w:rPr>
      <w:b/>
      <w:i/>
      <w:u w:val="none"/>
    </w:rPr>
  </w:style>
  <w:style w:type="paragraph" w:styleId="BalloonText">
    <w:name w:val="Balloon Text"/>
    <w:basedOn w:val="Normal"/>
    <w:link w:val="BalloonTextChar"/>
    <w:rsid w:val="003225AC"/>
    <w:rPr>
      <w:rFonts w:ascii="Tahoma" w:hAnsi="Tahoma" w:cs="Tahoma"/>
      <w:sz w:val="16"/>
      <w:szCs w:val="16"/>
    </w:rPr>
  </w:style>
  <w:style w:type="character" w:customStyle="1" w:styleId="BalloonTextChar">
    <w:name w:val="Balloon Text Char"/>
    <w:basedOn w:val="DefaultParagraphFont"/>
    <w:link w:val="BalloonText"/>
    <w:rsid w:val="003225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5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25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5AC"/>
    <w:rPr>
      <w:b/>
      <w:color w:val="660033"/>
      <w:spacing w:val="0"/>
    </w:rPr>
  </w:style>
  <w:style w:type="paragraph" w:customStyle="1" w:styleId="Nameditemlist">
    <w:name w:val="Named item list"/>
    <w:basedOn w:val="BodyText"/>
    <w:qFormat/>
    <w:rsid w:val="003225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2000</Words>
  <Characters>11977</Characters>
  <Application>Microsoft Office Word</Application>
  <DocSecurity>0</DocSecurity>
  <Lines>436</Lines>
  <Paragraphs>184</Paragraphs>
  <ScaleCrop>false</ScaleCrop>
  <Company>Author-it Software Corporation Ltd.</Company>
  <LinksUpToDate>false</LinksUpToDate>
  <CharactersWithSpaces>13830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UEENEEE160A Provide engineering solutions for uses of materials and thermodynamic effects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2012-10-17T21:55:00Z</dcterms:created>
  <dcterms:modified xsi:type="dcterms:W3CDTF">2012-10-17T21:55:00Z</dcterms:modified>
</cp:coreProperties>
</file>