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49F" w:rsidP="0025749F">
      <w:pPr>
        <w:pStyle w:val="Title"/>
      </w:pPr>
      <w:r>
        <w:fldChar w:fldCharType="begin"/>
      </w:r>
      <w:r>
        <w:instrText xml:space="preserve"> TITLE   \* MERGEFORMAT </w:instrText>
      </w:r>
      <w:r>
        <w:fldChar w:fldCharType="separate"/>
      </w:r>
      <w:r>
        <w:t>UEENEEE150A Undertake computations in an energy sector environment</w:t>
      </w:r>
      <w:r>
        <w:fldChar w:fldCharType="end"/>
      </w:r>
    </w:p>
    <w:p w:rsidR="0025749F" w:rsidP="0025749F">
      <w:pPr>
        <w:pStyle w:val="Version"/>
        <w:sectPr w:rsidSect="00895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18F" w:rsidP="0089518F">
      <w:pPr>
        <w:pStyle w:val="SuperHeading"/>
      </w:pPr>
      <w:r w:rsidRPr="0089518F">
        <w:t>UEENEEE150A Undertake computations in an energy sector environment</w:t>
      </w:r>
    </w:p>
    <w:p w:rsidR="00000000" w:rsidRPr="0089518F" w:rsidP="0089518F">
      <w:pPr>
        <w:pStyle w:val="Heading1"/>
      </w:pPr>
      <w:bookmarkStart w:id="1" w:name="O_418025"/>
      <w:bookmarkEnd w:id="1"/>
      <w:r w:rsidRPr="0089518F">
        <w:t>Modification History</w:t>
      </w:r>
    </w:p>
    <w:p w:rsidR="00000000" w:rsidRPr="0089518F" w:rsidP="0089518F">
      <w:pPr>
        <w:pStyle w:val="BodyText"/>
      </w:pPr>
      <w:r w:rsidRPr="0089518F">
        <w:t>Not applicable.</w:t>
      </w:r>
    </w:p>
    <w:p w:rsidR="00000000" w:rsidRPr="0089518F" w:rsidP="0089518F">
      <w:pPr>
        <w:pStyle w:val="AllowPageBreak"/>
      </w:pPr>
    </w:p>
    <w:p w:rsidR="00000000" w:rsidRPr="0089518F" w:rsidP="0089518F">
      <w:pPr>
        <w:pStyle w:val="Heading1"/>
      </w:pPr>
      <w:bookmarkStart w:id="2" w:name="O_418023"/>
      <w:bookmarkEnd w:id="2"/>
      <w:r w:rsidRPr="0089518F">
        <w:t>Unit Descriptor</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1)</w:t>
            </w:r>
            <w:r w:rsidRPr="0089518F">
              <w:t xml:space="preserve"> </w:t>
            </w:r>
            <w:r w:rsidRPr="0089518F">
              <w:rPr>
                <w:rStyle w:val="SpecialBold"/>
              </w:rPr>
              <w:t>Scope:</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51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1.1) Descriptor</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This unit covers computational and mathematical procedures to solve problems or to enhance given data. It encompasses working safely, applying knowledge of undertaking computations in energy sector environment.</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3" w:name="O_418012"/>
      <w:bookmarkEnd w:id="3"/>
      <w:r w:rsidRPr="0089518F">
        <w:t>Application of the Unit</w:t>
      </w:r>
    </w:p>
    <w:tbl>
      <w:tblPr>
        <w:tblW w:w="0" w:type="auto"/>
        <w:tblLayout w:type="fixed"/>
        <w:tblCellMar>
          <w:left w:w="62" w:type="dxa"/>
          <w:right w:w="62" w:type="dxa"/>
        </w:tblCellMar>
        <w:tblLook w:val="0000"/>
      </w:tblPr>
      <w:tblGrid>
        <w:gridCol w:w="2672"/>
        <w:gridCol w:w="5699"/>
      </w:tblGrid>
      <w:tr w:rsidTr="0025749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Ap</w:t>
            </w:r>
            <w:r w:rsidRPr="0089518F">
              <w:rPr>
                <w:rStyle w:val="SpecialBold"/>
              </w:rPr>
              <w:t>plication of the Unit</w:t>
            </w:r>
          </w:p>
        </w:tc>
        <w:tc>
          <w:tcPr>
            <w:tcW w:w="5699"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2)</w:t>
            </w:r>
          </w:p>
        </w:tc>
      </w:tr>
      <w:tr w:rsidTr="0025749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This unit shall apply to persons entering work in energy sector and may be used in school-based vocational programs.</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4" w:name="O_418019"/>
      <w:bookmarkEnd w:id="4"/>
      <w:r w:rsidRPr="0089518F">
        <w:t>Licensing/Regulatory Information</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 xml:space="preserve">3) </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The skills and knowledge described in this unit do not require a license to practice in the workplace. However practice in this unit is subject to regulations directly related to occupational health and safe and contracts of training such as new apprentice</w:t>
            </w:r>
            <w:r w:rsidRPr="0089518F">
              <w:t>ships.</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5" w:name="O_418020"/>
      <w:bookmarkEnd w:id="5"/>
      <w:r w:rsidRPr="0089518F">
        <w:t>Pre-Requisites</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 xml:space="preserve">4) </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4.1)</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There are no prerequisite competencies for this unit.</w:t>
            </w:r>
          </w:p>
        </w:tc>
      </w:tr>
    </w:tbl>
    <w:p w:rsidR="00000000" w:rsidRPr="0089518F" w:rsidP="008951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5749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 xml:space="preserve">4.2) </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Participants are best equipped to achieve competency in this unit if they have reading, writing and numeracy skills indicated by the following scales. Description of each scale is given in Volume 2, Part 3 ‘Literacy and Numeracy’</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Reading</w:t>
            </w:r>
          </w:p>
        </w:tc>
        <w:tc>
          <w:tcPr>
            <w:tcW w:w="81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w:t>
            </w:r>
          </w:p>
        </w:tc>
        <w:tc>
          <w:tcPr>
            <w:tcW w:w="99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Writing</w:t>
            </w: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w:t>
            </w:r>
          </w:p>
        </w:tc>
        <w:tc>
          <w:tcPr>
            <w:tcW w:w="12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Numeracy</w:t>
            </w:r>
          </w:p>
        </w:tc>
        <w:tc>
          <w:tcPr>
            <w:tcW w:w="72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3</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6" w:name="O_418016"/>
      <w:bookmarkEnd w:id="6"/>
      <w:r w:rsidRPr="0089518F">
        <w:t>Employability Skills Information</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 xml:space="preserve">5) </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This unit contains Employability Skills</w:t>
            </w:r>
          </w:p>
          <w:p w:rsidR="00000000" w:rsidRPr="0089518F" w:rsidP="0089518F">
            <w:pPr>
              <w:pStyle w:val="BodyText"/>
            </w:pPr>
            <w:r w:rsidRPr="0089518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518F">
              <w:t>requirements.</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7" w:name="O_418015"/>
      <w:bookmarkEnd w:id="7"/>
      <w:r w:rsidRPr="0089518F">
        <w:t>Elements and Performance Criteria Pre-Content</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6)</w:t>
            </w:r>
            <w:r w:rsidRPr="008951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Performance Criteria describe the required performance needed to demonstrate achievement of the element</w:t>
            </w:r>
            <w:r w:rsidRPr="0089518F">
              <w:t>. Assessment of performance is to be consistent with the Evidence Guide.</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8" w:name="O_418014"/>
      <w:bookmarkEnd w:id="8"/>
      <w:r w:rsidRPr="008951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574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PERFORMANCE CRITERIA</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1</w:t>
            </w:r>
          </w:p>
        </w:tc>
        <w:tc>
          <w:tcPr>
            <w:tcW w:w="2296" w:type="dxa"/>
            <w:vMerge w:val="restart"/>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Prepare to undertake computations.</w:t>
            </w: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1.1</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Computational activities are</w:t>
            </w:r>
            <w:r w:rsidRPr="0089518F">
              <w:t xml:space="preserve"> planned and prepared to ensure OHS policies and procedures are followed, with the work appropriately sequenced in accordance with requirements.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1.2</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 xml:space="preserve">Data for computations are obtained and verified in accordance with established procedures and to comply </w:t>
            </w:r>
            <w:r w:rsidRPr="0089518F">
              <w:t>with requirements.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1.3</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Location in which activities are undertaken or data gathered is determined from job requirements.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1.4</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Materials/devices needed to carry out the computations are obtained in accordance with established procedures.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2</w:t>
            </w:r>
          </w:p>
        </w:tc>
        <w:tc>
          <w:tcPr>
            <w:tcW w:w="2296" w:type="dxa"/>
            <w:vMerge w:val="restart"/>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Undertake computations.</w:t>
            </w: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2.1</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OHS policies and procedures for undertaking monitoring activities are followed.</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2.2</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Computations are undertaken in accordance with requirements.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2.3</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Unplanned events or conditions are responded to in accordance with established procedure.</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2.4</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Ongoing checks of the quality/accuracy of the work are undertaken in accordance with established procedures.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w:t>
            </w:r>
          </w:p>
        </w:tc>
        <w:tc>
          <w:tcPr>
            <w:tcW w:w="2296" w:type="dxa"/>
            <w:vMerge w:val="restart"/>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Complete monitoring activities.</w:t>
            </w: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3.1</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Computations are verified and checked against estimates.</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3.2</w:t>
            </w:r>
          </w:p>
        </w:tc>
        <w:tc>
          <w:tcPr>
            <w:tcW w:w="48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Documentation/reports/computations are completed to ensure all requirements are met.</w:t>
            </w:r>
          </w:p>
        </w:tc>
      </w:tr>
      <w:tr w:rsidTr="002574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3.3</w:t>
            </w:r>
          </w:p>
        </w:tc>
        <w:tc>
          <w:tcPr>
            <w:tcW w:w="48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Work completion is notified in accordance with established procedures.</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9" w:name="O_418022"/>
      <w:bookmarkEnd w:id="9"/>
      <w:r w:rsidRPr="0089518F">
        <w:t>Required Skills and Knowledge</w:t>
      </w:r>
    </w:p>
    <w:tbl>
      <w:tblPr>
        <w:tblW w:w="0" w:type="auto"/>
        <w:tblLayout w:type="fixed"/>
        <w:tblCellMar>
          <w:left w:w="62" w:type="dxa"/>
          <w:right w:w="62" w:type="dxa"/>
        </w:tblCellMar>
        <w:tblLook w:val="0000"/>
      </w:tblPr>
      <w:tblGrid>
        <w:gridCol w:w="8460"/>
      </w:tblGrid>
      <w:tr w:rsidTr="002574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REQUIRED SKILLS AND KNOWLEDGE</w:t>
            </w:r>
          </w:p>
        </w:tc>
      </w:tr>
      <w:tr w:rsidTr="0025749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8)</w:t>
            </w:r>
            <w:r w:rsidRPr="0089518F">
              <w:t xml:space="preserve"> This describes the essential skills and knowledge and their level, required for this unit.</w:t>
            </w:r>
          </w:p>
          <w:p w:rsidR="00000000" w:rsidRPr="0089518F" w:rsidP="0089518F">
            <w:pPr>
              <w:pStyle w:val="BodyText"/>
            </w:pPr>
            <w:r w:rsidRPr="0089518F">
              <w:t>Evidence shall show that knowledge has been acquired of safe working practices and undertaking comput</w:t>
            </w:r>
            <w:r w:rsidRPr="0089518F">
              <w:t>ations in an energy sector environment.</w:t>
            </w:r>
          </w:p>
          <w:p w:rsidR="00000000" w:rsidRPr="0089518F" w:rsidP="0089518F">
            <w:pPr>
              <w:pStyle w:val="BodyText"/>
            </w:pPr>
            <w:r w:rsidRPr="0089518F">
              <w:t>All knowledge and skills detailed in this unit should be contextualised to current industry practices and technologies.</w:t>
            </w:r>
          </w:p>
          <w:p w:rsidR="00000000" w:rsidRPr="0089518F" w:rsidP="0089518F">
            <w:pPr>
              <w:pStyle w:val="BodyText"/>
            </w:pPr>
            <w:r w:rsidRPr="0089518F">
              <w:rPr>
                <w:rStyle w:val="SpecialBold"/>
              </w:rPr>
              <w:t>KS01-EE150A</w:t>
            </w:r>
            <w:r w:rsidRPr="0089518F">
              <w:rPr>
                <w:rStyle w:val="SpecialBold"/>
              </w:rPr>
              <w:tab/>
              <w:t xml:space="preserve">              Energy sector applied mathematical concepts</w:t>
            </w:r>
          </w:p>
          <w:p w:rsidR="00000000" w:rsidRPr="0089518F" w:rsidP="0089518F">
            <w:pPr>
              <w:pStyle w:val="BodyText"/>
            </w:pPr>
            <w:r w:rsidRPr="0089518F">
              <w:t>Evidence shall show an und</w:t>
            </w:r>
            <w:r w:rsidRPr="0089518F">
              <w:t>erstanding concepts of engineering mathematics with calculus to an extent indicated by the following aspects:</w:t>
            </w:r>
          </w:p>
          <w:p w:rsidR="00000000" w:rsidRPr="0089518F" w:rsidP="0089518F">
            <w:pPr>
              <w:pStyle w:val="BodyText"/>
            </w:pPr>
            <w:r w:rsidRPr="0089518F">
              <w:t>T1</w:t>
            </w:r>
            <w:r w:rsidRPr="0089518F">
              <w:tab/>
              <w:t>Mathematical linear measurement in engineering situations encompassing:</w:t>
            </w:r>
          </w:p>
          <w:p w:rsidR="00000000" w:rsidRPr="0089518F" w:rsidP="0089518F">
            <w:pPr>
              <w:pStyle w:val="ListBullet"/>
            </w:pPr>
            <w:r w:rsidRPr="0089518F">
              <w:t>Precision and error in mathematical computations and</w:t>
            </w:r>
          </w:p>
          <w:p w:rsidR="00000000" w:rsidRPr="0089518F" w:rsidP="0089518F">
            <w:pPr>
              <w:pStyle w:val="ListBullet"/>
            </w:pPr>
            <w:r w:rsidRPr="0089518F">
              <w:t>Displaying mathematical outcomes in the correct format using the appropriate significant figures and in scientific notation</w:t>
            </w:r>
          </w:p>
          <w:p w:rsidR="00000000" w:rsidRPr="0089518F" w:rsidP="0089518F">
            <w:pPr>
              <w:pStyle w:val="ListBullet"/>
            </w:pPr>
            <w:r w:rsidRPr="0089518F">
              <w:t>Perimeters of plane figures, polygons and the perimeter of shapes involving arcs</w:t>
            </w:r>
          </w:p>
          <w:p w:rsidR="00000000" w:rsidRPr="0089518F" w:rsidP="0089518F">
            <w:pPr>
              <w:pStyle w:val="ListBullet"/>
            </w:pPr>
            <w:r w:rsidRPr="0089518F">
              <w:t>Pythagoras’ theorem to engineering situations</w:t>
            </w:r>
          </w:p>
          <w:p w:rsidR="00000000" w:rsidRPr="0089518F" w:rsidP="0089518F">
            <w:pPr>
              <w:pStyle w:val="BodyText"/>
            </w:pPr>
            <w:r w:rsidRPr="0089518F">
              <w:t>T2</w:t>
            </w:r>
            <w:r w:rsidRPr="0089518F">
              <w:tab/>
              <w:t>Ma</w:t>
            </w:r>
            <w:r w:rsidRPr="0089518F">
              <w:t>thematical spatial measurement in engineering situations encompassing:</w:t>
            </w:r>
          </w:p>
          <w:p w:rsidR="00000000" w:rsidRPr="0089518F" w:rsidP="0089518F">
            <w:pPr>
              <w:pStyle w:val="ListBullet"/>
            </w:pPr>
            <w:r w:rsidRPr="0089518F">
              <w:t>Areas of combined shapes</w:t>
            </w:r>
          </w:p>
          <w:p w:rsidR="00000000" w:rsidRPr="0089518F" w:rsidP="0089518F">
            <w:pPr>
              <w:pStyle w:val="ListBullet"/>
            </w:pPr>
            <w:r w:rsidRPr="0089518F">
              <w:t>Volume and surface areas of solids</w:t>
            </w:r>
          </w:p>
          <w:p w:rsidR="00000000" w:rsidRPr="0089518F" w:rsidP="0089518F">
            <w:pPr>
              <w:pStyle w:val="BodyText"/>
            </w:pPr>
            <w:r w:rsidRPr="0089518F">
              <w:t>T3</w:t>
            </w:r>
            <w:r w:rsidRPr="0089518F">
              <w:tab/>
              <w:t>Right triangle trigonometry in engineering problem solving encompassing:</w:t>
            </w:r>
          </w:p>
          <w:p w:rsidR="00000000" w:rsidRPr="0089518F" w:rsidP="0089518F">
            <w:pPr>
              <w:pStyle w:val="ListBullet"/>
            </w:pPr>
            <w:r w:rsidRPr="0089518F">
              <w:t>Problems using the six trigonometrical ratios</w:t>
            </w:r>
          </w:p>
          <w:p w:rsidR="00000000" w:rsidRPr="0089518F" w:rsidP="0089518F">
            <w:pPr>
              <w:pStyle w:val="ListBullet"/>
            </w:pPr>
            <w:r w:rsidRPr="0089518F">
              <w:t>P</w:t>
            </w:r>
            <w:r w:rsidRPr="0089518F">
              <w:t>roblems involving compass bearings and angles of elevation/depression</w:t>
            </w:r>
          </w:p>
          <w:p w:rsidR="00000000" w:rsidRPr="0089518F" w:rsidP="0089518F">
            <w:pPr>
              <w:pStyle w:val="ListBullet"/>
            </w:pPr>
            <w:r w:rsidRPr="0089518F">
              <w:t>Trigonometrical concepts in problems involving inclined planes, vectors and forces and electrical sinusoidal waveforms</w:t>
            </w:r>
          </w:p>
          <w:p w:rsidR="00000000" w:rsidRPr="0089518F" w:rsidP="0089518F">
            <w:pPr>
              <w:pStyle w:val="BodyText"/>
            </w:pPr>
            <w:r w:rsidRPr="0089518F">
              <w:t>T4</w:t>
            </w:r>
            <w:r w:rsidRPr="0089518F">
              <w:tab/>
              <w:t>Sine and cosine rules in practical applications encompassing:</w:t>
            </w:r>
          </w:p>
          <w:p w:rsidR="00000000" w:rsidRPr="0089518F" w:rsidP="0089518F">
            <w:pPr>
              <w:pStyle w:val="ListBullet"/>
            </w:pPr>
            <w:r w:rsidRPr="0089518F">
              <w:t>S</w:t>
            </w:r>
            <w:r w:rsidRPr="0089518F">
              <w:t>ine rule to solve unknown dimensions/angles in triangles</w:t>
            </w:r>
          </w:p>
          <w:p w:rsidR="00000000" w:rsidRPr="0089518F" w:rsidP="0089518F">
            <w:pPr>
              <w:pStyle w:val="ListBullet"/>
            </w:pPr>
            <w:r w:rsidRPr="0089518F">
              <w:t>Cosine rule to solve unknown dimensions/angles in triangles</w:t>
            </w:r>
          </w:p>
          <w:p w:rsidR="00000000" w:rsidRPr="0089518F" w:rsidP="0089518F">
            <w:pPr>
              <w:pStyle w:val="BodyText"/>
            </w:pPr>
            <w:r w:rsidRPr="0089518F">
              <w:t>T5</w:t>
            </w:r>
            <w:r w:rsidRPr="0089518F">
              <w:tab/>
              <w:t>Mathematical concepts in basic surveying and computation of areas encompassing:</w:t>
            </w:r>
          </w:p>
          <w:p w:rsidR="00000000" w:rsidRPr="0089518F" w:rsidP="0089518F">
            <w:pPr>
              <w:pStyle w:val="ListBullet"/>
            </w:pPr>
            <w:r w:rsidRPr="0089518F">
              <w:t>Mathematical concepts for radial and triangulation surv</w:t>
            </w:r>
            <w:r w:rsidRPr="0089518F">
              <w:t>eys</w:t>
            </w:r>
          </w:p>
          <w:p w:rsidR="00000000" w:rsidRPr="0089518F" w:rsidP="0089518F">
            <w:pPr>
              <w:pStyle w:val="ListBullet"/>
            </w:pPr>
            <w:r w:rsidRPr="0089518F">
              <w:t>Simpson’s Rule in engineering applications</w:t>
            </w:r>
          </w:p>
          <w:p w:rsidR="00000000" w:rsidRPr="0089518F" w:rsidP="0089518F">
            <w:pPr>
              <w:pStyle w:val="BodyText"/>
            </w:pPr>
            <w:r w:rsidRPr="0089518F">
              <w:t>T6</w:t>
            </w:r>
            <w:r w:rsidRPr="0089518F">
              <w:tab/>
              <w:t>Basic algebra in engineering calculations encompassing:</w:t>
            </w:r>
          </w:p>
          <w:p w:rsidR="00000000" w:rsidRPr="0089518F" w:rsidP="0089518F">
            <w:pPr>
              <w:pStyle w:val="ListBullet"/>
            </w:pPr>
            <w:r w:rsidRPr="0089518F">
              <w:t>Basic operations involving substitutions, additions, removal of brackets, multiplication and divisions</w:t>
            </w:r>
          </w:p>
          <w:p w:rsidR="00000000" w:rsidRPr="0089518F" w:rsidP="0089518F">
            <w:pPr>
              <w:pStyle w:val="ListBullet"/>
            </w:pPr>
            <w:r w:rsidRPr="0089518F">
              <w:t>Solving linear equations</w:t>
            </w:r>
          </w:p>
          <w:p w:rsidR="00000000" w:rsidRPr="0089518F" w:rsidP="0089518F">
            <w:pPr>
              <w:pStyle w:val="ListBullet"/>
            </w:pPr>
            <w:r w:rsidRPr="0089518F">
              <w:t>Transportation in non-linear equations</w:t>
            </w:r>
          </w:p>
          <w:p w:rsidR="00000000" w:rsidRPr="0089518F" w:rsidP="0089518F">
            <w:pPr>
              <w:pStyle w:val="BodyText"/>
            </w:pPr>
            <w:r w:rsidRPr="0089518F">
              <w:t>T7</w:t>
            </w:r>
            <w:r w:rsidRPr="0089518F">
              <w:tab/>
              <w:t>Linear graphical techniques in engineering problem solving encompassing:</w:t>
            </w:r>
          </w:p>
          <w:p w:rsidR="00000000" w:rsidRPr="0089518F" w:rsidP="0089518F">
            <w:pPr>
              <w:pStyle w:val="ListBullet"/>
            </w:pPr>
            <w:r w:rsidRPr="0089518F">
              <w:t>Graphing linear functions</w:t>
            </w:r>
          </w:p>
          <w:p w:rsidR="00000000" w:rsidRPr="0089518F" w:rsidP="0089518F">
            <w:pPr>
              <w:pStyle w:val="ListBullet"/>
            </w:pPr>
            <w:r w:rsidRPr="0089518F">
              <w:t>Deriving equations from graphs and tables</w:t>
            </w:r>
          </w:p>
          <w:p w:rsidR="00000000" w:rsidRPr="0089518F" w:rsidP="0089518F">
            <w:pPr>
              <w:pStyle w:val="ListBullet"/>
            </w:pPr>
            <w:r w:rsidRPr="0089518F">
              <w:t>Solving simulations equations algebraically and graphically</w:t>
            </w:r>
          </w:p>
          <w:p w:rsidR="00000000" w:rsidRPr="0089518F" w:rsidP="0089518F">
            <w:pPr>
              <w:pStyle w:val="ListBullet"/>
            </w:pPr>
            <w:r w:rsidRPr="0089518F">
              <w:t>The best lin</w:t>
            </w:r>
            <w:r w:rsidRPr="0089518F">
              <w:t>e of fit graphically and determine equation</w:t>
            </w:r>
          </w:p>
          <w:p w:rsidR="00000000" w:rsidRPr="0089518F" w:rsidP="0089518F">
            <w:pPr>
              <w:pStyle w:val="BodyText"/>
            </w:pPr>
            <w:r w:rsidRPr="0089518F">
              <w:t>T8</w:t>
            </w:r>
            <w:r w:rsidRPr="0089518F">
              <w:tab/>
              <w:t>Mathematical computations involving polynomials encompassing:</w:t>
            </w:r>
          </w:p>
          <w:p w:rsidR="00000000" w:rsidRPr="0089518F" w:rsidP="0089518F">
            <w:pPr>
              <w:pStyle w:val="ListBullet"/>
            </w:pPr>
            <w:r w:rsidRPr="0089518F">
              <w:t>Adding, subtracting and multiplying polynomials</w:t>
            </w:r>
          </w:p>
          <w:p w:rsidR="00000000" w:rsidRPr="0089518F" w:rsidP="0089518F">
            <w:pPr>
              <w:pStyle w:val="ListBullet"/>
            </w:pPr>
            <w:r w:rsidRPr="0089518F">
              <w:t>Factorising trinomials</w:t>
            </w:r>
          </w:p>
          <w:p w:rsidR="00000000" w:rsidRPr="0089518F" w:rsidP="0089518F">
            <w:pPr>
              <w:pStyle w:val="ListBullet"/>
            </w:pPr>
            <w:r w:rsidRPr="0089518F">
              <w:t>Solving quadratic equation</w:t>
            </w:r>
          </w:p>
          <w:p w:rsidR="00000000" w:rsidRPr="0089518F" w:rsidP="0089518F">
            <w:pPr>
              <w:pStyle w:val="BodyText"/>
            </w:pPr>
            <w:r w:rsidRPr="0089518F">
              <w:t>T9</w:t>
            </w:r>
            <w:r w:rsidRPr="0089518F">
              <w:tab/>
              <w:t>Mathematical computations involving quadratic</w:t>
            </w:r>
            <w:r w:rsidRPr="0089518F">
              <w:t xml:space="preserve"> graphs encompassing:</w:t>
            </w:r>
          </w:p>
          <w:p w:rsidR="00000000" w:rsidRPr="0089518F" w:rsidP="0089518F">
            <w:pPr>
              <w:pStyle w:val="ListBullet"/>
            </w:pPr>
            <w:r w:rsidRPr="0089518F">
              <w:t>Graphs of quadratic functions</w:t>
            </w:r>
          </w:p>
          <w:p w:rsidR="00000000" w:rsidRPr="0089518F" w:rsidP="0089518F">
            <w:pPr>
              <w:pStyle w:val="ListBullet"/>
            </w:pPr>
            <w:r w:rsidRPr="0089518F">
              <w:t>Maxima and minima</w:t>
            </w:r>
          </w:p>
          <w:p w:rsidR="00000000" w:rsidRPr="0089518F" w:rsidP="0089518F">
            <w:pPr>
              <w:pStyle w:val="ListBullet"/>
            </w:pPr>
            <w:r w:rsidRPr="0089518F">
              <w:t>Graphical solutions of quadratic equations</w:t>
            </w:r>
          </w:p>
          <w:p w:rsidR="00000000" w:rsidRPr="0089518F" w:rsidP="0089518F">
            <w:pPr>
              <w:pStyle w:val="ListBullet"/>
            </w:pPr>
            <w:r w:rsidRPr="0089518F">
              <w:t>Properties of a parabola</w:t>
            </w:r>
          </w:p>
          <w:p w:rsidR="00000000" w:rsidRPr="0089518F" w:rsidP="0089518F">
            <w:pPr>
              <w:pStyle w:val="ListBullet"/>
            </w:pPr>
            <w:r w:rsidRPr="0089518F">
              <w:t>Applications of parabolas in engineering applications</w:t>
            </w:r>
          </w:p>
          <w:p w:rsidR="00000000" w:rsidRPr="0089518F" w:rsidP="0089518F">
            <w:pPr>
              <w:pStyle w:val="BodyText"/>
            </w:pPr>
            <w:r w:rsidRPr="0089518F">
              <w:t>T10</w:t>
            </w:r>
            <w:r w:rsidRPr="0089518F">
              <w:tab/>
              <w:t>Trigonometry and graphical techniques in engineering outcom</w:t>
            </w:r>
            <w:r w:rsidRPr="0089518F">
              <w:t>es encompassing:</w:t>
            </w:r>
          </w:p>
          <w:p w:rsidR="00000000" w:rsidRPr="0089518F" w:rsidP="0089518F">
            <w:pPr>
              <w:pStyle w:val="ListBullet"/>
            </w:pPr>
            <w:r w:rsidRPr="0089518F">
              <w:t>Graphs of trigonometric functions e.g.: V=Vmsin</w:t>
            </w:r>
            <w:r w:rsidRPr="0089518F">
              <w:rPr>
                <w:rStyle w:val="Symbols"/>
              </w:rPr>
              <w:t></w:t>
            </w:r>
            <w:r w:rsidRPr="0089518F">
              <w:t>,I=Imcos</w:t>
            </w:r>
            <w:r w:rsidRPr="0089518F">
              <w:rPr>
                <w:rStyle w:val="Symbols"/>
              </w:rPr>
              <w:t></w:t>
            </w:r>
          </w:p>
          <w:p w:rsidR="00000000" w:rsidRPr="0089518F" w:rsidP="0089518F">
            <w:pPr>
              <w:pStyle w:val="ListBullet"/>
            </w:pPr>
            <w:r w:rsidRPr="0089518F">
              <w:t>Addition of equations such as: vsin</w:t>
            </w:r>
            <w:r w:rsidRPr="0089518F">
              <w:rPr>
                <w:rStyle w:val="Symbols"/>
              </w:rPr>
              <w:t></w:t>
            </w:r>
            <w:r w:rsidRPr="0089518F">
              <w:t xml:space="preserve"> + usin(</w:t>
            </w:r>
            <w:r w:rsidRPr="0089518F">
              <w:rPr>
                <w:rStyle w:val="Symbols"/>
              </w:rPr>
              <w:t></w:t>
            </w:r>
            <w:r w:rsidRPr="0089518F">
              <w:t xml:space="preserve"> +</w:t>
            </w:r>
            <w:r w:rsidRPr="0089518F">
              <w:rPr>
                <w:rStyle w:val="Symbols"/>
              </w:rPr>
              <w:t></w:t>
            </w:r>
            <w:r w:rsidRPr="0089518F">
              <w:rPr>
                <w:rStyle w:val="Symbols"/>
              </w:rPr>
              <w:t></w:t>
            </w:r>
            <w:r w:rsidRPr="0089518F">
              <w:t>) graphically</w:t>
            </w:r>
          </w:p>
          <w:p w:rsidR="00000000" w:rsidRPr="0089518F" w:rsidP="0089518F">
            <w:pPr>
              <w:pStyle w:val="ListBullet"/>
            </w:pPr>
            <w:r w:rsidRPr="0089518F">
              <w:t>Simpson’s Rule to determine the average and root mean square values of a sinusoidal waveform</w:t>
            </w:r>
          </w:p>
          <w:p w:rsidR="00000000" w:rsidRPr="0089518F" w:rsidP="0089518F">
            <w:pPr>
              <w:pStyle w:val="BodyText"/>
            </w:pPr>
            <w:r w:rsidRPr="0089518F">
              <w:t>T11</w:t>
            </w:r>
            <w:r w:rsidRPr="0089518F">
              <w:tab/>
            </w:r>
            <w:r w:rsidRPr="0089518F">
              <w:t>Statistical data presentation encompassing:</w:t>
            </w:r>
          </w:p>
          <w:p w:rsidR="00000000" w:rsidRPr="0089518F" w:rsidP="0089518F">
            <w:pPr>
              <w:pStyle w:val="ListBullet"/>
            </w:pPr>
            <w:r w:rsidRPr="0089518F">
              <w:t>Appropriate presentation of frequency tables, histograms, polygons, stem and leaf plots</w:t>
            </w:r>
          </w:p>
          <w:p w:rsidR="00000000" w:rsidRPr="0089518F" w:rsidP="0089518F">
            <w:pPr>
              <w:pStyle w:val="ListBullet"/>
            </w:pPr>
            <w:r w:rsidRPr="0089518F">
              <w:t>Advantages of different visual presentations</w:t>
            </w:r>
          </w:p>
          <w:p w:rsidR="00000000" w:rsidRPr="0089518F" w:rsidP="0089518F">
            <w:pPr>
              <w:pStyle w:val="BodyText"/>
            </w:pPr>
            <w:r w:rsidRPr="0089518F">
              <w:t>T12</w:t>
            </w:r>
            <w:r w:rsidRPr="0089518F">
              <w:tab/>
              <w:t>Appropriate sampling techniques for gathering data encompassing:</w:t>
            </w:r>
          </w:p>
          <w:p w:rsidR="00000000" w:rsidRPr="0089518F" w:rsidP="0089518F">
            <w:pPr>
              <w:pStyle w:val="ListBullet"/>
            </w:pPr>
            <w:r w:rsidRPr="0089518F">
              <w:t>Design o</w:t>
            </w:r>
            <w:r w:rsidRPr="0089518F">
              <w:t>f surveys and census</w:t>
            </w:r>
          </w:p>
          <w:p w:rsidR="00000000" w:rsidRPr="0089518F" w:rsidP="0089518F">
            <w:pPr>
              <w:pStyle w:val="ListBullet"/>
            </w:pPr>
            <w:r w:rsidRPr="0089518F">
              <w:t>Sample data using correct technique</w:t>
            </w:r>
          </w:p>
          <w:p w:rsidR="00000000" w:rsidRPr="0089518F" w:rsidP="0089518F">
            <w:pPr>
              <w:pStyle w:val="BodyText"/>
            </w:pPr>
            <w:r w:rsidRPr="0089518F">
              <w:t>T13</w:t>
            </w:r>
            <w:r w:rsidRPr="0089518F">
              <w:tab/>
              <w:t>Use of the measures of central tendency encompassing:</w:t>
            </w:r>
          </w:p>
          <w:p w:rsidR="00000000" w:rsidRPr="0089518F" w:rsidP="0089518F">
            <w:pPr>
              <w:pStyle w:val="ListBullet"/>
            </w:pPr>
            <w:r w:rsidRPr="0089518F">
              <w:t>Estimation of percentiles and deciles from cumulative frequency polygons (ogives)</w:t>
            </w:r>
          </w:p>
          <w:p w:rsidR="00000000" w:rsidRPr="0089518F" w:rsidP="0089518F">
            <w:pPr>
              <w:pStyle w:val="ListBullet"/>
            </w:pPr>
            <w:r w:rsidRPr="0089518F">
              <w:t>Interpreting data from tables and graphs including interpo</w:t>
            </w:r>
            <w:r w:rsidRPr="0089518F">
              <w:t>lation and extrapolation</w:t>
            </w:r>
          </w:p>
          <w:p w:rsidR="00000000" w:rsidRPr="0089518F" w:rsidP="0089518F">
            <w:pPr>
              <w:pStyle w:val="ListBullet"/>
            </w:pPr>
            <w:r w:rsidRPr="0089518F">
              <w:t>Analysing misleading graphs</w:t>
            </w:r>
          </w:p>
          <w:p w:rsidR="00000000" w:rsidRPr="0089518F" w:rsidP="0089518F">
            <w:pPr>
              <w:pStyle w:val="BodyText"/>
            </w:pPr>
            <w:r w:rsidRPr="0089518F">
              <w:t>T14</w:t>
            </w:r>
            <w:r w:rsidRPr="0089518F">
              <w:tab/>
              <w:t>Measures of dispersion in statistical presentations encompassing:</w:t>
            </w:r>
          </w:p>
          <w:p w:rsidR="00000000" w:rsidRPr="0089518F" w:rsidP="0089518F">
            <w:pPr>
              <w:pStyle w:val="ListBullet"/>
            </w:pPr>
            <w:r w:rsidRPr="0089518F">
              <w:t>Box-and-whisker graphs</w:t>
            </w:r>
          </w:p>
          <w:p w:rsidR="00000000" w:rsidRPr="0089518F" w:rsidP="0089518F">
            <w:pPr>
              <w:pStyle w:val="ListBullet"/>
            </w:pPr>
            <w:r w:rsidRPr="0089518F">
              <w:t>Measures of dispersion using variance and standard deviation</w:t>
            </w:r>
          </w:p>
          <w:p w:rsidR="00000000" w:rsidRPr="0089518F" w:rsidP="0089518F">
            <w:pPr>
              <w:pStyle w:val="ListBullet"/>
            </w:pPr>
            <w:r w:rsidRPr="0089518F">
              <w:t>Standardised scores including Z-scores</w:t>
            </w:r>
          </w:p>
          <w:p w:rsidR="00000000" w:rsidRPr="0089518F" w:rsidP="0089518F">
            <w:pPr>
              <w:pStyle w:val="BodyText"/>
            </w:pPr>
            <w:r w:rsidRPr="0089518F">
              <w:t>T15</w:t>
            </w:r>
            <w:r w:rsidRPr="0089518F">
              <w:tab/>
              <w:t>Corre</w:t>
            </w:r>
            <w:r w:rsidRPr="0089518F">
              <w:t>lation and regression techniques encompassing:</w:t>
            </w:r>
          </w:p>
          <w:p w:rsidR="00000000" w:rsidRPr="0089518F" w:rsidP="0089518F">
            <w:pPr>
              <w:pStyle w:val="ListBullet"/>
            </w:pPr>
            <w:r w:rsidRPr="0089518F">
              <w:t>Interpreting scatter plots</w:t>
            </w:r>
          </w:p>
          <w:p w:rsidR="00000000" w:rsidRPr="0089518F" w:rsidP="0089518F">
            <w:pPr>
              <w:pStyle w:val="ListBullet"/>
            </w:pPr>
            <w:r w:rsidRPr="0089518F">
              <w:t>Correlation coefficients</w:t>
            </w:r>
          </w:p>
          <w:p w:rsidR="00000000" w:rsidRPr="0089518F" w:rsidP="0089518F">
            <w:pPr>
              <w:pStyle w:val="ListBullet"/>
            </w:pPr>
            <w:r w:rsidRPr="0089518F">
              <w:t>Calculate the regression equation and use for prediction purposes</w:t>
            </w:r>
          </w:p>
          <w:p w:rsidR="00000000" w:rsidRPr="0089518F" w:rsidP="0089518F">
            <w:pPr>
              <w:pStyle w:val="BodyText"/>
            </w:pPr>
            <w:r w:rsidRPr="0089518F">
              <w:t>T16</w:t>
            </w:r>
            <w:r w:rsidRPr="0089518F">
              <w:tab/>
              <w:t>Elementary probability theory encompassing:</w:t>
            </w:r>
          </w:p>
          <w:p w:rsidR="00000000" w:rsidRPr="0089518F" w:rsidP="0089518F">
            <w:pPr>
              <w:pStyle w:val="ListBullet"/>
            </w:pPr>
            <w:r w:rsidRPr="0089518F">
              <w:t>Probabilities in everyday situations</w:t>
            </w:r>
          </w:p>
          <w:p w:rsidR="00000000" w:rsidRPr="0089518F" w:rsidP="0089518F">
            <w:pPr>
              <w:pStyle w:val="ListBullet"/>
            </w:pPr>
            <w:r w:rsidRPr="0089518F">
              <w:t>Counting techniques: factorials; permutations; combinations</w:t>
            </w:r>
          </w:p>
          <w:p w:rsidR="00000000" w:rsidRPr="0089518F" w:rsidP="0089518F">
            <w:pPr>
              <w:pStyle w:val="BodyText"/>
            </w:pPr>
            <w:r w:rsidRPr="0089518F">
              <w:t>T17</w:t>
            </w:r>
            <w:r w:rsidRPr="0089518F">
              <w:tab/>
              <w:t>Paschal’s Triangle and the Normal Curve encompassing:</w:t>
            </w:r>
          </w:p>
          <w:p w:rsidR="00000000" w:rsidRPr="0089518F" w:rsidP="0089518F">
            <w:pPr>
              <w:pStyle w:val="ListBullet"/>
            </w:pPr>
            <w:r w:rsidRPr="0089518F">
              <w:t>Paschal’s triangle</w:t>
            </w:r>
          </w:p>
          <w:p w:rsidR="00000000" w:rsidRPr="0089518F" w:rsidP="0089518F">
            <w:pPr>
              <w:pStyle w:val="ListBullet"/>
            </w:pPr>
            <w:r w:rsidRPr="0089518F">
              <w:t>Characteristics of the normal curve</w:t>
            </w:r>
          </w:p>
          <w:p w:rsidR="00000000" w:rsidRPr="0089518F" w:rsidP="0089518F">
            <w:pPr>
              <w:pStyle w:val="ListBullet"/>
            </w:pPr>
            <w:r w:rsidRPr="0089518F">
              <w:t>Standard Deviation and applications to everyday occurrences</w:t>
            </w:r>
          </w:p>
          <w:p w:rsidR="00000000" w:rsidRPr="0089518F" w:rsidP="0089518F">
            <w:pPr>
              <w:pStyle w:val="ListBullet"/>
            </w:pPr>
            <w:r w:rsidRPr="0089518F">
              <w:t>Probabilities using th</w:t>
            </w:r>
            <w:r w:rsidRPr="0089518F">
              <w:t>e normal curve</w:t>
            </w:r>
          </w:p>
          <w:p w:rsidR="00000000" w:rsidRPr="0089518F" w:rsidP="0089518F">
            <w:pPr>
              <w:pStyle w:val="BodyText"/>
            </w:pPr>
            <w:r w:rsidRPr="0089518F">
              <w:t>T18</w:t>
            </w:r>
            <w:r w:rsidRPr="0089518F">
              <w:tab/>
              <w:t>Differential Calculus encompassing:</w:t>
            </w:r>
          </w:p>
          <w:p w:rsidR="00000000" w:rsidRPr="0089518F" w:rsidP="0089518F">
            <w:pPr>
              <w:pStyle w:val="ListBullet"/>
            </w:pPr>
            <w:r w:rsidRPr="0089518F">
              <w:t xml:space="preserve">Basic concepts - definition of the derivative of a function as the slope of a tangent line (the gradient of a curve); limits; basic examples from 1st principles; Notation and Results of derivative of </w:t>
            </w:r>
            <w:r w:rsidRPr="0089518F">
              <w:t>k.f(ax + b) where f(x)=x to the power of n, sin x, cos x, tan x, e to the power of x, ln x.</w:t>
            </w:r>
          </w:p>
          <w:p w:rsidR="00000000" w:rsidRPr="0089518F" w:rsidP="0089518F">
            <w:pPr>
              <w:pStyle w:val="ListBullet"/>
            </w:pPr>
            <w:r w:rsidRPr="0089518F">
              <w:t>Rules - derivative of sum and difference; product rule; quotient rule; chain rule (function of a function), limited to two rules for any given function.</w:t>
            </w:r>
          </w:p>
          <w:p w:rsidR="00000000" w:rsidRPr="0089518F" w:rsidP="0089518F">
            <w:pPr>
              <w:pStyle w:val="ListBullet"/>
            </w:pPr>
            <w:r w:rsidRPr="0089518F">
              <w:t>The 2nd der</w:t>
            </w:r>
            <w:r w:rsidRPr="0089518F">
              <w:t>ivative</w:t>
            </w:r>
          </w:p>
          <w:p w:rsidR="00000000" w:rsidRPr="0089518F" w:rsidP="0089518F">
            <w:pPr>
              <w:pStyle w:val="ListBullet"/>
            </w:pPr>
            <w:r w:rsidRPr="0089518F">
              <w:t>Application - equations of tangents and normals; stationary points; turning points; and curve sketching; rates of change; rectilinear motion</w:t>
            </w:r>
          </w:p>
          <w:p w:rsidR="00000000" w:rsidRPr="0089518F" w:rsidP="0089518F">
            <w:pPr>
              <w:pStyle w:val="ListBullet"/>
            </w:pPr>
            <w:r w:rsidRPr="0089518F">
              <w:t>Verbally formulated problems involving related rates and maxima: minima</w:t>
            </w:r>
          </w:p>
          <w:p w:rsidR="00000000" w:rsidRPr="0089518F" w:rsidP="0089518F">
            <w:pPr>
              <w:pStyle w:val="BodyText"/>
            </w:pPr>
            <w:r w:rsidRPr="0089518F">
              <w:t>T19</w:t>
            </w:r>
            <w:r w:rsidRPr="0089518F">
              <w:tab/>
              <w:t>Integral Calculus encompassing:</w:t>
            </w:r>
          </w:p>
          <w:p w:rsidR="00000000" w:rsidRPr="0089518F" w:rsidP="0089518F">
            <w:pPr>
              <w:pStyle w:val="ListBullet"/>
            </w:pPr>
            <w:r w:rsidRPr="0089518F">
              <w:t>Integration as the inverse operation to differentiation - results of the integral of k.f(ax + b) where f(x) = x to the power of n, sin x, cos x, sec squared x, e to the power of x</w:t>
            </w:r>
          </w:p>
          <w:p w:rsidR="00000000" w:rsidRPr="0089518F" w:rsidP="0089518F">
            <w:pPr>
              <w:pStyle w:val="ListBullet"/>
            </w:pPr>
            <w:r w:rsidRPr="0089518F">
              <w:t>The method of substitution</w:t>
            </w:r>
          </w:p>
          <w:p w:rsidR="00000000" w:rsidRPr="0089518F" w:rsidP="0089518F">
            <w:pPr>
              <w:pStyle w:val="ListBullet"/>
            </w:pPr>
            <w:r w:rsidRPr="0089518F">
              <w:t>The definite integral</w:t>
            </w:r>
          </w:p>
          <w:p w:rsidR="00000000" w:rsidRPr="0089518F" w:rsidP="0089518F">
            <w:pPr>
              <w:pStyle w:val="ListBullet"/>
            </w:pPr>
            <w:r w:rsidRPr="0089518F">
              <w:t>Applications - areas betw</w:t>
            </w:r>
            <w:r w:rsidRPr="0089518F">
              <w:t>een curves; rectilinear motion including displacement from acceleration and distance travelled; voltage and current relationship in capacitors and inductors and the like</w:t>
            </w:r>
          </w:p>
          <w:p w:rsidR="00000000" w:rsidRPr="0089518F" w:rsidP="0089518F">
            <w:pPr>
              <w:pStyle w:val="BodyText"/>
            </w:pPr>
            <w:r w:rsidRPr="0089518F">
              <w:t>T20</w:t>
            </w:r>
            <w:r w:rsidRPr="0089518F">
              <w:tab/>
              <w:t>Differential Equations encompassing:</w:t>
            </w:r>
          </w:p>
          <w:p w:rsidR="00000000" w:rsidRPr="0089518F" w:rsidP="0089518F">
            <w:pPr>
              <w:pStyle w:val="ListBullet"/>
            </w:pPr>
            <w:r w:rsidRPr="0089518F">
              <w:t>First order and separable linear equations</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10" w:name="O_418017"/>
      <w:bookmarkEnd w:id="10"/>
      <w:r w:rsidRPr="0089518F">
        <w:t>Evidence Guide</w:t>
      </w:r>
    </w:p>
    <w:tbl>
      <w:tblPr>
        <w:tblW w:w="0" w:type="auto"/>
        <w:tblLayout w:type="fixed"/>
        <w:tblCellMar>
          <w:left w:w="62" w:type="dxa"/>
          <w:right w:w="62" w:type="dxa"/>
        </w:tblCellMar>
        <w:tblLook w:val="0000"/>
      </w:tblPr>
      <w:tblGrid>
        <w:gridCol w:w="8460"/>
      </w:tblGrid>
      <w:tr w:rsidTr="002574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EVIDENCE GUIDE</w:t>
            </w:r>
          </w:p>
        </w:tc>
      </w:tr>
      <w:tr w:rsidTr="002574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9)</w:t>
            </w:r>
            <w:r w:rsidRPr="0089518F">
              <w:t xml:space="preserve"> The evidence guide provides advice on assessment and must be read in conjunction with the Performance Criteria, Required Skills and Knowledge, the Range Statement and the Assessment Guidelines for this Tr</w:t>
            </w:r>
            <w:r w:rsidRPr="0089518F">
              <w:t xml:space="preserve">aining Package. </w:t>
            </w:r>
          </w:p>
          <w:p w:rsidR="00000000" w:rsidRPr="0089518F" w:rsidP="0089518F">
            <w:pPr>
              <w:pStyle w:val="BodyText"/>
            </w:pPr>
            <w:r w:rsidRPr="0089518F">
              <w:t>The Evidence Guide forms an integral part of this unit. It must be used in conjunction with all parts of the unit and performed in accordance with the Assessment Guidelines of this Training Package.</w:t>
            </w:r>
          </w:p>
        </w:tc>
      </w:tr>
    </w:tbl>
    <w:p w:rsidR="00000000" w:rsidRPr="0089518F" w:rsidP="0089518F">
      <w:pPr>
        <w:pStyle w:val="BodyText"/>
      </w:pPr>
    </w:p>
    <w:tbl>
      <w:tblPr>
        <w:tblW w:w="0" w:type="auto"/>
        <w:tblLayout w:type="fixed"/>
        <w:tblCellMar>
          <w:left w:w="62" w:type="dxa"/>
          <w:right w:w="62" w:type="dxa"/>
        </w:tblCellMar>
        <w:tblLook w:val="0000"/>
      </w:tblPr>
      <w:tblGrid>
        <w:gridCol w:w="1890"/>
        <w:gridCol w:w="6570"/>
      </w:tblGrid>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9.1)</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Longitudinal competency development approaches to assessment, such as Profiling, require data to be reliably gathered in a form that can be consistently interpreted over time. This approach is best utilised in Apprenticeship programs and reduces assessment</w:t>
            </w:r>
            <w:r w:rsidRPr="0089518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9518F">
              <w:t>ncy in a realistically simulated work environment. It is recognised that, in some circumstances, assessment in part or full can occur outside the workplace. However, it must be in accordance with industry and regulatory policy.</w:t>
            </w:r>
          </w:p>
          <w:p w:rsidR="00000000" w:rsidRPr="0089518F" w:rsidP="0089518F">
            <w:pPr>
              <w:pStyle w:val="BodyText"/>
            </w:pPr>
            <w:r w:rsidRPr="0089518F">
              <w:t>Methods chosen for a particu</w:t>
            </w:r>
            <w:r w:rsidRPr="0089518F">
              <w:t>lar assessment will be influenced by various factors. These include the extent of the assessment, the most effective locations for the assessment activities to take place, access to physical resources, additional safety measures that may be required and th</w:t>
            </w:r>
            <w:r w:rsidRPr="0089518F">
              <w:t>e critical nature of the competencies being assessed.</w:t>
            </w:r>
          </w:p>
          <w:p w:rsidR="00000000" w:rsidRPr="0089518F" w:rsidP="0089518F">
            <w:pPr>
              <w:pStyle w:val="BodyText"/>
            </w:pPr>
            <w:r w:rsidRPr="0089518F">
              <w:t>The critical safety nature of working with electricity, electrical equipment, gas or any other hazardous substance/material carries risk in deeming a person competent. Sources of evidence need to be ‘ri</w:t>
            </w:r>
            <w:r w:rsidRPr="0089518F">
              <w:t>ch’ in nature to minimise error in judgment.</w:t>
            </w:r>
          </w:p>
          <w:p w:rsidR="00000000" w:rsidRPr="0089518F" w:rsidP="0089518F">
            <w:pPr>
              <w:pStyle w:val="BodyText"/>
            </w:pPr>
            <w:r w:rsidRPr="0089518F">
              <w:t>Activities associated with normal everyday work have a bearing on the decision as to how much and how detailed the data gathered will contribute to its ‘richness’. Some skills are more critical to safety and ope</w:t>
            </w:r>
            <w:r w:rsidRPr="0089518F">
              <w:t>rational requirements while the same skills may be more or less frequently practised. These points are raised for the assessors to consider when choosing an assessment method and developing assessment instruments. Sample assessment instruments are included</w:t>
            </w:r>
            <w:r w:rsidRPr="0089518F">
              <w:t xml:space="preserve"> for Assessors in the Assessment Guidelines of this Training Package.</w:t>
            </w:r>
          </w:p>
        </w:tc>
      </w:tr>
    </w:tbl>
    <w:p w:rsidR="00000000" w:rsidRPr="0089518F" w:rsidP="0089518F">
      <w:pPr>
        <w:pStyle w:val="BodyText"/>
      </w:pPr>
    </w:p>
    <w:tbl>
      <w:tblPr>
        <w:tblW w:w="0" w:type="auto"/>
        <w:tblLayout w:type="fixed"/>
        <w:tblCellMar>
          <w:left w:w="62" w:type="dxa"/>
          <w:right w:w="62" w:type="dxa"/>
        </w:tblCellMar>
        <w:tblLook w:val="0000"/>
      </w:tblPr>
      <w:tblGrid>
        <w:gridCol w:w="1890"/>
        <w:gridCol w:w="1530"/>
        <w:gridCol w:w="5040"/>
      </w:tblGrid>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9.2)</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Before the critical aspects of evidence are considered all prerequisites must be met.</w:t>
            </w:r>
          </w:p>
          <w:p w:rsidR="00000000" w:rsidRPr="0089518F" w:rsidP="0089518F">
            <w:pPr>
              <w:pStyle w:val="BodyText"/>
            </w:pPr>
            <w:r w:rsidRPr="0089518F">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89518F" w:rsidP="0089518F">
            <w:pPr>
              <w:pStyle w:val="ListBullet"/>
            </w:pPr>
            <w:r w:rsidRPr="0089518F">
              <w:t>A representative body of work performance demonstrated within the timeframes typically expected of the discipline, work function and industrial environment. In particular this shall incorporate evidence that shows a candidate is able to:</w:t>
            </w:r>
          </w:p>
          <w:p w:rsidR="00000000" w:rsidRPr="0089518F" w:rsidP="0089518F">
            <w:pPr>
              <w:pStyle w:val="ListBullet2"/>
            </w:pPr>
            <w:r w:rsidRPr="0089518F">
              <w:t>Implement Occupa</w:t>
            </w:r>
            <w:r w:rsidRPr="0089518F">
              <w:t>tional Health and Safety workplace procedures and practices, including the use of risk control measures as specified in the performance criteria and range statement</w:t>
            </w:r>
          </w:p>
          <w:p w:rsidR="00000000" w:rsidRPr="0089518F" w:rsidP="0089518F">
            <w:pPr>
              <w:pStyle w:val="ListBullet2"/>
            </w:pPr>
            <w:r w:rsidRPr="0089518F">
              <w:t xml:space="preserve">Apply sustainable energy principles and practices as specified in the performance criteria </w:t>
            </w:r>
            <w:r w:rsidRPr="0089518F">
              <w:t>and range statement</w:t>
            </w:r>
          </w:p>
          <w:p w:rsidR="00000000" w:rsidRPr="0089518F" w:rsidP="0089518F">
            <w:pPr>
              <w:pStyle w:val="ListBullet2"/>
            </w:pPr>
            <w:r w:rsidRPr="0089518F">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89518F" w:rsidP="0089518F">
            <w:pPr>
              <w:pStyle w:val="ListBullet2"/>
            </w:pPr>
            <w:r w:rsidRPr="0089518F">
              <w:t>Demo</w:t>
            </w:r>
            <w:r w:rsidRPr="0089518F">
              <w:t>nstrate an appropriate level of skills enabling employment</w:t>
            </w:r>
          </w:p>
          <w:p w:rsidR="00000000" w:rsidRPr="0089518F" w:rsidP="0089518F">
            <w:pPr>
              <w:pStyle w:val="ListBullet2"/>
            </w:pPr>
            <w:r w:rsidRPr="0089518F">
              <w:t>Conduct work observing the relevant Anti Discrimination legislation, regulations, polices and workplace procedures</w:t>
            </w:r>
          </w:p>
          <w:p w:rsidR="00000000" w:rsidRPr="0089518F" w:rsidP="0089518F">
            <w:pPr>
              <w:pStyle w:val="ListBullet"/>
            </w:pPr>
            <w:r w:rsidRPr="0089518F">
              <w:t>Demonstrated consistent performance across a representative range of contexts fro</w:t>
            </w:r>
            <w:r w:rsidRPr="0089518F">
              <w:t>m the prescribed items below:</w:t>
            </w:r>
          </w:p>
          <w:p w:rsidR="00000000" w:rsidP="0089518F">
            <w:pPr>
              <w:pStyle w:val="ListBullet2"/>
              <w:rPr>
                <w:lang w:val="en-NZ"/>
              </w:rPr>
            </w:pPr>
            <w:r w:rsidRPr="0089518F">
              <w:t>Undertake computations in an energy sector environment as described in 8) and including:</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A</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Understanding transporting instructions.</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B</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Checking transport details against job instruction.</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C</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Obtaining relevant plant and equipment.</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D</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Transporting plant and equipment in accordance with requirements.</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E</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Undertaking computations in accordance with requirements.</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F</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Notifying work completing.</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G</w:t>
            </w:r>
          </w:p>
        </w:tc>
        <w:tc>
          <w:tcPr>
            <w:tcW w:w="504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t>Dealing with unplanned events by drawing on essential knowledge and skills to provide appropriate solutions incorporated in a holistic assessment with the above listed items.</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 xml:space="preserve">Note: </w:t>
            </w:r>
            <w:r w:rsidRPr="0089518F">
              <w:br/>
              <w:t>Successful completion of relevant vendor training may be used to contrib</w:t>
            </w:r>
            <w:r w:rsidRPr="0089518F">
              <w:t>ute to evidence on which competency is deemed. In these cases the alignment of outcomes of vendor training with performance criteria and critical aspects of evidence shall be clearly identified.</w:t>
            </w:r>
          </w:p>
        </w:tc>
      </w:tr>
    </w:tbl>
    <w:p w:rsidR="00000000" w:rsidRPr="0089518F" w:rsidP="0089518F">
      <w:pPr>
        <w:pStyle w:val="BodyText"/>
      </w:pPr>
    </w:p>
    <w:tbl>
      <w:tblPr>
        <w:tblW w:w="0" w:type="auto"/>
        <w:tblLayout w:type="fixed"/>
        <w:tblCellMar>
          <w:left w:w="62" w:type="dxa"/>
          <w:right w:w="62" w:type="dxa"/>
        </w:tblCellMar>
        <w:tblLook w:val="0000"/>
      </w:tblPr>
      <w:tblGrid>
        <w:gridCol w:w="1890"/>
        <w:gridCol w:w="6570"/>
      </w:tblGrid>
      <w:tr w:rsidTr="0025749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9.3)</w:t>
            </w:r>
          </w:p>
        </w:tc>
      </w:tr>
      <w:tr w:rsidTr="0025749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This unit should be assessed as it relates to normal work practice using procedures, information and resources typical of a workplace. This should include:</w:t>
            </w:r>
          </w:p>
          <w:p w:rsidR="00000000" w:rsidRPr="0089518F" w:rsidP="0089518F">
            <w:pPr>
              <w:pStyle w:val="ListBullet"/>
            </w:pPr>
            <w:r w:rsidRPr="0089518F">
              <w:t>OHS policy and work procedures and instructions.</w:t>
            </w:r>
          </w:p>
          <w:p w:rsidR="00000000" w:rsidRPr="0089518F" w:rsidP="0089518F">
            <w:pPr>
              <w:pStyle w:val="ListBullet"/>
            </w:pPr>
            <w:r w:rsidRPr="0089518F">
              <w:t>Suitable work environment, facilities, equipment a</w:t>
            </w:r>
            <w:r w:rsidRPr="0089518F">
              <w:t>nd materials to undertake actual work as prescribed in this unit.</w:t>
            </w:r>
          </w:p>
          <w:p w:rsidR="00000000" w:rsidRPr="0089518F" w:rsidP="0089518F">
            <w:pPr>
              <w:pStyle w:val="BodyText"/>
            </w:pPr>
            <w:r w:rsidRPr="0089518F">
              <w:t>These should be used in the formal learning/assessment environment.</w:t>
            </w:r>
          </w:p>
          <w:p w:rsidR="00000000" w:rsidRPr="0089518F" w:rsidP="0089518F">
            <w:pPr>
              <w:pStyle w:val="BodyText"/>
            </w:pPr>
            <w:r w:rsidRPr="0089518F">
              <w:t>Note:</w:t>
            </w:r>
          </w:p>
          <w:p w:rsidR="00000000" w:rsidRPr="0089518F" w:rsidP="0089518F">
            <w:pPr>
              <w:pStyle w:val="BodyText"/>
            </w:pPr>
            <w:r w:rsidRPr="0089518F">
              <w:t>Where simulation is considered a suitable strategy for assessment, conditions for assessment must be authentic and as far as possible reproduce and replicate the workplace and be consistent with the approved industry simulation policy.</w:t>
            </w:r>
          </w:p>
          <w:p w:rsidR="00000000" w:rsidRPr="0089518F" w:rsidP="0089518F">
            <w:pPr>
              <w:pStyle w:val="BodyText"/>
            </w:pPr>
            <w:r w:rsidRPr="0089518F">
              <w:t>The resources used f</w:t>
            </w:r>
            <w:r w:rsidRPr="0089518F">
              <w:t>or assessment should reflect current industry practices in relation to undertaking computations in an energy sector environment.</w:t>
            </w:r>
          </w:p>
        </w:tc>
      </w:tr>
    </w:tbl>
    <w:p w:rsidR="00000000" w:rsidRPr="0089518F" w:rsidP="0089518F">
      <w:pPr>
        <w:pStyle w:val="BodyText"/>
      </w:pPr>
    </w:p>
    <w:tbl>
      <w:tblPr>
        <w:tblW w:w="0" w:type="auto"/>
        <w:tblLayout w:type="fixed"/>
        <w:tblCellMar>
          <w:left w:w="62" w:type="dxa"/>
          <w:right w:w="62" w:type="dxa"/>
        </w:tblCellMar>
        <w:tblLook w:val="0000"/>
      </w:tblPr>
      <w:tblGrid>
        <w:gridCol w:w="1890"/>
        <w:gridCol w:w="6570"/>
      </w:tblGrid>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9.4)</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This unit shall be assessed by methods given in Volume 1, Part 3 ‘Assessment Guidelines’.</w:t>
            </w:r>
          </w:p>
          <w:p w:rsidR="00000000" w:rsidRPr="0089518F" w:rsidP="0089518F">
            <w:pPr>
              <w:pStyle w:val="BodyText"/>
            </w:pPr>
            <w:r w:rsidRPr="0089518F">
              <w:t xml:space="preserve">Note: </w:t>
            </w:r>
          </w:p>
          <w:p w:rsidR="00000000" w:rsidRPr="0089518F" w:rsidP="0089518F">
            <w:pPr>
              <w:pStyle w:val="BodyText"/>
            </w:pPr>
            <w:r w:rsidRPr="0089518F">
              <w:t>Competent performance with inherent safe working practices is expected in the Industry to which this unit applies. This requires that the specified essential knowledge and associated skills are assessed in a structured environment which is primarily intend</w:t>
            </w:r>
            <w:r w:rsidRPr="0089518F">
              <w:t>ed for learning/assessment and incorporates all necessary equipment and facilities for learners to develop and demonstrate the essential knowledge and skills described in this unit.</w:t>
            </w:r>
          </w:p>
        </w:tc>
      </w:tr>
    </w:tbl>
    <w:p w:rsidR="00000000" w:rsidRPr="0089518F" w:rsidP="0089518F">
      <w:pPr>
        <w:pStyle w:val="BodyText"/>
      </w:pPr>
    </w:p>
    <w:tbl>
      <w:tblPr>
        <w:tblW w:w="0" w:type="auto"/>
        <w:tblLayout w:type="fixed"/>
        <w:tblCellMar>
          <w:left w:w="62" w:type="dxa"/>
          <w:right w:w="62" w:type="dxa"/>
        </w:tblCellMar>
        <w:tblLook w:val="0000"/>
      </w:tblPr>
      <w:tblGrid>
        <w:gridCol w:w="1890"/>
        <w:gridCol w:w="6570"/>
      </w:tblGrid>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9.5)</w:t>
            </w:r>
          </w:p>
        </w:tc>
      </w:tr>
      <w:tr w:rsidTr="0025749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There are</w:t>
            </w:r>
            <w:r w:rsidRPr="0089518F">
              <w:t xml:space="preserve"> no concurrent assessment recommendations for this unit.</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11" w:name="O_418021"/>
      <w:bookmarkEnd w:id="11"/>
      <w:r w:rsidRPr="0089518F">
        <w:t>Range Statement</w:t>
      </w:r>
    </w:p>
    <w:tbl>
      <w:tblPr>
        <w:tblW w:w="0" w:type="auto"/>
        <w:tblLayout w:type="fixed"/>
        <w:tblCellMar>
          <w:left w:w="62" w:type="dxa"/>
          <w:right w:w="62" w:type="dxa"/>
        </w:tblCellMar>
        <w:tblLook w:val="0000"/>
      </w:tblPr>
      <w:tblGrid>
        <w:gridCol w:w="8460"/>
      </w:tblGrid>
      <w:tr w:rsidTr="002574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RANGE STATEMENT</w:t>
            </w:r>
          </w:p>
        </w:tc>
      </w:tr>
      <w:tr w:rsidTr="002574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10)</w:t>
            </w:r>
            <w:r w:rsidRPr="0089518F">
              <w:t xml:space="preserve"> This relates to the unit as a whole providing the range of contexts and conditions to which the performance criteria apply. It allows for </w:t>
            </w:r>
            <w:r w:rsidRPr="0089518F">
              <w:t>different work environments and situations that will affect performance.</w:t>
            </w:r>
          </w:p>
          <w:p w:rsidR="00000000" w:rsidRPr="0089518F" w:rsidP="0089518F">
            <w:pPr>
              <w:pStyle w:val="BodyText"/>
            </w:pPr>
            <w:r w:rsidRPr="0089518F">
              <w:t>This unit shall be demonstrated in relation to undertaking computations in an energy sector environment in any of the following disciplines:</w:t>
            </w:r>
          </w:p>
          <w:p w:rsidR="00000000" w:rsidRPr="0089518F" w:rsidP="0089518F">
            <w:pPr>
              <w:pStyle w:val="ListBullet3"/>
            </w:pPr>
            <w:r w:rsidRPr="0089518F">
              <w:t>Appliances</w:t>
            </w:r>
          </w:p>
          <w:p w:rsidR="00000000" w:rsidRPr="0089518F" w:rsidP="0089518F">
            <w:pPr>
              <w:pStyle w:val="ListBullet3"/>
            </w:pPr>
            <w:r w:rsidRPr="0089518F">
              <w:t>Business equipment</w:t>
            </w:r>
          </w:p>
          <w:p w:rsidR="00000000" w:rsidRPr="0089518F" w:rsidP="0089518F">
            <w:pPr>
              <w:pStyle w:val="ListBullet3"/>
            </w:pPr>
            <w:r w:rsidRPr="0089518F">
              <w:t xml:space="preserve">Computers </w:t>
            </w:r>
          </w:p>
          <w:p w:rsidR="00000000" w:rsidRPr="0089518F" w:rsidP="0089518F">
            <w:pPr>
              <w:pStyle w:val="ListBullet3"/>
            </w:pPr>
            <w:r w:rsidRPr="0089518F">
              <w:t>Data Communications</w:t>
            </w:r>
          </w:p>
          <w:p w:rsidR="00000000" w:rsidRPr="0089518F" w:rsidP="0089518F">
            <w:pPr>
              <w:pStyle w:val="ListBullet3"/>
            </w:pPr>
            <w:r w:rsidRPr="0089518F">
              <w:t>Electrical</w:t>
            </w:r>
          </w:p>
          <w:p w:rsidR="00000000" w:rsidRPr="0089518F" w:rsidP="0089518F">
            <w:pPr>
              <w:pStyle w:val="ListBullet3"/>
            </w:pPr>
            <w:r w:rsidRPr="0089518F">
              <w:t>Electrical Machines</w:t>
            </w:r>
          </w:p>
          <w:p w:rsidR="00000000" w:rsidRPr="0089518F" w:rsidP="0089518F">
            <w:pPr>
              <w:pStyle w:val="ListBullet3"/>
            </w:pPr>
            <w:r w:rsidRPr="0089518F">
              <w:t>Electronics</w:t>
            </w:r>
          </w:p>
          <w:p w:rsidR="00000000" w:rsidRPr="0089518F" w:rsidP="0089518F">
            <w:pPr>
              <w:pStyle w:val="ListBullet3"/>
            </w:pPr>
            <w:r w:rsidRPr="0089518F">
              <w:t>Fire protection</w:t>
            </w:r>
          </w:p>
          <w:p w:rsidR="00000000" w:rsidRPr="0089518F" w:rsidP="0089518F">
            <w:pPr>
              <w:pStyle w:val="ListBullet3"/>
            </w:pPr>
            <w:r w:rsidRPr="0089518F">
              <w:t>Instrumentation</w:t>
            </w:r>
          </w:p>
          <w:p w:rsidR="00000000" w:rsidRPr="0089518F" w:rsidP="0089518F">
            <w:pPr>
              <w:pStyle w:val="ListBullet3"/>
            </w:pPr>
            <w:r w:rsidRPr="0089518F">
              <w:t>Refrigeration and Air Conditioning</w:t>
            </w:r>
          </w:p>
          <w:p w:rsidR="00000000" w:rsidRPr="0089518F" w:rsidP="0089518F">
            <w:pPr>
              <w:pStyle w:val="ListBullet3"/>
            </w:pPr>
            <w:r w:rsidRPr="0089518F">
              <w:t>Renewable / sustainable energy</w:t>
            </w:r>
          </w:p>
          <w:p w:rsidR="00000000" w:rsidRPr="0089518F" w:rsidP="0089518F">
            <w:pPr>
              <w:pStyle w:val="ListBullet3"/>
            </w:pPr>
            <w:r w:rsidRPr="0089518F">
              <w:t>Security technology</w:t>
            </w:r>
          </w:p>
          <w:p w:rsidR="00000000" w:rsidRPr="0089518F" w:rsidP="0089518F">
            <w:pPr>
              <w:pStyle w:val="BodyText"/>
            </w:pPr>
            <w:r w:rsidRPr="0089518F">
              <w:t>Generic terms used throughout this Vocational Standard shall be regarded as part of the Range Statement in which competency is demonstrated. The definition of these and other terms that apply are given in Volume 2, Part 2.1.</w:t>
            </w:r>
          </w:p>
        </w:tc>
      </w:tr>
    </w:tbl>
    <w:p w:rsidR="00000000" w:rsidRPr="0089518F" w:rsidP="0089518F">
      <w:pPr>
        <w:pStyle w:val="BodyText"/>
      </w:pPr>
    </w:p>
    <w:p w:rsidR="00000000" w:rsidRPr="0089518F" w:rsidP="0089518F">
      <w:pPr>
        <w:pStyle w:val="AllowPageBreak"/>
      </w:pPr>
    </w:p>
    <w:p w:rsidR="00000000" w:rsidRPr="0089518F" w:rsidP="0089518F">
      <w:pPr>
        <w:pStyle w:val="Heading1"/>
      </w:pPr>
      <w:bookmarkStart w:id="12" w:name="O_418024"/>
      <w:bookmarkEnd w:id="12"/>
      <w:r w:rsidRPr="0089518F">
        <w:t>Unit Sector(</w:t>
      </w:r>
      <w:r w:rsidRPr="0089518F">
        <w:t>s)</w:t>
      </w:r>
    </w:p>
    <w:p w:rsidR="00000000" w:rsidRPr="0089518F" w:rsidP="0089518F">
      <w:pPr>
        <w:pStyle w:val="BodyText"/>
      </w:pPr>
      <w:r w:rsidRPr="0089518F">
        <w:t>Not applicable.</w:t>
      </w:r>
    </w:p>
    <w:p w:rsidR="00000000" w:rsidRPr="0089518F" w:rsidP="0089518F">
      <w:pPr>
        <w:pStyle w:val="AllowPageBreak"/>
      </w:pPr>
    </w:p>
    <w:p w:rsidR="00000000" w:rsidRPr="0089518F" w:rsidP="0089518F">
      <w:pPr>
        <w:pStyle w:val="Heading1"/>
      </w:pPr>
      <w:bookmarkStart w:id="13" w:name="O_418013"/>
      <w:bookmarkEnd w:id="13"/>
      <w:r w:rsidRPr="0089518F">
        <w:t>Competency Field</w:t>
      </w:r>
    </w:p>
    <w:tbl>
      <w:tblPr>
        <w:tblW w:w="0" w:type="auto"/>
        <w:tblLayout w:type="fixed"/>
        <w:tblCellMar>
          <w:left w:w="62" w:type="dxa"/>
          <w:right w:w="62" w:type="dxa"/>
        </w:tblCellMar>
        <w:tblLook w:val="0000"/>
      </w:tblPr>
      <w:tblGrid>
        <w:gridCol w:w="2700"/>
        <w:gridCol w:w="5760"/>
      </w:tblGrid>
      <w:tr w:rsidTr="002574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518F">
            <w:pPr>
              <w:pStyle w:val="BodyText"/>
              <w:rPr>
                <w:lang w:val="en-NZ"/>
              </w:rPr>
            </w:pPr>
            <w:r w:rsidRPr="0089518F">
              <w:rPr>
                <w:rStyle w:val="SpecialBold"/>
              </w:rPr>
              <w:t xml:space="preserve">11) </w:t>
            </w:r>
          </w:p>
        </w:tc>
      </w:tr>
      <w:tr w:rsidTr="002574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518F" w:rsidP="0089518F">
            <w:pPr>
              <w:pStyle w:val="BodyText"/>
            </w:pPr>
            <w:r w:rsidRPr="0089518F">
              <w:t>Electrotechnology</w:t>
            </w:r>
          </w:p>
        </w:tc>
      </w:tr>
    </w:tbl>
    <w:p w:rsidR="00000000" w:rsidRPr="0089518F" w:rsidP="0089518F">
      <w:pPr>
        <w:pStyle w:val="BodyText"/>
      </w:pPr>
    </w:p>
    <w:p w:rsidR="00000000" w:rsidRPr="0089518F" w:rsidP="0089518F"/>
    <w:sectPr w:rsidSect="00895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49F" w:rsidP="00257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F" w:rsidP="00895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749F" w:rsidP="00895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749F" w:rsidP="00895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49F" w:rsidP="002574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9F" w:rsidP="0089518F">
    <w:pPr>
      <w:pStyle w:val="Header"/>
      <w:framePr w:wrap="around"/>
    </w:pPr>
    <w:r>
      <w:fldChar w:fldCharType="begin"/>
    </w:r>
    <w:r>
      <w:instrText xml:space="preserve"> TITLE   \* MERGEFORMAT </w:instrText>
    </w:r>
    <w:r>
      <w:fldChar w:fldCharType="separate"/>
    </w:r>
    <w:r>
      <w:t>UEENEEE150A Undertake computations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749F" w:rsidP="00895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CC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A7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E1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18F"/>
    <w:pPr>
      <w:spacing w:before="360" w:after="60"/>
      <w:outlineLvl w:val="0"/>
    </w:pPr>
    <w:rPr>
      <w:sz w:val="32"/>
    </w:rPr>
  </w:style>
  <w:style w:type="paragraph" w:styleId="Heading2">
    <w:name w:val="heading 2"/>
    <w:basedOn w:val="HeadingBase"/>
    <w:next w:val="BodyText"/>
    <w:link w:val="Heading2Char"/>
    <w:qFormat/>
    <w:rsid w:val="0089518F"/>
    <w:pPr>
      <w:keepLines/>
      <w:spacing w:before="240" w:after="120"/>
      <w:outlineLvl w:val="1"/>
    </w:pPr>
    <w:rPr>
      <w:sz w:val="28"/>
      <w:szCs w:val="40"/>
    </w:rPr>
  </w:style>
  <w:style w:type="paragraph" w:styleId="Heading3">
    <w:name w:val="heading 3"/>
    <w:basedOn w:val="HeadingBase"/>
    <w:next w:val="BodyText"/>
    <w:link w:val="Heading3Char"/>
    <w:qFormat/>
    <w:rsid w:val="0089518F"/>
    <w:pPr>
      <w:spacing w:before="180" w:after="120"/>
      <w:outlineLvl w:val="2"/>
    </w:pPr>
    <w:rPr>
      <w:spacing w:val="-10"/>
      <w:kern w:val="32"/>
    </w:rPr>
  </w:style>
  <w:style w:type="paragraph" w:styleId="Heading4">
    <w:name w:val="heading 4"/>
    <w:basedOn w:val="HeadingBase"/>
    <w:next w:val="BodyText"/>
    <w:link w:val="Heading4Char"/>
    <w:qFormat/>
    <w:rsid w:val="0089518F"/>
    <w:pPr>
      <w:spacing w:before="160" w:after="120"/>
      <w:outlineLvl w:val="3"/>
    </w:pPr>
    <w:rPr>
      <w:sz w:val="22"/>
    </w:rPr>
  </w:style>
  <w:style w:type="paragraph" w:styleId="Heading5">
    <w:name w:val="heading 5"/>
    <w:basedOn w:val="HeadingBase"/>
    <w:next w:val="Normal"/>
    <w:link w:val="Heading5Char"/>
    <w:qFormat/>
    <w:rsid w:val="0089518F"/>
    <w:pPr>
      <w:spacing w:before="80"/>
      <w:outlineLvl w:val="4"/>
    </w:pPr>
    <w:rPr>
      <w:color w:val="918585"/>
      <w:sz w:val="20"/>
    </w:rPr>
  </w:style>
  <w:style w:type="paragraph" w:styleId="Heading6">
    <w:name w:val="heading 6"/>
    <w:basedOn w:val="HeadingBase"/>
    <w:next w:val="Normal"/>
    <w:link w:val="Heading6Char"/>
    <w:qFormat/>
    <w:rsid w:val="0089518F"/>
    <w:pPr>
      <w:spacing w:before="60"/>
      <w:outlineLvl w:val="5"/>
    </w:pPr>
    <w:rPr>
      <w:color w:val="918585"/>
      <w:sz w:val="20"/>
    </w:rPr>
  </w:style>
  <w:style w:type="paragraph" w:styleId="Heading7">
    <w:name w:val="heading 7"/>
    <w:basedOn w:val="Normal"/>
    <w:next w:val="Normal"/>
    <w:link w:val="Heading7Char"/>
    <w:qFormat/>
    <w:rsid w:val="0089518F"/>
    <w:pPr>
      <w:ind w:left="720"/>
      <w:outlineLvl w:val="6"/>
    </w:pPr>
    <w:rPr>
      <w:i/>
    </w:rPr>
  </w:style>
  <w:style w:type="paragraph" w:styleId="Heading8">
    <w:name w:val="heading 8"/>
    <w:basedOn w:val="Normal"/>
    <w:next w:val="Normal"/>
    <w:link w:val="Heading8Char"/>
    <w:qFormat/>
    <w:rsid w:val="0089518F"/>
    <w:pPr>
      <w:ind w:left="720"/>
      <w:outlineLvl w:val="7"/>
    </w:pPr>
    <w:rPr>
      <w:i/>
    </w:rPr>
  </w:style>
  <w:style w:type="paragraph" w:styleId="Heading9">
    <w:name w:val="heading 9"/>
    <w:basedOn w:val="Normal"/>
    <w:next w:val="Normal"/>
    <w:link w:val="Heading9Char"/>
    <w:qFormat/>
    <w:rsid w:val="0089518F"/>
    <w:pPr>
      <w:ind w:left="720"/>
      <w:outlineLvl w:val="8"/>
    </w:pPr>
    <w:rPr>
      <w:i/>
    </w:rPr>
  </w:style>
  <w:style w:type="character" w:default="1" w:styleId="DefaultParagraphFont">
    <w:name w:val="Default Paragraph Font"/>
    <w:uiPriority w:val="1"/>
    <w:unhideWhenUsed/>
    <w:rsid w:val="00895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18F"/>
  </w:style>
  <w:style w:type="character" w:customStyle="1" w:styleId="Heading1Char">
    <w:name w:val="Heading 1 Char"/>
    <w:basedOn w:val="DefaultParagraphFont"/>
    <w:link w:val="Heading1"/>
    <w:rsid w:val="0089518F"/>
    <w:rPr>
      <w:rFonts w:ascii="Times New Roman" w:eastAsia="Times New Roman" w:hAnsi="Times New Roman" w:cs="Times New Roman"/>
      <w:b/>
      <w:sz w:val="32"/>
      <w:szCs w:val="20"/>
      <w:lang w:eastAsia="en-US"/>
    </w:rPr>
  </w:style>
  <w:style w:type="paragraph" w:styleId="BodyText">
    <w:name w:val="Body Text"/>
    <w:basedOn w:val="Normal"/>
    <w:link w:val="BodyTextChar"/>
    <w:rsid w:val="00895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18F"/>
    <w:rPr>
      <w:rFonts w:ascii="Times New Roman" w:eastAsia="Times New Roman" w:hAnsi="Times New Roman" w:cs="Times New Roman"/>
      <w:sz w:val="24"/>
      <w:lang w:val="en-US" w:eastAsia="en-US"/>
    </w:rPr>
  </w:style>
  <w:style w:type="paragraph" w:styleId="Footer">
    <w:name w:val="footer"/>
    <w:basedOn w:val="Normal"/>
    <w:link w:val="FooterChar"/>
    <w:rsid w:val="00895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18F"/>
    <w:rPr>
      <w:rFonts w:ascii="Times New Roman" w:eastAsia="Times New Roman" w:hAnsi="Times New Roman" w:cs="Times New Roman"/>
      <w:sz w:val="16"/>
      <w:lang w:val="en-US" w:eastAsia="en-US"/>
    </w:rPr>
  </w:style>
  <w:style w:type="paragraph" w:styleId="ListBullet">
    <w:name w:val="List Bullet"/>
    <w:basedOn w:val="List"/>
    <w:rsid w:val="0089518F"/>
    <w:pPr>
      <w:numPr>
        <w:numId w:val="14"/>
      </w:numPr>
      <w:tabs>
        <w:tab w:val="clear" w:pos="340"/>
      </w:tabs>
      <w:spacing w:before="40" w:after="40"/>
    </w:pPr>
  </w:style>
  <w:style w:type="character" w:customStyle="1" w:styleId="SpecialBold">
    <w:name w:val="Special Bold"/>
    <w:basedOn w:val="DefaultParagraphFont"/>
    <w:rsid w:val="0089518F"/>
    <w:rPr>
      <w:b/>
      <w:spacing w:val="0"/>
    </w:rPr>
  </w:style>
  <w:style w:type="paragraph" w:styleId="ListBullet2">
    <w:name w:val="List Bullet 2"/>
    <w:basedOn w:val="List2"/>
    <w:rsid w:val="0089518F"/>
    <w:pPr>
      <w:numPr>
        <w:numId w:val="15"/>
      </w:numPr>
      <w:tabs>
        <w:tab w:val="clear" w:pos="680"/>
      </w:tabs>
    </w:pPr>
  </w:style>
  <w:style w:type="paragraph" w:styleId="Header">
    <w:name w:val="header"/>
    <w:basedOn w:val="Normal"/>
    <w:link w:val="HeaderChar"/>
    <w:rsid w:val="00895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18F"/>
    <w:pPr>
      <w:spacing w:before="240" w:after="120"/>
      <w:outlineLvl w:val="0"/>
    </w:pPr>
    <w:rPr>
      <w:rFonts w:ascii="Times New Roman" w:hAnsi="Times New Roman"/>
      <w:b/>
      <w:sz w:val="28"/>
    </w:rPr>
  </w:style>
  <w:style w:type="paragraph" w:customStyle="1" w:styleId="AllowPageBreak">
    <w:name w:val="AllowPageBreak"/>
    <w:rsid w:val="008951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518F"/>
    <w:pPr>
      <w:numPr>
        <w:numId w:val="3"/>
      </w:numPr>
      <w:tabs>
        <w:tab w:val="clear" w:pos="1021"/>
      </w:tabs>
      <w:ind w:left="1037" w:hanging="357"/>
    </w:pPr>
  </w:style>
  <w:style w:type="character" w:customStyle="1" w:styleId="Symbols">
    <w:name w:val="Symbols"/>
    <w:basedOn w:val="DefaultParagraphFont"/>
    <w:rsid w:val="0089518F"/>
    <w:rPr>
      <w:rFonts w:ascii="Symbol" w:hAnsi="Symbol"/>
    </w:rPr>
  </w:style>
  <w:style w:type="character" w:customStyle="1" w:styleId="Heading2Char">
    <w:name w:val="Heading 2 Char"/>
    <w:basedOn w:val="DefaultParagraphFont"/>
    <w:link w:val="Heading2"/>
    <w:rsid w:val="00895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18F"/>
    <w:rPr>
      <w:rFonts w:ascii="Courier New" w:eastAsia="Times New Roman" w:hAnsi="Courier New" w:cs="Times New Roman"/>
      <w:i/>
      <w:szCs w:val="20"/>
      <w:lang w:val="en-US" w:eastAsia="en-US"/>
    </w:rPr>
  </w:style>
  <w:style w:type="paragraph" w:customStyle="1" w:styleId="HeadingBase">
    <w:name w:val="Heading Base"/>
    <w:rsid w:val="00895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18F"/>
    <w:pPr>
      <w:tabs>
        <w:tab w:val="right" w:leader="dot" w:pos="9072"/>
      </w:tabs>
      <w:ind w:left="567"/>
    </w:pPr>
    <w:rPr>
      <w:szCs w:val="22"/>
    </w:rPr>
  </w:style>
  <w:style w:type="paragraph" w:customStyle="1" w:styleId="TOCBase">
    <w:name w:val="TOC Base"/>
    <w:rsid w:val="00895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18F"/>
    <w:pPr>
      <w:tabs>
        <w:tab w:val="right" w:leader="dot" w:pos="9072"/>
      </w:tabs>
      <w:spacing w:before="40" w:after="40"/>
      <w:ind w:left="284"/>
    </w:pPr>
    <w:rPr>
      <w:rFonts w:ascii="Times New Roman" w:hAnsi="Times New Roman"/>
    </w:rPr>
  </w:style>
  <w:style w:type="paragraph" w:styleId="TOC1">
    <w:name w:val="toc 1"/>
    <w:basedOn w:val="TOCBase"/>
    <w:next w:val="Normal"/>
    <w:rsid w:val="00895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18F"/>
    <w:pPr>
      <w:spacing w:before="5040"/>
      <w:jc w:val="center"/>
    </w:pPr>
    <w:rPr>
      <w:sz w:val="48"/>
      <w:szCs w:val="72"/>
      <w:lang w:val="en-US"/>
    </w:rPr>
  </w:style>
  <w:style w:type="character" w:customStyle="1" w:styleId="TitleChar">
    <w:name w:val="Title Char"/>
    <w:basedOn w:val="DefaultParagraphFont"/>
    <w:link w:val="Title"/>
    <w:rsid w:val="00895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18F"/>
    <w:pPr>
      <w:tabs>
        <w:tab w:val="left" w:pos="3600"/>
        <w:tab w:val="left" w:pos="3958"/>
      </w:tabs>
    </w:pPr>
  </w:style>
  <w:style w:type="paragraph" w:styleId="List">
    <w:name w:val="List"/>
    <w:basedOn w:val="BodyText"/>
    <w:next w:val="BodyText"/>
    <w:rsid w:val="0089518F"/>
    <w:pPr>
      <w:tabs>
        <w:tab w:val="left" w:pos="340"/>
      </w:tabs>
      <w:spacing w:before="60" w:after="60"/>
      <w:ind w:left="340" w:hanging="340"/>
    </w:pPr>
  </w:style>
  <w:style w:type="paragraph" w:customStyle="1" w:styleId="Note">
    <w:name w:val="Note"/>
    <w:basedOn w:val="BodyText"/>
    <w:rsid w:val="00895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18F"/>
    <w:pPr>
      <w:framePr w:wrap="auto" w:hAnchor="text" w:y="6049"/>
    </w:pPr>
    <w:rPr>
      <w:color w:val="000000"/>
      <w:sz w:val="40"/>
    </w:rPr>
  </w:style>
  <w:style w:type="paragraph" w:customStyle="1" w:styleId="TOCTitle">
    <w:name w:val="TOCTitle"/>
    <w:basedOn w:val="Heading1"/>
    <w:rsid w:val="0089518F"/>
    <w:pPr>
      <w:spacing w:after="240"/>
      <w:jc w:val="center"/>
      <w:outlineLvl w:val="9"/>
    </w:pPr>
    <w:rPr>
      <w:caps/>
    </w:rPr>
  </w:style>
  <w:style w:type="paragraph" w:customStyle="1" w:styleId="Version">
    <w:name w:val="Version"/>
    <w:rsid w:val="00895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18F"/>
    <w:pPr>
      <w:keepNext w:val="0"/>
      <w:tabs>
        <w:tab w:val="right" w:pos="4176"/>
      </w:tabs>
      <w:ind w:left="198" w:hanging="198"/>
    </w:pPr>
    <w:rPr>
      <w:rFonts w:ascii="Garamond" w:hAnsi="Garamond"/>
    </w:rPr>
  </w:style>
  <w:style w:type="paragraph" w:styleId="IndexHeading">
    <w:name w:val="index heading"/>
    <w:basedOn w:val="Normal"/>
    <w:next w:val="Index1"/>
    <w:semiHidden/>
    <w:rsid w:val="0089518F"/>
    <w:pPr>
      <w:spacing w:before="120" w:after="120"/>
    </w:pPr>
    <w:rPr>
      <w:rFonts w:ascii="Arial" w:hAnsi="Arial"/>
      <w:b/>
      <w:color w:val="918585"/>
      <w:sz w:val="24"/>
    </w:rPr>
  </w:style>
  <w:style w:type="paragraph" w:customStyle="1" w:styleId="Chapter">
    <w:name w:val="Chapter"/>
    <w:basedOn w:val="Normal"/>
    <w:rsid w:val="0089518F"/>
    <w:pPr>
      <w:spacing w:before="240"/>
    </w:pPr>
    <w:rPr>
      <w:rFonts w:ascii="Times New Roman" w:hAnsi="Times New Roman"/>
      <w:smallCaps/>
      <w:spacing w:val="80"/>
      <w:sz w:val="28"/>
    </w:rPr>
  </w:style>
  <w:style w:type="paragraph" w:customStyle="1" w:styleId="InChapter">
    <w:name w:val="InChapter"/>
    <w:basedOn w:val="Heading3"/>
    <w:rsid w:val="0089518F"/>
    <w:pPr>
      <w:spacing w:after="240"/>
      <w:outlineLvl w:val="9"/>
    </w:pPr>
    <w:rPr>
      <w:noProof/>
    </w:rPr>
  </w:style>
  <w:style w:type="paragraph" w:styleId="Index2">
    <w:name w:val="index 2"/>
    <w:basedOn w:val="Normal"/>
    <w:next w:val="Normal"/>
    <w:semiHidden/>
    <w:rsid w:val="0089518F"/>
    <w:pPr>
      <w:tabs>
        <w:tab w:val="right" w:pos="4176"/>
      </w:tabs>
      <w:ind w:left="568" w:hanging="284"/>
    </w:pPr>
    <w:rPr>
      <w:rFonts w:ascii="Garamond" w:hAnsi="Garamond"/>
    </w:rPr>
  </w:style>
  <w:style w:type="paragraph" w:customStyle="1" w:styleId="Byline">
    <w:name w:val="Byline"/>
    <w:rsid w:val="00895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18F"/>
    <w:pPr>
      <w:tabs>
        <w:tab w:val="clear" w:pos="3600"/>
        <w:tab w:val="clear" w:pos="3958"/>
      </w:tabs>
      <w:jc w:val="right"/>
    </w:pPr>
  </w:style>
  <w:style w:type="character" w:styleId="Emphasis">
    <w:name w:val="Emphasis"/>
    <w:basedOn w:val="DefaultParagraphFont"/>
    <w:qFormat/>
    <w:rsid w:val="0089518F"/>
    <w:rPr>
      <w:i/>
    </w:rPr>
  </w:style>
  <w:style w:type="paragraph" w:styleId="Caption">
    <w:name w:val="caption"/>
    <w:basedOn w:val="BodyText"/>
    <w:next w:val="Normal"/>
    <w:qFormat/>
    <w:rsid w:val="0089518F"/>
    <w:pPr>
      <w:framePr w:w="2268" w:hSpace="181" w:vSpace="181" w:wrap="around" w:vAnchor="text" w:hAnchor="page" w:x="1135" w:y="285" w:anchorLock="1"/>
    </w:pPr>
    <w:rPr>
      <w:i/>
    </w:rPr>
  </w:style>
  <w:style w:type="paragraph" w:customStyle="1" w:styleId="MiniTOCTitle">
    <w:name w:val="MiniTOCTitle"/>
    <w:basedOn w:val="Heading4"/>
    <w:rsid w:val="0089518F"/>
    <w:pPr>
      <w:spacing w:before="240"/>
      <w:outlineLvl w:val="9"/>
    </w:pPr>
    <w:rPr>
      <w:noProof/>
      <w:sz w:val="24"/>
    </w:rPr>
  </w:style>
  <w:style w:type="paragraph" w:customStyle="1" w:styleId="MiniTOCItem">
    <w:name w:val="MiniTOCItem"/>
    <w:basedOn w:val="ListBullet"/>
    <w:rsid w:val="0089518F"/>
    <w:pPr>
      <w:numPr>
        <w:numId w:val="0"/>
      </w:numPr>
      <w:tabs>
        <w:tab w:val="right" w:leader="dot" w:pos="6521"/>
      </w:tabs>
      <w:spacing w:before="0" w:after="0"/>
    </w:pPr>
  </w:style>
  <w:style w:type="paragraph" w:customStyle="1" w:styleId="TOFTitle">
    <w:name w:val="TOFTitle"/>
    <w:basedOn w:val="TOCTitle"/>
    <w:rsid w:val="0089518F"/>
  </w:style>
  <w:style w:type="paragraph" w:styleId="TableofFigures">
    <w:name w:val="table of figures"/>
    <w:basedOn w:val="Normal"/>
    <w:next w:val="Normal"/>
    <w:semiHidden/>
    <w:rsid w:val="0089518F"/>
    <w:pPr>
      <w:tabs>
        <w:tab w:val="right" w:leader="dot" w:pos="9072"/>
      </w:tabs>
      <w:ind w:left="970" w:hanging="403"/>
    </w:pPr>
    <w:rPr>
      <w:rFonts w:ascii="Times New Roman" w:hAnsi="Times New Roman"/>
      <w:b/>
    </w:rPr>
  </w:style>
  <w:style w:type="paragraph" w:styleId="ListNumber">
    <w:name w:val="List Number"/>
    <w:basedOn w:val="List"/>
    <w:rsid w:val="0089518F"/>
    <w:pPr>
      <w:numPr>
        <w:numId w:val="12"/>
      </w:numPr>
    </w:pPr>
  </w:style>
  <w:style w:type="character" w:customStyle="1" w:styleId="WingdingSymbols">
    <w:name w:val="Wingding Symbols"/>
    <w:rsid w:val="0089518F"/>
    <w:rPr>
      <w:rFonts w:ascii="Wingdings" w:hAnsi="Wingdings"/>
    </w:rPr>
  </w:style>
  <w:style w:type="paragraph" w:customStyle="1" w:styleId="TableHeading">
    <w:name w:val="Table Heading"/>
    <w:basedOn w:val="HeadingBase"/>
    <w:rsid w:val="0089518F"/>
    <w:pPr>
      <w:keepLines/>
      <w:pBdr>
        <w:bottom w:val="single" w:sz="6" w:space="1" w:color="918585"/>
      </w:pBdr>
      <w:spacing w:before="240"/>
    </w:pPr>
  </w:style>
  <w:style w:type="character" w:customStyle="1" w:styleId="HotSpot">
    <w:name w:val="HotSpot"/>
    <w:rsid w:val="0089518F"/>
    <w:rPr>
      <w:color w:val="0033CC"/>
      <w:u w:val="none"/>
    </w:rPr>
  </w:style>
  <w:style w:type="paragraph" w:customStyle="1" w:styleId="BodyTextRight">
    <w:name w:val="Body Text Right"/>
    <w:basedOn w:val="BodyText"/>
    <w:rsid w:val="0089518F"/>
    <w:pPr>
      <w:spacing w:before="0" w:after="0"/>
      <w:jc w:val="right"/>
    </w:pPr>
  </w:style>
  <w:style w:type="paragraph" w:styleId="Index3">
    <w:name w:val="index 3"/>
    <w:basedOn w:val="ListNumber2"/>
    <w:next w:val="Normal"/>
    <w:semiHidden/>
    <w:rsid w:val="0089518F"/>
    <w:pPr>
      <w:numPr>
        <w:numId w:val="0"/>
      </w:numPr>
      <w:tabs>
        <w:tab w:val="right" w:leader="dot" w:pos="4176"/>
      </w:tabs>
    </w:pPr>
  </w:style>
  <w:style w:type="paragraph" w:styleId="ListNumber2">
    <w:name w:val="List Number 2"/>
    <w:basedOn w:val="List2"/>
    <w:rsid w:val="0089518F"/>
    <w:pPr>
      <w:numPr>
        <w:numId w:val="11"/>
      </w:numPr>
      <w:tabs>
        <w:tab w:val="clear" w:pos="1060"/>
      </w:tabs>
    </w:pPr>
  </w:style>
  <w:style w:type="paragraph" w:customStyle="1" w:styleId="MarginNote">
    <w:name w:val="Margin Note"/>
    <w:basedOn w:val="BodyText"/>
    <w:rsid w:val="00895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18F"/>
    <w:rPr>
      <w:sz w:val="32"/>
    </w:rPr>
  </w:style>
  <w:style w:type="paragraph" w:customStyle="1" w:styleId="HeadingProcedure">
    <w:name w:val="Heading Procedure"/>
    <w:basedOn w:val="HeadingBase"/>
    <w:next w:val="Normal"/>
    <w:rsid w:val="0089518F"/>
    <w:pPr>
      <w:tabs>
        <w:tab w:val="left" w:pos="0"/>
      </w:tabs>
      <w:spacing w:before="120" w:after="60"/>
    </w:pPr>
    <w:rPr>
      <w:i/>
      <w:color w:val="918585"/>
      <w:sz w:val="22"/>
    </w:rPr>
  </w:style>
  <w:style w:type="paragraph" w:customStyle="1" w:styleId="TableBodyText">
    <w:name w:val="Table Body Text"/>
    <w:basedOn w:val="BodyText"/>
    <w:rsid w:val="0089518F"/>
    <w:pPr>
      <w:spacing w:before="60" w:after="60"/>
    </w:pPr>
  </w:style>
  <w:style w:type="paragraph" w:styleId="ListContinue">
    <w:name w:val="List Continue"/>
    <w:basedOn w:val="List"/>
    <w:rsid w:val="0089518F"/>
    <w:pPr>
      <w:ind w:firstLine="0"/>
    </w:pPr>
  </w:style>
  <w:style w:type="paragraph" w:customStyle="1" w:styleId="ListNote">
    <w:name w:val="List Note"/>
    <w:basedOn w:val="List"/>
    <w:rsid w:val="0089518F"/>
    <w:pPr>
      <w:pBdr>
        <w:top w:val="single" w:sz="6" w:space="2" w:color="918585"/>
        <w:bottom w:val="single" w:sz="6" w:space="2" w:color="918585"/>
      </w:pBdr>
      <w:tabs>
        <w:tab w:val="left" w:pos="1021"/>
      </w:tabs>
      <w:ind w:firstLine="0"/>
    </w:pPr>
  </w:style>
  <w:style w:type="paragraph" w:customStyle="1" w:styleId="Warning">
    <w:name w:val="Warning"/>
    <w:basedOn w:val="BodyText"/>
    <w:rsid w:val="0089518F"/>
    <w:pPr>
      <w:shd w:val="clear" w:color="auto" w:fill="D9D9D9"/>
      <w:tabs>
        <w:tab w:val="left" w:pos="992"/>
      </w:tabs>
      <w:ind w:left="119" w:right="119"/>
    </w:pPr>
    <w:rPr>
      <w:sz w:val="20"/>
    </w:rPr>
  </w:style>
  <w:style w:type="paragraph" w:customStyle="1" w:styleId="MarginIcons">
    <w:name w:val="Margin Icons"/>
    <w:basedOn w:val="BodyText"/>
    <w:rsid w:val="00895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18F"/>
    <w:rPr>
      <w:rFonts w:ascii="Courier New" w:hAnsi="Courier New"/>
    </w:rPr>
  </w:style>
  <w:style w:type="paragraph" w:customStyle="1" w:styleId="NoteBullet">
    <w:name w:val="Note Bullet"/>
    <w:basedOn w:val="Note"/>
    <w:rsid w:val="0089518F"/>
    <w:pPr>
      <w:tabs>
        <w:tab w:val="clear" w:pos="680"/>
      </w:tabs>
      <w:spacing w:before="60" w:after="60"/>
    </w:pPr>
  </w:style>
  <w:style w:type="paragraph" w:customStyle="1" w:styleId="SubHeading2">
    <w:name w:val="SubHeading2"/>
    <w:basedOn w:val="HeadingBase"/>
    <w:rsid w:val="0089518F"/>
    <w:pPr>
      <w:spacing w:before="240" w:after="60"/>
    </w:pPr>
    <w:rPr>
      <w:sz w:val="20"/>
    </w:rPr>
  </w:style>
  <w:style w:type="paragraph" w:customStyle="1" w:styleId="SubHeading1">
    <w:name w:val="SubHeading1"/>
    <w:basedOn w:val="HeadingBase"/>
    <w:rsid w:val="0089518F"/>
    <w:pPr>
      <w:spacing w:before="240" w:after="60"/>
    </w:pPr>
    <w:rPr>
      <w:color w:val="918585"/>
      <w:sz w:val="22"/>
    </w:rPr>
  </w:style>
  <w:style w:type="paragraph" w:customStyle="1" w:styleId="SideHeading">
    <w:name w:val="Side Heading"/>
    <w:basedOn w:val="HeadingBase"/>
    <w:rsid w:val="00895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18F"/>
    <w:pPr>
      <w:numPr>
        <w:numId w:val="13"/>
      </w:numPr>
    </w:pPr>
  </w:style>
  <w:style w:type="paragraph" w:styleId="PlainText">
    <w:name w:val="Plain Text"/>
    <w:basedOn w:val="Normal"/>
    <w:link w:val="PlainTextChar"/>
    <w:rsid w:val="0089518F"/>
    <w:rPr>
      <w:sz w:val="20"/>
    </w:rPr>
  </w:style>
  <w:style w:type="character" w:customStyle="1" w:styleId="PlainTextChar">
    <w:name w:val="Plain Text Char"/>
    <w:basedOn w:val="DefaultParagraphFont"/>
    <w:link w:val="PlainText"/>
    <w:rsid w:val="008951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18F"/>
    <w:rPr>
      <w:b/>
      <w:smallCaps/>
    </w:rPr>
  </w:style>
  <w:style w:type="paragraph" w:customStyle="1" w:styleId="TableListNumber">
    <w:name w:val="Table List Number"/>
    <w:basedOn w:val="ListNumber"/>
    <w:rsid w:val="0089518F"/>
    <w:pPr>
      <w:numPr>
        <w:numId w:val="0"/>
      </w:numPr>
    </w:pPr>
  </w:style>
  <w:style w:type="paragraph" w:styleId="TOC4">
    <w:name w:val="toc 4"/>
    <w:basedOn w:val="TOCBase"/>
    <w:next w:val="Normal"/>
    <w:semiHidden/>
    <w:rsid w:val="0089518F"/>
    <w:pPr>
      <w:tabs>
        <w:tab w:val="right" w:leader="dot" w:pos="9071"/>
      </w:tabs>
      <w:ind w:left="1701"/>
    </w:pPr>
  </w:style>
  <w:style w:type="paragraph" w:customStyle="1" w:styleId="ListAlpha">
    <w:name w:val="List Alpha"/>
    <w:basedOn w:val="List"/>
    <w:rsid w:val="0089518F"/>
    <w:pPr>
      <w:numPr>
        <w:numId w:val="10"/>
      </w:numPr>
    </w:pPr>
  </w:style>
  <w:style w:type="paragraph" w:customStyle="1" w:styleId="ListAlpha2">
    <w:name w:val="List Alpha 2"/>
    <w:basedOn w:val="List2"/>
    <w:rsid w:val="0089518F"/>
    <w:pPr>
      <w:numPr>
        <w:numId w:val="9"/>
      </w:numPr>
    </w:pPr>
  </w:style>
  <w:style w:type="paragraph" w:styleId="List2">
    <w:name w:val="List 2"/>
    <w:basedOn w:val="BodyText"/>
    <w:rsid w:val="0089518F"/>
    <w:pPr>
      <w:tabs>
        <w:tab w:val="left" w:pos="680"/>
      </w:tabs>
      <w:spacing w:before="60" w:after="60"/>
      <w:ind w:left="680" w:hanging="340"/>
    </w:pPr>
  </w:style>
  <w:style w:type="paragraph" w:styleId="List3">
    <w:name w:val="List 3"/>
    <w:basedOn w:val="BodyText"/>
    <w:rsid w:val="0089518F"/>
    <w:pPr>
      <w:tabs>
        <w:tab w:val="left" w:pos="1021"/>
      </w:tabs>
      <w:spacing w:before="60" w:after="60"/>
      <w:ind w:left="1020" w:hanging="340"/>
    </w:pPr>
  </w:style>
  <w:style w:type="paragraph" w:styleId="List4">
    <w:name w:val="List 4"/>
    <w:basedOn w:val="BodyText"/>
    <w:rsid w:val="0089518F"/>
    <w:pPr>
      <w:tabs>
        <w:tab w:val="left" w:pos="1361"/>
      </w:tabs>
      <w:spacing w:before="60" w:after="60"/>
      <w:ind w:left="1361" w:hanging="340"/>
    </w:pPr>
  </w:style>
  <w:style w:type="paragraph" w:styleId="List5">
    <w:name w:val="List 5"/>
    <w:basedOn w:val="BodyText"/>
    <w:rsid w:val="0089518F"/>
    <w:pPr>
      <w:tabs>
        <w:tab w:val="left" w:pos="1701"/>
      </w:tabs>
      <w:spacing w:before="60" w:after="60"/>
      <w:ind w:left="1701" w:hanging="340"/>
    </w:pPr>
  </w:style>
  <w:style w:type="paragraph" w:styleId="ListBullet4">
    <w:name w:val="List Bullet 4"/>
    <w:basedOn w:val="List4"/>
    <w:rsid w:val="0089518F"/>
    <w:pPr>
      <w:numPr>
        <w:numId w:val="4"/>
      </w:numPr>
    </w:pPr>
  </w:style>
  <w:style w:type="paragraph" w:styleId="ListBullet5">
    <w:name w:val="List Bullet 5"/>
    <w:basedOn w:val="List5"/>
    <w:rsid w:val="0089518F"/>
    <w:pPr>
      <w:numPr>
        <w:numId w:val="5"/>
      </w:numPr>
    </w:pPr>
  </w:style>
  <w:style w:type="paragraph" w:styleId="ListContinue2">
    <w:name w:val="List Continue 2"/>
    <w:basedOn w:val="List2"/>
    <w:rsid w:val="0089518F"/>
    <w:pPr>
      <w:ind w:firstLine="0"/>
    </w:pPr>
  </w:style>
  <w:style w:type="paragraph" w:styleId="ListContinue3">
    <w:name w:val="List Continue 3"/>
    <w:basedOn w:val="List3"/>
    <w:rsid w:val="0089518F"/>
    <w:pPr>
      <w:ind w:left="1021" w:firstLine="0"/>
    </w:pPr>
  </w:style>
  <w:style w:type="paragraph" w:styleId="ListContinue4">
    <w:name w:val="List Continue 4"/>
    <w:basedOn w:val="List4"/>
    <w:rsid w:val="0089518F"/>
    <w:pPr>
      <w:ind w:firstLine="0"/>
    </w:pPr>
  </w:style>
  <w:style w:type="paragraph" w:styleId="ListContinue5">
    <w:name w:val="List Continue 5"/>
    <w:basedOn w:val="List5"/>
    <w:rsid w:val="0089518F"/>
    <w:pPr>
      <w:ind w:firstLine="0"/>
    </w:pPr>
  </w:style>
  <w:style w:type="paragraph" w:styleId="ListNumber3">
    <w:name w:val="List Number 3"/>
    <w:basedOn w:val="List3"/>
    <w:rsid w:val="0089518F"/>
    <w:pPr>
      <w:numPr>
        <w:numId w:val="6"/>
      </w:numPr>
    </w:pPr>
  </w:style>
  <w:style w:type="paragraph" w:styleId="ListNumber4">
    <w:name w:val="List Number 4"/>
    <w:basedOn w:val="List4"/>
    <w:rsid w:val="0089518F"/>
    <w:pPr>
      <w:numPr>
        <w:numId w:val="7"/>
      </w:numPr>
    </w:pPr>
  </w:style>
  <w:style w:type="paragraph" w:styleId="ListNumber5">
    <w:name w:val="List Number 5"/>
    <w:basedOn w:val="List5"/>
    <w:rsid w:val="0089518F"/>
    <w:pPr>
      <w:numPr>
        <w:numId w:val="8"/>
      </w:numPr>
    </w:pPr>
  </w:style>
  <w:style w:type="paragraph" w:styleId="BlockText">
    <w:name w:val="Block Text"/>
    <w:basedOn w:val="Normal"/>
    <w:rsid w:val="0089518F"/>
    <w:pPr>
      <w:spacing w:after="120"/>
      <w:ind w:left="1440" w:right="1440"/>
    </w:pPr>
  </w:style>
  <w:style w:type="character" w:customStyle="1" w:styleId="Subscript">
    <w:name w:val="Subscript"/>
    <w:basedOn w:val="DefaultParagraphFont"/>
    <w:rsid w:val="0089518F"/>
    <w:rPr>
      <w:sz w:val="16"/>
      <w:vertAlign w:val="subscript"/>
    </w:rPr>
  </w:style>
  <w:style w:type="character" w:customStyle="1" w:styleId="Superscript">
    <w:name w:val="Superscript"/>
    <w:basedOn w:val="DefaultParagraphFont"/>
    <w:rsid w:val="0089518F"/>
    <w:rPr>
      <w:sz w:val="16"/>
      <w:vertAlign w:val="superscript"/>
    </w:rPr>
  </w:style>
  <w:style w:type="character" w:customStyle="1" w:styleId="MenuOptions">
    <w:name w:val="Menu Options"/>
    <w:basedOn w:val="DefaultParagraphFont"/>
    <w:rsid w:val="0089518F"/>
    <w:rPr>
      <w:rFonts w:ascii="Arial Narrow" w:hAnsi="Arial Narrow"/>
      <w:smallCaps/>
    </w:rPr>
  </w:style>
  <w:style w:type="character" w:customStyle="1" w:styleId="Buttons">
    <w:name w:val="Buttons"/>
    <w:basedOn w:val="DefaultParagraphFont"/>
    <w:rsid w:val="0089518F"/>
    <w:rPr>
      <w:b/>
    </w:rPr>
  </w:style>
  <w:style w:type="character" w:customStyle="1" w:styleId="Underlined">
    <w:name w:val="Underlined"/>
    <w:basedOn w:val="DefaultParagraphFont"/>
    <w:rsid w:val="0089518F"/>
    <w:rPr>
      <w:u w:val="single"/>
    </w:rPr>
  </w:style>
  <w:style w:type="paragraph" w:customStyle="1" w:styleId="TableBodyTextRight">
    <w:name w:val="Table Body Text Right"/>
    <w:basedOn w:val="TableBodyText"/>
    <w:rsid w:val="0089518F"/>
    <w:pPr>
      <w:widowControl w:val="0"/>
      <w:autoSpaceDE w:val="0"/>
      <w:autoSpaceDN w:val="0"/>
      <w:adjustRightInd w:val="0"/>
      <w:jc w:val="right"/>
    </w:pPr>
    <w:rPr>
      <w:rFonts w:cs="Arial"/>
      <w:szCs w:val="18"/>
    </w:rPr>
  </w:style>
  <w:style w:type="paragraph" w:customStyle="1" w:styleId="CopyrightText">
    <w:name w:val="Copyright Text"/>
    <w:basedOn w:val="BodyText"/>
    <w:rsid w:val="0089518F"/>
    <w:rPr>
      <w:sz w:val="18"/>
    </w:rPr>
  </w:style>
  <w:style w:type="paragraph" w:customStyle="1" w:styleId="BodySmallRight">
    <w:name w:val="Body Small Right"/>
    <w:basedOn w:val="BodyTextRight"/>
    <w:rsid w:val="0089518F"/>
    <w:rPr>
      <w:sz w:val="18"/>
      <w:szCs w:val="18"/>
    </w:rPr>
  </w:style>
  <w:style w:type="paragraph" w:customStyle="1" w:styleId="MarginEdition">
    <w:name w:val="Margin Edition"/>
    <w:basedOn w:val="MarginNote"/>
    <w:rsid w:val="0089518F"/>
    <w:pPr>
      <w:spacing w:before="0" w:after="0"/>
    </w:pPr>
    <w:rPr>
      <w:rFonts w:ascii="Times New Roman" w:hAnsi="Times New Roman"/>
      <w:color w:val="999999"/>
    </w:rPr>
  </w:style>
  <w:style w:type="paragraph" w:customStyle="1" w:styleId="Spacer">
    <w:name w:val="Spacer"/>
    <w:basedOn w:val="Normal"/>
    <w:rsid w:val="0089518F"/>
    <w:rPr>
      <w:sz w:val="2"/>
      <w:szCs w:val="2"/>
    </w:rPr>
  </w:style>
  <w:style w:type="character" w:customStyle="1" w:styleId="Small">
    <w:name w:val="Small"/>
    <w:basedOn w:val="DefaultParagraphFont"/>
    <w:rsid w:val="0089518F"/>
    <w:rPr>
      <w:sz w:val="16"/>
    </w:rPr>
  </w:style>
  <w:style w:type="paragraph" w:customStyle="1" w:styleId="WideTable">
    <w:name w:val="Wide Table"/>
    <w:basedOn w:val="Normal"/>
    <w:rsid w:val="0089518F"/>
    <w:pPr>
      <w:ind w:left="-1418"/>
    </w:pPr>
    <w:rPr>
      <w:sz w:val="2"/>
      <w:szCs w:val="2"/>
    </w:rPr>
  </w:style>
  <w:style w:type="character" w:styleId="PageNumber">
    <w:name w:val="page number"/>
    <w:basedOn w:val="DefaultParagraphFont"/>
    <w:rsid w:val="0089518F"/>
  </w:style>
  <w:style w:type="paragraph" w:styleId="Quote">
    <w:name w:val="Quote"/>
    <w:basedOn w:val="Heading1"/>
    <w:link w:val="QuoteChar"/>
    <w:qFormat/>
    <w:rsid w:val="0089518F"/>
    <w:rPr>
      <w:b w:val="0"/>
      <w:sz w:val="72"/>
      <w:szCs w:val="72"/>
      <w:lang w:val="en-NZ"/>
    </w:rPr>
  </w:style>
  <w:style w:type="character" w:customStyle="1" w:styleId="QuoteChar">
    <w:name w:val="Quote Char"/>
    <w:basedOn w:val="DefaultParagraphFont"/>
    <w:link w:val="Quote"/>
    <w:rsid w:val="00895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18F"/>
    <w:pPr>
      <w:pageBreakBefore/>
    </w:pPr>
  </w:style>
  <w:style w:type="paragraph" w:customStyle="1" w:styleId="Border">
    <w:name w:val="Border"/>
    <w:basedOn w:val="Normal"/>
    <w:qFormat/>
    <w:rsid w:val="00895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18F"/>
    <w:rPr>
      <w:b/>
      <w:bCs/>
      <w:i/>
      <w:iCs/>
      <w:color w:val="auto"/>
    </w:rPr>
  </w:style>
  <w:style w:type="paragraph" w:styleId="IntenseQuote">
    <w:name w:val="Intense Quote"/>
    <w:basedOn w:val="Normal"/>
    <w:next w:val="Normal"/>
    <w:link w:val="IntenseQuoteChar"/>
    <w:uiPriority w:val="30"/>
    <w:qFormat/>
    <w:rsid w:val="00895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1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18F"/>
    <w:rPr>
      <w:smallCaps/>
      <w:color w:val="auto"/>
      <w:u w:val="single"/>
    </w:rPr>
  </w:style>
  <w:style w:type="character" w:styleId="IntenseReference">
    <w:name w:val="Intense Reference"/>
    <w:basedOn w:val="DefaultParagraphFont"/>
    <w:uiPriority w:val="32"/>
    <w:qFormat/>
    <w:rsid w:val="0089518F"/>
    <w:rPr>
      <w:b/>
      <w:bCs/>
      <w:smallCaps/>
      <w:color w:val="auto"/>
      <w:spacing w:val="5"/>
      <w:u w:val="single"/>
    </w:rPr>
  </w:style>
  <w:style w:type="paragraph" w:customStyle="1" w:styleId="2ColumnHeading">
    <w:name w:val="2Column Heading"/>
    <w:basedOn w:val="BodyText"/>
    <w:qFormat/>
    <w:rsid w:val="0089518F"/>
    <w:pPr>
      <w:spacing w:after="60"/>
      <w:ind w:left="-2268"/>
    </w:pPr>
    <w:rPr>
      <w:b/>
    </w:rPr>
  </w:style>
  <w:style w:type="paragraph" w:customStyle="1" w:styleId="Heading1TOC">
    <w:name w:val="Heading1 TOC"/>
    <w:basedOn w:val="Normal"/>
    <w:qFormat/>
    <w:rsid w:val="0089518F"/>
    <w:pPr>
      <w:spacing w:before="240" w:after="120"/>
    </w:pPr>
    <w:rPr>
      <w:rFonts w:ascii="Times New Roman" w:hAnsi="Times New Roman"/>
      <w:b/>
      <w:sz w:val="32"/>
    </w:rPr>
  </w:style>
  <w:style w:type="paragraph" w:customStyle="1" w:styleId="Heading2TOC">
    <w:name w:val="Heading2 TOC"/>
    <w:basedOn w:val="Normal"/>
    <w:qFormat/>
    <w:rsid w:val="0089518F"/>
    <w:pPr>
      <w:spacing w:before="240" w:after="60"/>
    </w:pPr>
    <w:rPr>
      <w:rFonts w:ascii="Times New Roman" w:hAnsi="Times New Roman"/>
      <w:b/>
      <w:sz w:val="28"/>
    </w:rPr>
  </w:style>
  <w:style w:type="character" w:customStyle="1" w:styleId="Underline">
    <w:name w:val="Underline"/>
    <w:basedOn w:val="DefaultParagraphFont"/>
    <w:qFormat/>
    <w:rsid w:val="0089518F"/>
    <w:rPr>
      <w:u w:val="single"/>
    </w:rPr>
  </w:style>
  <w:style w:type="character" w:customStyle="1" w:styleId="BoldandItalics">
    <w:name w:val="Bold and Italics"/>
    <w:qFormat/>
    <w:rsid w:val="0089518F"/>
    <w:rPr>
      <w:b/>
      <w:i/>
      <w:u w:val="none"/>
    </w:rPr>
  </w:style>
  <w:style w:type="paragraph" w:styleId="BalloonText">
    <w:name w:val="Balloon Text"/>
    <w:basedOn w:val="Normal"/>
    <w:link w:val="BalloonTextChar"/>
    <w:rsid w:val="0089518F"/>
    <w:rPr>
      <w:rFonts w:ascii="Tahoma" w:hAnsi="Tahoma" w:cs="Tahoma"/>
      <w:sz w:val="16"/>
      <w:szCs w:val="16"/>
    </w:rPr>
  </w:style>
  <w:style w:type="character" w:customStyle="1" w:styleId="BalloonTextChar">
    <w:name w:val="Balloon Text Char"/>
    <w:basedOn w:val="DefaultParagraphFont"/>
    <w:link w:val="BalloonText"/>
    <w:rsid w:val="00895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1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2206</Words>
  <Characters>13786</Characters>
  <Application>Microsoft Office Word</Application>
  <DocSecurity>0</DocSecurity>
  <Lines>464</Lines>
  <Paragraphs>236</Paragraphs>
  <ScaleCrop>false</ScaleCrop>
  <Company>Author-it Software Corporation Ltd.</Company>
  <LinksUpToDate>false</LinksUpToDate>
  <CharactersWithSpaces>15867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UEENEEE150A Undertake computations in an energy sector environment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2012-05-26T10:56:00Z</dcterms:created>
  <dcterms:modified xsi:type="dcterms:W3CDTF">2012-05-26T10:56:00Z</dcterms:modified>
</cp:coreProperties>
</file>