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240" w:rsidP="00D76240">
      <w:pPr>
        <w:pStyle w:val="Title"/>
      </w:pPr>
      <w:bookmarkStart w:id="0" w:name="_GoBack"/>
      <w:bookmarkEnd w:id="0"/>
      <w:r>
        <w:fldChar w:fldCharType="begin"/>
      </w:r>
      <w:r>
        <w:instrText xml:space="preserve"> TITLE   \* MERGEFORMAT </w:instrText>
      </w:r>
      <w:r>
        <w:fldChar w:fldCharType="separate"/>
      </w:r>
      <w:r>
        <w:t>UEENEEE149A Contribute to the operation of support plant and equipment used in electricity supply industry</w:t>
      </w:r>
      <w:r>
        <w:fldChar w:fldCharType="end"/>
      </w:r>
    </w:p>
    <w:p w:rsidR="00D76240" w:rsidP="00D76240">
      <w:pPr>
        <w:pStyle w:val="Version"/>
        <w:sectPr w:rsidSect="00AF07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7FA" w:rsidP="00AF07FA">
      <w:pPr>
        <w:pStyle w:val="SuperHeading"/>
      </w:pPr>
      <w:r w:rsidRPr="00AF07FA">
        <w:t>UEENEEE149A Contribute to the operation of support plant and equipment used in electricity supply industry</w:t>
      </w:r>
    </w:p>
    <w:p w:rsidR="00000000" w:rsidRPr="00AF07FA" w:rsidP="00AF07FA">
      <w:pPr>
        <w:pStyle w:val="Heading1"/>
      </w:pPr>
      <w:bookmarkStart w:id="1" w:name="O_418010"/>
      <w:bookmarkEnd w:id="1"/>
      <w:r w:rsidRPr="00AF07FA">
        <w:t>Modification History</w:t>
      </w:r>
    </w:p>
    <w:p w:rsidR="00000000" w:rsidRPr="00AF07FA" w:rsidP="00AF07FA">
      <w:pPr>
        <w:pStyle w:val="BodyText"/>
      </w:pPr>
      <w:r w:rsidRPr="00AF07FA">
        <w:t>Not applicable.</w:t>
      </w:r>
    </w:p>
    <w:p w:rsidR="00000000" w:rsidRPr="00AF07FA" w:rsidP="00AF07FA">
      <w:pPr>
        <w:pStyle w:val="AllowPageBreak"/>
      </w:pPr>
    </w:p>
    <w:p w:rsidR="00000000" w:rsidRPr="00AF07FA" w:rsidP="00AF07FA">
      <w:pPr>
        <w:pStyle w:val="Heading1"/>
      </w:pPr>
      <w:bookmarkStart w:id="2" w:name="O_418008"/>
      <w:bookmarkEnd w:id="2"/>
      <w:r w:rsidRPr="00AF07FA">
        <w:t>Unit Descriptor</w:t>
      </w:r>
    </w:p>
    <w:tbl>
      <w:tblPr>
        <w:tblW w:w="0" w:type="auto"/>
        <w:tblLayout w:type="fixed"/>
        <w:tblCellMar>
          <w:left w:w="62" w:type="dxa"/>
          <w:right w:w="62" w:type="dxa"/>
        </w:tblCellMar>
        <w:tblLook w:val="0000"/>
      </w:tblPr>
      <w:tblGrid>
        <w:gridCol w:w="2700"/>
        <w:gridCol w:w="5760"/>
      </w:tblGrid>
      <w:tr w:rsidTr="00D762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1)</w:t>
            </w:r>
            <w:r w:rsidRPr="00AF07FA">
              <w:t xml:space="preserve"> </w:t>
            </w:r>
            <w:r w:rsidRPr="00AF07FA">
              <w:rPr>
                <w:rStyle w:val="SpecialBold"/>
              </w:rPr>
              <w:t>Scope:</w:t>
            </w:r>
          </w:p>
        </w:tc>
      </w:tr>
      <w:tr w:rsidTr="00D762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07F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1.1) Descriptor</w:t>
            </w:r>
          </w:p>
        </w:tc>
      </w:tr>
      <w:tr w:rsidTr="00D762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 xml:space="preserve">This unit covers contributing to the operation of support plant and equipment used in the Electricity Supply Industry for scheduled work, in </w:t>
            </w:r>
            <w:r w:rsidRPr="00AF07FA">
              <w:t>an agreed time, to a quality standard and with a minimum of waste. It encompasses working safely, applying knowledge of contributing to the operation of support plant and equipment used in electricity supply.</w:t>
            </w:r>
          </w:p>
        </w:tc>
      </w:tr>
    </w:tbl>
    <w:p w:rsidR="00000000" w:rsidRPr="00AF07FA" w:rsidP="00AF07FA">
      <w:pPr>
        <w:pStyle w:val="BodyText"/>
      </w:pPr>
    </w:p>
    <w:p w:rsidR="00000000" w:rsidRPr="00AF07FA" w:rsidP="00AF07FA">
      <w:pPr>
        <w:pStyle w:val="AllowPageBreak"/>
      </w:pPr>
    </w:p>
    <w:p w:rsidR="00000000" w:rsidRPr="00AF07FA" w:rsidP="00AF07FA">
      <w:pPr>
        <w:pStyle w:val="Heading1"/>
      </w:pPr>
      <w:bookmarkStart w:id="3" w:name="O_417997"/>
      <w:bookmarkEnd w:id="3"/>
      <w:r w:rsidRPr="00AF07FA">
        <w:t>Application of the Unit</w:t>
      </w:r>
    </w:p>
    <w:tbl>
      <w:tblPr>
        <w:tblW w:w="0" w:type="auto"/>
        <w:tblLayout w:type="fixed"/>
        <w:tblCellMar>
          <w:left w:w="62" w:type="dxa"/>
          <w:right w:w="62" w:type="dxa"/>
        </w:tblCellMar>
        <w:tblLook w:val="0000"/>
      </w:tblPr>
      <w:tblGrid>
        <w:gridCol w:w="2672"/>
        <w:gridCol w:w="5699"/>
      </w:tblGrid>
      <w:tr w:rsidTr="00D7624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Appl</w:t>
            </w:r>
            <w:r w:rsidRPr="00AF07FA">
              <w:rPr>
                <w:rStyle w:val="SpecialBold"/>
              </w:rPr>
              <w:t>ication of the Unit</w:t>
            </w:r>
          </w:p>
        </w:tc>
        <w:tc>
          <w:tcPr>
            <w:tcW w:w="5699"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2)</w:t>
            </w:r>
          </w:p>
        </w:tc>
      </w:tr>
      <w:tr w:rsidTr="00D7624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This unit shall apply to persons entering work in energy sector and may be used in school-based vocational programs.</w:t>
            </w:r>
          </w:p>
        </w:tc>
      </w:tr>
    </w:tbl>
    <w:p w:rsidR="00000000" w:rsidRPr="00AF07FA" w:rsidP="00AF07FA">
      <w:pPr>
        <w:pStyle w:val="BodyText"/>
      </w:pPr>
    </w:p>
    <w:p w:rsidR="00000000" w:rsidRPr="00AF07FA" w:rsidP="00AF07FA">
      <w:pPr>
        <w:pStyle w:val="AllowPageBreak"/>
      </w:pPr>
    </w:p>
    <w:p w:rsidR="00000000" w:rsidRPr="00AF07FA" w:rsidP="00AF07FA">
      <w:pPr>
        <w:pStyle w:val="Heading1"/>
      </w:pPr>
      <w:bookmarkStart w:id="4" w:name="O_418004"/>
      <w:bookmarkEnd w:id="4"/>
      <w:r w:rsidRPr="00AF07FA">
        <w:t>Licensing/Regulatory Information</w:t>
      </w:r>
    </w:p>
    <w:tbl>
      <w:tblPr>
        <w:tblW w:w="0" w:type="auto"/>
        <w:tblLayout w:type="fixed"/>
        <w:tblCellMar>
          <w:left w:w="62" w:type="dxa"/>
          <w:right w:w="62" w:type="dxa"/>
        </w:tblCellMar>
        <w:tblLook w:val="0000"/>
      </w:tblPr>
      <w:tblGrid>
        <w:gridCol w:w="2700"/>
        <w:gridCol w:w="5760"/>
      </w:tblGrid>
      <w:tr w:rsidTr="00D762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 xml:space="preserve">3) </w:t>
            </w:r>
          </w:p>
        </w:tc>
      </w:tr>
      <w:tr w:rsidTr="00D762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The skills and knowledge desc</w:t>
            </w:r>
            <w:r w:rsidRPr="00AF07FA">
              <w:t>ribed in this unit do not require a license to practice in the workplace. However practice in this unit is subject to regulations directly related to occupational health and safe and contracts of training such as new apprenticeships.</w:t>
            </w:r>
          </w:p>
          <w:p w:rsidR="00000000" w:rsidRPr="00AF07FA" w:rsidP="00AF07FA">
            <w:pPr>
              <w:pStyle w:val="BodyText"/>
            </w:pPr>
            <w:r w:rsidRPr="00AF07FA">
              <w:t xml:space="preserve">Note: </w:t>
            </w:r>
          </w:p>
          <w:p w:rsidR="00000000" w:rsidRPr="00AF07FA" w:rsidP="00AF07FA">
            <w:pPr>
              <w:pStyle w:val="BodyText"/>
            </w:pPr>
            <w:r w:rsidRPr="00AF07FA">
              <w:t>1. Compliance w</w:t>
            </w:r>
            <w:r w:rsidRPr="00AF07FA">
              <w:t xml:space="preserve">ith permits may be required in various </w:t>
            </w:r>
            <w:r w:rsidRPr="00AF07FA">
              <w:t>jurisdictions and typically relates to the operation of plant, machinery and equipment such as elevating work platforms, powder operated fixing tools, and power operated tools, vehicles, road signage and traffic contr</w:t>
            </w:r>
            <w:r w:rsidRPr="00AF07FA">
              <w:t>ol, lifting equipment. Permits may also be required for some work environments such as confined spaces, working aloft, near live electrical apparatus and site rehabilitation.</w:t>
            </w:r>
          </w:p>
          <w:p w:rsidR="00000000" w:rsidRPr="00AF07FA" w:rsidP="00AF07FA">
            <w:pPr>
              <w:pStyle w:val="BodyText"/>
            </w:pPr>
            <w:r w:rsidRPr="00AF07FA">
              <w:t>2. Compliance may be required in various jurisdictions relating to currency in Fi</w:t>
            </w:r>
            <w:r w:rsidRPr="00AF07FA">
              <w:t>rst Aid, confined space, lifting and risk safety measures.</w:t>
            </w:r>
          </w:p>
        </w:tc>
      </w:tr>
    </w:tbl>
    <w:p w:rsidR="00000000" w:rsidRPr="00AF07FA" w:rsidP="00AF07FA">
      <w:pPr>
        <w:pStyle w:val="BodyText"/>
      </w:pPr>
    </w:p>
    <w:p w:rsidR="00000000" w:rsidRPr="00AF07FA" w:rsidP="00AF07FA">
      <w:pPr>
        <w:pStyle w:val="AllowPageBreak"/>
      </w:pPr>
    </w:p>
    <w:p w:rsidR="00000000" w:rsidRPr="00AF07FA" w:rsidP="00AF07FA">
      <w:pPr>
        <w:pStyle w:val="Heading1"/>
      </w:pPr>
      <w:bookmarkStart w:id="5" w:name="O_418005"/>
      <w:bookmarkEnd w:id="5"/>
      <w:r w:rsidRPr="00AF07FA">
        <w:t>Pre-Requisites</w:t>
      </w:r>
    </w:p>
    <w:tbl>
      <w:tblPr>
        <w:tblW w:w="0" w:type="auto"/>
        <w:tblLayout w:type="fixed"/>
        <w:tblCellMar>
          <w:left w:w="62" w:type="dxa"/>
          <w:right w:w="62" w:type="dxa"/>
        </w:tblCellMar>
        <w:tblLook w:val="0000"/>
      </w:tblPr>
      <w:tblGrid>
        <w:gridCol w:w="2700"/>
        <w:gridCol w:w="1440"/>
        <w:gridCol w:w="4320"/>
      </w:tblGrid>
      <w:tr w:rsidTr="00D762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 xml:space="preserve">4) </w:t>
            </w:r>
          </w:p>
        </w:tc>
      </w:tr>
      <w:tr w:rsidTr="00D762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4.1)</w:t>
            </w:r>
          </w:p>
        </w:tc>
      </w:tr>
      <w:tr w:rsidTr="00D762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Granting competency in this unit shall be made only after competency in the following unit(s) has/have been confirmed.</w:t>
            </w:r>
          </w:p>
        </w:tc>
      </w:tr>
      <w:tr w:rsidTr="00D7624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UEENEEE101A</w:t>
            </w:r>
          </w:p>
        </w:tc>
        <w:tc>
          <w:tcPr>
            <w:tcW w:w="432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Apply Occupational Health and Safety regulations, codes and practices in the workplace</w:t>
            </w:r>
          </w:p>
        </w:tc>
      </w:tr>
    </w:tbl>
    <w:p w:rsidR="00000000" w:rsidRPr="00AF07FA" w:rsidP="00AF07F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7624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4.2)</w:t>
            </w:r>
            <w:r w:rsidRPr="00AF07FA">
              <w:rPr>
                <w:rStyle w:val="SpecialBold"/>
              </w:rPr>
              <w:t xml:space="preserve"> </w:t>
            </w:r>
          </w:p>
        </w:tc>
      </w:tr>
      <w:tr w:rsidTr="00D762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Participants are best equipped to achieve competency in this unit if they have reading, writing and numeracy skills indicated by the following scales. Description of each scale is given in Volume 2, Part 3 ‘Literacy and Numeracy’</w:t>
            </w:r>
          </w:p>
        </w:tc>
      </w:tr>
      <w:tr w:rsidTr="00D762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Reading</w:t>
            </w:r>
          </w:p>
        </w:tc>
        <w:tc>
          <w:tcPr>
            <w:tcW w:w="81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3</w:t>
            </w:r>
          </w:p>
        </w:tc>
        <w:tc>
          <w:tcPr>
            <w:tcW w:w="99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Writing</w:t>
            </w: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3</w:t>
            </w:r>
          </w:p>
        </w:tc>
        <w:tc>
          <w:tcPr>
            <w:tcW w:w="12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Numeracy</w:t>
            </w:r>
          </w:p>
        </w:tc>
        <w:tc>
          <w:tcPr>
            <w:tcW w:w="72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3</w:t>
            </w:r>
          </w:p>
        </w:tc>
      </w:tr>
    </w:tbl>
    <w:p w:rsidR="00000000" w:rsidRPr="00AF07FA" w:rsidP="00AF07FA">
      <w:pPr>
        <w:pStyle w:val="BodyText"/>
      </w:pPr>
    </w:p>
    <w:p w:rsidR="00000000" w:rsidRPr="00AF07FA" w:rsidP="00AF07FA">
      <w:pPr>
        <w:pStyle w:val="AllowPageBreak"/>
      </w:pPr>
    </w:p>
    <w:p w:rsidR="00000000" w:rsidRPr="00AF07FA" w:rsidP="00AF07FA">
      <w:pPr>
        <w:pStyle w:val="Heading1"/>
      </w:pPr>
      <w:bookmarkStart w:id="6" w:name="O_418001"/>
      <w:bookmarkEnd w:id="6"/>
      <w:r w:rsidRPr="00AF07FA">
        <w:t>Employability Skills Information</w:t>
      </w:r>
    </w:p>
    <w:tbl>
      <w:tblPr>
        <w:tblW w:w="0" w:type="auto"/>
        <w:tblLayout w:type="fixed"/>
        <w:tblCellMar>
          <w:left w:w="62" w:type="dxa"/>
          <w:right w:w="62" w:type="dxa"/>
        </w:tblCellMar>
        <w:tblLook w:val="0000"/>
      </w:tblPr>
      <w:tblGrid>
        <w:gridCol w:w="2700"/>
        <w:gridCol w:w="5760"/>
      </w:tblGrid>
      <w:tr w:rsidTr="00D762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 xml:space="preserve">5) </w:t>
            </w:r>
          </w:p>
        </w:tc>
      </w:tr>
      <w:tr w:rsidTr="00D762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This unit contains Employability Skills</w:t>
            </w:r>
          </w:p>
          <w:p w:rsidR="00000000" w:rsidRPr="00AF07FA" w:rsidP="00AF07FA">
            <w:pPr>
              <w:pStyle w:val="BodyText"/>
            </w:pPr>
            <w:r w:rsidRPr="00AF07F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F07FA">
              <w:t>requirements.</w:t>
            </w:r>
          </w:p>
        </w:tc>
      </w:tr>
    </w:tbl>
    <w:p w:rsidR="00000000" w:rsidRPr="00AF07FA" w:rsidP="00AF07FA">
      <w:pPr>
        <w:pStyle w:val="BodyText"/>
      </w:pPr>
    </w:p>
    <w:p w:rsidR="00000000" w:rsidRPr="00AF07FA" w:rsidP="00AF07FA">
      <w:pPr>
        <w:pStyle w:val="AllowPageBreak"/>
      </w:pPr>
    </w:p>
    <w:p w:rsidR="00000000" w:rsidRPr="00AF07FA" w:rsidP="00AF07FA">
      <w:pPr>
        <w:pStyle w:val="Heading1"/>
      </w:pPr>
      <w:bookmarkStart w:id="7" w:name="O_418000"/>
      <w:bookmarkEnd w:id="7"/>
      <w:r w:rsidRPr="00AF07FA">
        <w:t>Elements and Performance Criteria Pre-Content</w:t>
      </w:r>
    </w:p>
    <w:tbl>
      <w:tblPr>
        <w:tblW w:w="0" w:type="auto"/>
        <w:tblLayout w:type="fixed"/>
        <w:tblCellMar>
          <w:left w:w="62" w:type="dxa"/>
          <w:right w:w="62" w:type="dxa"/>
        </w:tblCellMar>
        <w:tblLook w:val="0000"/>
      </w:tblPr>
      <w:tblGrid>
        <w:gridCol w:w="2700"/>
        <w:gridCol w:w="5760"/>
      </w:tblGrid>
      <w:tr w:rsidTr="00D762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6)</w:t>
            </w:r>
            <w:r w:rsidRPr="00AF07F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Performance Criteria describe the required performance needed to demonstrate achievement of the element. Assessment of performance is to be consistent with the Evidence Guide.</w:t>
            </w:r>
          </w:p>
        </w:tc>
      </w:tr>
    </w:tbl>
    <w:p w:rsidR="00000000" w:rsidRPr="00AF07FA" w:rsidP="00AF07FA">
      <w:pPr>
        <w:pStyle w:val="BodyText"/>
      </w:pPr>
    </w:p>
    <w:p w:rsidR="00000000" w:rsidRPr="00AF07FA" w:rsidP="00AF07FA">
      <w:pPr>
        <w:pStyle w:val="AllowPageBreak"/>
      </w:pPr>
    </w:p>
    <w:p w:rsidR="00000000" w:rsidRPr="00AF07FA" w:rsidP="00AF07FA">
      <w:pPr>
        <w:pStyle w:val="Heading1"/>
      </w:pPr>
      <w:bookmarkStart w:id="8" w:name="O_417999"/>
      <w:bookmarkEnd w:id="8"/>
      <w:r w:rsidRPr="00AF07F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7624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PERFORMANCE CRITER</w:t>
            </w:r>
            <w:r w:rsidRPr="00AF07FA">
              <w:rPr>
                <w:rStyle w:val="SpecialBold"/>
              </w:rPr>
              <w:t>IA</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1</w:t>
            </w:r>
          </w:p>
        </w:tc>
        <w:tc>
          <w:tcPr>
            <w:tcW w:w="2296" w:type="dxa"/>
            <w:vMerge w:val="restart"/>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Prepare to contribute to operating plant and equipment.</w:t>
            </w: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1.1</w:t>
            </w:r>
          </w:p>
        </w:tc>
        <w:tc>
          <w:tcPr>
            <w:tcW w:w="48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Instructions for preparing to contribute to operating plant and equipment are communicated and confirmed to ensure clear understanding.</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1.2</w:t>
            </w:r>
          </w:p>
        </w:tc>
        <w:tc>
          <w:tcPr>
            <w:tcW w:w="48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OHS policies and procedures are communicated and confirmed to ensure they are understood as they apply to the carrying out of the work.</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1.3</w:t>
            </w:r>
          </w:p>
        </w:tc>
        <w:tc>
          <w:tcPr>
            <w:tcW w:w="48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Tools, equipment and personnel protective equipment necessary for the work are identified, scheduled and checked to ensure they work correctly as intended and are safe to use in accordance with established procedures.</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1.4</w:t>
            </w:r>
          </w:p>
        </w:tc>
        <w:tc>
          <w:tcPr>
            <w:tcW w:w="48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Appropriate personnel are consu</w:t>
            </w:r>
            <w:r w:rsidRPr="00AF07FA">
              <w:t>lted to ensure the work is coordinated effectively with others involved.</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1.5</w:t>
            </w:r>
          </w:p>
        </w:tc>
        <w:tc>
          <w:tcPr>
            <w:tcW w:w="48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 xml:space="preserve">Resources and materials needed to do the work are confirmed, scheduled and obtained in </w:t>
            </w:r>
            <w:r w:rsidRPr="00AF07FA">
              <w:t>accordance with established procedures.</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1.6</w:t>
            </w:r>
          </w:p>
        </w:tc>
        <w:tc>
          <w:tcPr>
            <w:tcW w:w="48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Sc</w:t>
            </w:r>
            <w:r w:rsidRPr="00AF07FA">
              <w:t>hedule of work including practices for working safely are confirmed in accordance with instructions and requirements.</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2</w:t>
            </w:r>
          </w:p>
        </w:tc>
        <w:tc>
          <w:tcPr>
            <w:tcW w:w="2296" w:type="dxa"/>
            <w:vMerge w:val="restart"/>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Contribute to operating plant and equipment.</w:t>
            </w: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2.1</w:t>
            </w:r>
          </w:p>
        </w:tc>
        <w:tc>
          <w:tcPr>
            <w:tcW w:w="48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OHS policies and procedures and safe work practices are followed to eliminate or minim</w:t>
            </w:r>
            <w:r w:rsidRPr="00AF07FA">
              <w:t>ise incidents.</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2.2</w:t>
            </w:r>
          </w:p>
        </w:tc>
        <w:tc>
          <w:tcPr>
            <w:tcW w:w="48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Plant and equipment is operated according to schedule of work to ensure work is completed in an agreed time, to a quality standard and with a minimum of waste.</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2.3</w:t>
            </w:r>
          </w:p>
        </w:tc>
        <w:tc>
          <w:tcPr>
            <w:tcW w:w="48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Further instructions are sought from appropriate personnel in the event of unplanned happenings or conditions.</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2.4</w:t>
            </w:r>
          </w:p>
        </w:tc>
        <w:tc>
          <w:tcPr>
            <w:tcW w:w="48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Ongoing checks of work quality are undertaken in accordance with instructions and requirements.</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3</w:t>
            </w:r>
          </w:p>
        </w:tc>
        <w:tc>
          <w:tcPr>
            <w:tcW w:w="2296" w:type="dxa"/>
            <w:vMerge w:val="restart"/>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Complete contribution to operating plan</w:t>
            </w:r>
            <w:r w:rsidRPr="00AF07FA">
              <w:t>t and equipment.</w:t>
            </w: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3.1</w:t>
            </w:r>
          </w:p>
        </w:tc>
        <w:tc>
          <w:tcPr>
            <w:tcW w:w="48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Final checks are made to ensure the operation of plant and equipment conforms with instructions and to requirements.</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3.2</w:t>
            </w:r>
          </w:p>
        </w:tc>
        <w:tc>
          <w:tcPr>
            <w:tcW w:w="48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Appropriate personnel are notified of completion of the work in contributing to operating plant and equipment.</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3.3</w:t>
            </w:r>
          </w:p>
        </w:tc>
        <w:tc>
          <w:tcPr>
            <w:tcW w:w="48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Tools, equipment and any surplus resources and materials are, where appropriate, cleaned, checked and returned to storage in accordance with established procedures.</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3.4</w:t>
            </w:r>
          </w:p>
        </w:tc>
        <w:tc>
          <w:tcPr>
            <w:tcW w:w="48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Work area is cleaned up and made safe and sustainable energy practices are fo</w:t>
            </w:r>
            <w:r w:rsidRPr="00AF07FA">
              <w:t>llowed.</w:t>
            </w:r>
          </w:p>
        </w:tc>
      </w:tr>
      <w:tr w:rsidTr="00D762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3.5</w:t>
            </w:r>
          </w:p>
        </w:tc>
        <w:tc>
          <w:tcPr>
            <w:tcW w:w="486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Appropriate records are updated in accordance with instructions and established procedures.</w:t>
            </w:r>
          </w:p>
        </w:tc>
      </w:tr>
    </w:tbl>
    <w:p w:rsidR="00000000" w:rsidRPr="00AF07FA" w:rsidP="00AF07FA">
      <w:pPr>
        <w:pStyle w:val="BodyText"/>
      </w:pPr>
    </w:p>
    <w:p w:rsidR="00000000" w:rsidRPr="00AF07FA" w:rsidP="00AF07FA">
      <w:pPr>
        <w:pStyle w:val="AllowPageBreak"/>
      </w:pPr>
    </w:p>
    <w:p w:rsidR="00000000" w:rsidRPr="00AF07FA" w:rsidP="00AF07FA">
      <w:pPr>
        <w:pStyle w:val="Heading1"/>
      </w:pPr>
      <w:bookmarkStart w:id="9" w:name="O_418007"/>
      <w:bookmarkEnd w:id="9"/>
      <w:r w:rsidRPr="00AF07FA">
        <w:t>Required Skills and Knowledge</w:t>
      </w:r>
    </w:p>
    <w:tbl>
      <w:tblPr>
        <w:tblW w:w="0" w:type="auto"/>
        <w:tblLayout w:type="fixed"/>
        <w:tblCellMar>
          <w:left w:w="62" w:type="dxa"/>
          <w:right w:w="62" w:type="dxa"/>
        </w:tblCellMar>
        <w:tblLook w:val="0000"/>
      </w:tblPr>
      <w:tblGrid>
        <w:gridCol w:w="8460"/>
      </w:tblGrid>
      <w:tr w:rsidTr="00D762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REQUIRED SKILLS AND KNOWLEDGE</w:t>
            </w:r>
          </w:p>
        </w:tc>
      </w:tr>
      <w:tr w:rsidTr="00D7624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8)</w:t>
            </w:r>
            <w:r w:rsidRPr="00AF07FA">
              <w:t xml:space="preserve"> This describes the essential skills and knowledge and their level, required for this unit.</w:t>
            </w:r>
          </w:p>
          <w:p w:rsidR="00000000" w:rsidRPr="00AF07FA" w:rsidP="00AF07FA">
            <w:pPr>
              <w:pStyle w:val="BodyText"/>
            </w:pPr>
            <w:r w:rsidRPr="00AF07FA">
              <w:t xml:space="preserve">Evidence shall show that knowledge has been acquired of safe working practices and contributing to the operation of support plant and equipment used in electricity </w:t>
            </w:r>
            <w:r w:rsidRPr="00AF07FA">
              <w:t>supply.</w:t>
            </w:r>
          </w:p>
          <w:p w:rsidR="00000000" w:rsidRPr="00AF07FA" w:rsidP="00AF07FA">
            <w:pPr>
              <w:pStyle w:val="BodyText"/>
            </w:pPr>
            <w:r w:rsidRPr="00AF07FA">
              <w:t>All knowledge and skills detailed in this unit should be contextualised to current industry practices and technologies.</w:t>
            </w:r>
          </w:p>
          <w:p w:rsidR="00000000" w:rsidRPr="00AF07FA" w:rsidP="00AF07FA">
            <w:pPr>
              <w:pStyle w:val="BodyText"/>
            </w:pPr>
            <w:r w:rsidRPr="00AF07FA">
              <w:rPr>
                <w:rStyle w:val="SpecialBold"/>
              </w:rPr>
              <w:t>KS01-EE149A</w:t>
            </w:r>
            <w:r w:rsidRPr="00AF07FA">
              <w:rPr>
                <w:rStyle w:val="SpecialBold"/>
              </w:rPr>
              <w:tab/>
              <w:t xml:space="preserve">               ESI Powerline safety practices</w:t>
            </w:r>
          </w:p>
          <w:p w:rsidR="00000000" w:rsidRPr="00AF07FA" w:rsidP="00AF07FA">
            <w:pPr>
              <w:pStyle w:val="BodyText"/>
            </w:pPr>
            <w:r w:rsidRPr="00AF07FA">
              <w:t>Evidence shall show an understanding of working safely on or around po</w:t>
            </w:r>
            <w:r w:rsidRPr="00AF07FA">
              <w:t>werlines through the application of risk management principles and control measures for dealing with hazards typical around powerlines. The following aspects indicate the extent of understanding required.</w:t>
            </w:r>
          </w:p>
          <w:p w:rsidR="00000000" w:rsidRPr="00AF07FA" w:rsidP="00AF07FA">
            <w:pPr>
              <w:pStyle w:val="BodyText"/>
            </w:pPr>
            <w:r w:rsidRPr="00AF07FA">
              <w:t>T1</w:t>
            </w:r>
            <w:r w:rsidRPr="00AF07FA">
              <w:tab/>
            </w:r>
            <w:r w:rsidRPr="00AF07FA">
              <w:t>Items of protective apparatus and apparel used by ESI workers and states their applications.</w:t>
            </w:r>
          </w:p>
          <w:p w:rsidR="00000000" w:rsidRPr="00AF07FA" w:rsidP="00AF07FA">
            <w:pPr>
              <w:pStyle w:val="BodyText"/>
            </w:pPr>
            <w:r w:rsidRPr="00AF07FA">
              <w:t>T2</w:t>
            </w:r>
            <w:r w:rsidRPr="00AF07FA">
              <w:tab/>
              <w:t xml:space="preserve">Methods of carrying, erecting, collapsing and lower an extension ladder </w:t>
            </w:r>
          </w:p>
          <w:p w:rsidR="00000000" w:rsidRPr="00AF07FA" w:rsidP="00AF07FA">
            <w:pPr>
              <w:pStyle w:val="BodyText"/>
            </w:pPr>
            <w:r w:rsidRPr="00AF07FA">
              <w:t>T3</w:t>
            </w:r>
            <w:r w:rsidRPr="00AF07FA">
              <w:tab/>
              <w:t>Maintenance requirements for wood and fiberglass ladders.</w:t>
            </w:r>
          </w:p>
          <w:p w:rsidR="00000000" w:rsidRPr="00AF07FA" w:rsidP="00AF07FA">
            <w:pPr>
              <w:pStyle w:val="BodyText"/>
            </w:pPr>
            <w:r w:rsidRPr="00AF07FA">
              <w:t>T4</w:t>
            </w:r>
            <w:r w:rsidRPr="00AF07FA">
              <w:tab/>
              <w:t>Methods of climbing and</w:t>
            </w:r>
            <w:r w:rsidRPr="00AF07FA">
              <w:t xml:space="preserve"> working on an overhead structure encompassing::</w:t>
            </w:r>
          </w:p>
          <w:p w:rsidR="00000000" w:rsidRPr="00AF07FA" w:rsidP="00AF07FA">
            <w:pPr>
              <w:pStyle w:val="ListBullet"/>
            </w:pPr>
            <w:r w:rsidRPr="00AF07FA">
              <w:t>determining whether a pole is safe to climb.</w:t>
            </w:r>
          </w:p>
          <w:p w:rsidR="00000000" w:rsidRPr="00AF07FA" w:rsidP="00AF07FA">
            <w:pPr>
              <w:pStyle w:val="ListBullet"/>
            </w:pPr>
            <w:r w:rsidRPr="00AF07FA">
              <w:t>inspecting lineworkers body belt.</w:t>
            </w:r>
          </w:p>
          <w:p w:rsidR="00000000" w:rsidRPr="00AF07FA" w:rsidP="00AF07FA">
            <w:pPr>
              <w:pStyle w:val="ListBullet"/>
            </w:pPr>
            <w:r w:rsidRPr="00AF07FA">
              <w:t>knots and hitches appropriate to the requirements of a lineworker.</w:t>
            </w:r>
          </w:p>
          <w:p w:rsidR="00000000" w:rsidRPr="00AF07FA" w:rsidP="00AF07FA">
            <w:pPr>
              <w:pStyle w:val="BodyText"/>
            </w:pPr>
            <w:r w:rsidRPr="00AF07FA">
              <w:t>T5</w:t>
            </w:r>
            <w:r w:rsidRPr="00AF07FA">
              <w:tab/>
              <w:t>Procedures for establishing an effective road traffic mana</w:t>
            </w:r>
            <w:r w:rsidRPr="00AF07FA">
              <w:t>gement scheme encompassing:</w:t>
            </w:r>
          </w:p>
          <w:p w:rsidR="00000000" w:rsidRPr="00AF07FA" w:rsidP="00AF07FA">
            <w:pPr>
              <w:pStyle w:val="ListBullet"/>
            </w:pPr>
            <w:r w:rsidRPr="00AF07FA">
              <w:t>purpose of traffic management in accordance with relevant statutory requirements.</w:t>
            </w:r>
          </w:p>
          <w:p w:rsidR="00000000" w:rsidRPr="00AF07FA" w:rsidP="00AF07FA">
            <w:pPr>
              <w:pStyle w:val="ListBullet"/>
            </w:pPr>
            <w:r w:rsidRPr="00AF07FA">
              <w:t>lineworkers responsibilities in accordance with relevant statutory and electricity supply industry requirements.</w:t>
            </w:r>
          </w:p>
          <w:p w:rsidR="00000000" w:rsidRPr="00AF07FA" w:rsidP="00AF07FA">
            <w:pPr>
              <w:pStyle w:val="ListBullet"/>
            </w:pPr>
            <w:r w:rsidRPr="00AF07FA">
              <w:t>procedure used to provide an effe</w:t>
            </w:r>
            <w:r w:rsidRPr="00AF07FA">
              <w:t>ctive traffic management scheme.</w:t>
            </w:r>
          </w:p>
          <w:p w:rsidR="00000000" w:rsidRPr="00AF07FA" w:rsidP="00AF07FA">
            <w:pPr>
              <w:pStyle w:val="ListBullet"/>
            </w:pPr>
            <w:r w:rsidRPr="00AF07FA">
              <w:t>use of a two-way radio.</w:t>
            </w:r>
          </w:p>
          <w:p w:rsidR="00000000" w:rsidRPr="00AF07FA" w:rsidP="00AF07FA">
            <w:pPr>
              <w:pStyle w:val="BodyText"/>
            </w:pPr>
            <w:r w:rsidRPr="00AF07FA">
              <w:t>T6</w:t>
            </w:r>
            <w:r w:rsidRPr="00AF07FA">
              <w:tab/>
              <w:t>Application of various fire fighting mediums and operation equipment used to extinguish small fires compassing;</w:t>
            </w:r>
          </w:p>
          <w:p w:rsidR="00000000" w:rsidRPr="00AF07FA" w:rsidP="00AF07FA">
            <w:pPr>
              <w:pStyle w:val="ListBullet"/>
            </w:pPr>
            <w:r w:rsidRPr="00AF07FA">
              <w:t>extinguishing mediums for various types of fires.</w:t>
            </w:r>
          </w:p>
          <w:p w:rsidR="00000000" w:rsidRPr="00AF07FA" w:rsidP="00AF07FA">
            <w:pPr>
              <w:pStyle w:val="ListBullet"/>
            </w:pPr>
            <w:r w:rsidRPr="00AF07FA">
              <w:t>precautions for personal protectio</w:t>
            </w:r>
            <w:r w:rsidRPr="00AF07FA">
              <w:t>n when fighting small fires.</w:t>
            </w:r>
          </w:p>
          <w:p w:rsidR="00000000" w:rsidRPr="00AF07FA" w:rsidP="00AF07FA">
            <w:pPr>
              <w:pStyle w:val="ListBullet"/>
            </w:pPr>
            <w:r w:rsidRPr="00AF07FA">
              <w:t>selection and operation of the appropriate portable fire extinguisher for a specific type of fire.</w:t>
            </w:r>
          </w:p>
          <w:p w:rsidR="00000000" w:rsidRPr="00AF07FA" w:rsidP="00AF07FA">
            <w:pPr>
              <w:pStyle w:val="BodyText"/>
            </w:pPr>
            <w:r w:rsidRPr="00AF07FA">
              <w:t>T7</w:t>
            </w:r>
            <w:r w:rsidRPr="00AF07FA">
              <w:tab/>
              <w:t>Rescue procedures for victims who become incapacitated encompassing:</w:t>
            </w:r>
          </w:p>
          <w:p w:rsidR="00000000" w:rsidRPr="00AF07FA" w:rsidP="00AF07FA">
            <w:pPr>
              <w:pStyle w:val="ListBullet"/>
            </w:pPr>
            <w:r w:rsidRPr="00AF07FA">
              <w:t>procedure for rescuing a person from heights.</w:t>
            </w:r>
          </w:p>
          <w:p w:rsidR="00000000" w:rsidRPr="00AF07FA" w:rsidP="00AF07FA">
            <w:pPr>
              <w:pStyle w:val="ListBullet"/>
            </w:pPr>
            <w:r w:rsidRPr="00AF07FA">
              <w:t xml:space="preserve">procedure </w:t>
            </w:r>
            <w:r w:rsidRPr="00AF07FA">
              <w:t>to rescue a person from confined spaces</w:t>
            </w:r>
          </w:p>
        </w:tc>
      </w:tr>
    </w:tbl>
    <w:p w:rsidR="00000000" w:rsidRPr="00AF07FA" w:rsidP="00AF07FA">
      <w:pPr>
        <w:pStyle w:val="BodyText"/>
      </w:pPr>
    </w:p>
    <w:p w:rsidR="00000000" w:rsidRPr="00AF07FA" w:rsidP="00AF07FA">
      <w:pPr>
        <w:pStyle w:val="AllowPageBreak"/>
      </w:pPr>
    </w:p>
    <w:p w:rsidR="00000000" w:rsidRPr="00AF07FA" w:rsidP="00AF07FA">
      <w:pPr>
        <w:pStyle w:val="Heading1"/>
      </w:pPr>
      <w:bookmarkStart w:id="10" w:name="O_418002"/>
      <w:bookmarkEnd w:id="10"/>
      <w:r w:rsidRPr="00AF07FA">
        <w:t>Evidence Guide</w:t>
      </w:r>
    </w:p>
    <w:tbl>
      <w:tblPr>
        <w:tblW w:w="0" w:type="auto"/>
        <w:tblLayout w:type="fixed"/>
        <w:tblCellMar>
          <w:left w:w="62" w:type="dxa"/>
          <w:right w:w="62" w:type="dxa"/>
        </w:tblCellMar>
        <w:tblLook w:val="0000"/>
      </w:tblPr>
      <w:tblGrid>
        <w:gridCol w:w="8460"/>
      </w:tblGrid>
      <w:tr w:rsidTr="00D762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EVIDENCE GUIDE</w:t>
            </w:r>
          </w:p>
        </w:tc>
      </w:tr>
      <w:tr w:rsidTr="00D762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9)</w:t>
            </w:r>
            <w:r w:rsidRPr="00AF07FA">
              <w:t xml:space="preserve"> The evidence guide provides advice on assessment and must be read in conjunction with the Performance </w:t>
            </w:r>
            <w:r w:rsidRPr="00AF07FA">
              <w:t xml:space="preserve">Criteria, Required Skills and Knowledge, the Range Statement and the Assessment Guidelines for this Training Package. </w:t>
            </w:r>
          </w:p>
          <w:p w:rsidR="00000000" w:rsidRPr="00AF07FA" w:rsidP="00AF07FA">
            <w:pPr>
              <w:pStyle w:val="BodyText"/>
            </w:pPr>
            <w:r w:rsidRPr="00AF07FA">
              <w:t>The Evidence Guide forms an integral part of this unit. It must be used in conjunction with all parts of the unit and performed in accord</w:t>
            </w:r>
            <w:r w:rsidRPr="00AF07FA">
              <w:t>ance with the Assessment Guidelines of this Training Package.</w:t>
            </w:r>
          </w:p>
        </w:tc>
      </w:tr>
    </w:tbl>
    <w:p w:rsidR="00000000" w:rsidRPr="00AF07FA" w:rsidP="00AF07FA">
      <w:pPr>
        <w:pStyle w:val="BodyText"/>
      </w:pPr>
    </w:p>
    <w:tbl>
      <w:tblPr>
        <w:tblW w:w="0" w:type="auto"/>
        <w:tblLayout w:type="fixed"/>
        <w:tblCellMar>
          <w:left w:w="62" w:type="dxa"/>
          <w:right w:w="62" w:type="dxa"/>
        </w:tblCellMar>
        <w:tblLook w:val="0000"/>
      </w:tblPr>
      <w:tblGrid>
        <w:gridCol w:w="1890"/>
        <w:gridCol w:w="6570"/>
      </w:tblGrid>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9.1)</w:t>
            </w:r>
          </w:p>
        </w:tc>
      </w:tr>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 xml:space="preserve">Longitudinal competency development approaches to assessment, such as Profiling, require data to be reliably gathered in a form that can be </w:t>
            </w:r>
            <w:r w:rsidRPr="00AF07FA">
              <w:t>consistently interpreted over time. This approach is best utilised in Apprenticeship programs and reduces assessment intervention. It is the industry-preferred model for apprenticeships. However, where summative (or final) assessment is used it is to inclu</w:t>
            </w:r>
            <w:r w:rsidRPr="00AF07FA">
              <w:t>de the application of the competency in the normal work environment or, at a minimum, the application of the competency in a realistically simulated work environment. It is recognised that, in some circumstances, assessment in part or full can occur outsid</w:t>
            </w:r>
            <w:r w:rsidRPr="00AF07FA">
              <w:t>e the workplace. However, it must be in accordance with industry and regulatory policy.</w:t>
            </w:r>
          </w:p>
          <w:p w:rsidR="00000000" w:rsidRPr="00AF07FA" w:rsidP="00AF07FA">
            <w:pPr>
              <w:pStyle w:val="BodyText"/>
            </w:pPr>
            <w:r w:rsidRPr="00AF07FA">
              <w:t>Methods chosen for a particular assessment will be influenced by various factors. These include the extent of the assessment, the most effective locations for the asses</w:t>
            </w:r>
            <w:r w:rsidRPr="00AF07FA">
              <w:t>sment activities to take place, access to physical resources, additional safety measures that may be required and the critical nature of the competencies being assessed.</w:t>
            </w:r>
          </w:p>
          <w:p w:rsidR="00000000" w:rsidRPr="00AF07FA" w:rsidP="00AF07FA">
            <w:pPr>
              <w:pStyle w:val="BodyText"/>
            </w:pPr>
            <w:r w:rsidRPr="00AF07FA">
              <w:t>The critical safety nature of working with electricity, electrical equipment, gas or a</w:t>
            </w:r>
            <w:r w:rsidRPr="00AF07FA">
              <w:t>ny other hazardous substance/material carries risk in deeming a person competent. Sources of evidence need to be ‘rich’ in nature to minimise error in judgment.</w:t>
            </w:r>
          </w:p>
          <w:p w:rsidR="00000000" w:rsidRPr="00AF07FA" w:rsidP="00AF07FA">
            <w:pPr>
              <w:pStyle w:val="BodyText"/>
            </w:pPr>
            <w:r w:rsidRPr="00AF07FA">
              <w:t>Activities associated with normal everyday work have a bearing on the decision as to how much a</w:t>
            </w:r>
            <w:r w:rsidRPr="00AF07FA">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AF07FA">
              <w:t>when choosing an assessment method and developing assessment instruments. Sample assessment instruments are included for Assessors in the Assessment Guidelines of this Training Package.</w:t>
            </w:r>
          </w:p>
        </w:tc>
      </w:tr>
    </w:tbl>
    <w:p w:rsidR="00000000" w:rsidRPr="00AF07FA" w:rsidP="00AF07FA">
      <w:pPr>
        <w:pStyle w:val="BodyText"/>
      </w:pPr>
    </w:p>
    <w:tbl>
      <w:tblPr>
        <w:tblW w:w="0" w:type="auto"/>
        <w:tblLayout w:type="fixed"/>
        <w:tblCellMar>
          <w:left w:w="62" w:type="dxa"/>
          <w:right w:w="62" w:type="dxa"/>
        </w:tblCellMar>
        <w:tblLook w:val="0000"/>
      </w:tblPr>
      <w:tblGrid>
        <w:gridCol w:w="1890"/>
        <w:gridCol w:w="1530"/>
        <w:gridCol w:w="5040"/>
      </w:tblGrid>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Critical aspects of evidence required to demonstrate competency in t</w:t>
            </w:r>
            <w:r w:rsidRPr="00AF07FA">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9.2)</w:t>
            </w:r>
          </w:p>
        </w:tc>
      </w:tr>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Before the critical aspects of evidence are considered all prerequisites must be met.</w:t>
            </w:r>
          </w:p>
          <w:p w:rsidR="00000000" w:rsidRPr="00AF07FA" w:rsidP="00AF07FA">
            <w:pPr>
              <w:pStyle w:val="BodyText"/>
            </w:pPr>
            <w:r w:rsidRPr="00AF07FA">
              <w:t>Evidence for competence in this unit shall be considered holistically.  Each element and associated performance criteria shall be demonstrated on at leas</w:t>
            </w:r>
            <w:r w:rsidRPr="00AF07FA">
              <w:t>t two occasions in accordance with the ‘Assessment Guidelines – UEE11’.  Evidence shall also comprise:</w:t>
            </w:r>
          </w:p>
          <w:p w:rsidR="00000000" w:rsidRPr="00AF07FA" w:rsidP="00AF07FA">
            <w:pPr>
              <w:pStyle w:val="ListBullet"/>
            </w:pPr>
            <w:r w:rsidRPr="00AF07FA">
              <w:t>A representative body of work performance demonstrated within the timeframes typically expected of the discipline, work function and industrial environme</w:t>
            </w:r>
            <w:r w:rsidRPr="00AF07FA">
              <w:t>nt. In particular this shall incorporate evidence that shows a candidate is able to:</w:t>
            </w:r>
          </w:p>
          <w:p w:rsidR="00000000" w:rsidRPr="00AF07FA" w:rsidP="00AF07FA">
            <w:pPr>
              <w:pStyle w:val="ListBullet2"/>
            </w:pPr>
            <w:r w:rsidRPr="00AF07FA">
              <w:t xml:space="preserve">Implement Occupational Health and Safety workplace procedures and practices, including </w:t>
            </w:r>
            <w:r w:rsidRPr="00AF07FA">
              <w:t>the use of risk control measures as specified in the performance criteria and range statement</w:t>
            </w:r>
          </w:p>
          <w:p w:rsidR="00000000" w:rsidRPr="00AF07FA" w:rsidP="00AF07FA">
            <w:pPr>
              <w:pStyle w:val="ListBullet2"/>
            </w:pPr>
            <w:r w:rsidRPr="00AF07FA">
              <w:t>Apply sustainable energy principles and practices as specified in the performance criteria and range statement</w:t>
            </w:r>
          </w:p>
          <w:p w:rsidR="00000000" w:rsidRPr="00AF07FA" w:rsidP="00AF07FA">
            <w:pPr>
              <w:pStyle w:val="ListBullet2"/>
            </w:pPr>
            <w:r w:rsidRPr="00AF07FA">
              <w:t>Demonstrate an understanding of the essential knowl</w:t>
            </w:r>
            <w:r w:rsidRPr="00AF07FA">
              <w:t xml:space="preserve">edge and associated skills as described in this unit.  It may be required by some jurisdictions that RTOs provide a percentile graded result for the purpose of regulatory or licensing requirements.   </w:t>
            </w:r>
          </w:p>
          <w:p w:rsidR="00000000" w:rsidRPr="00AF07FA" w:rsidP="00AF07FA">
            <w:pPr>
              <w:pStyle w:val="ListBullet2"/>
            </w:pPr>
            <w:r w:rsidRPr="00AF07FA">
              <w:t>Demonstrate an appropriate level of skills enabling emp</w:t>
            </w:r>
            <w:r w:rsidRPr="00AF07FA">
              <w:t>loyment</w:t>
            </w:r>
          </w:p>
          <w:p w:rsidR="00000000" w:rsidRPr="00AF07FA" w:rsidP="00AF07FA">
            <w:pPr>
              <w:pStyle w:val="ListBullet2"/>
            </w:pPr>
            <w:r w:rsidRPr="00AF07FA">
              <w:t>Conduct work observing the relevant Anti Discrimination legislation, regulations, polices and workplace procedures</w:t>
            </w:r>
          </w:p>
          <w:p w:rsidR="00000000" w:rsidRPr="00AF07FA" w:rsidP="00AF07FA">
            <w:pPr>
              <w:pStyle w:val="ListBullet"/>
            </w:pPr>
            <w:r w:rsidRPr="00AF07FA">
              <w:t>Demonstrated consistent performance across a representative range of contexts from the prescribed items below:</w:t>
            </w:r>
          </w:p>
          <w:p w:rsidR="00000000" w:rsidP="00AF07FA">
            <w:pPr>
              <w:pStyle w:val="ListBullet2"/>
              <w:rPr>
                <w:lang w:val="en-NZ"/>
              </w:rPr>
            </w:pPr>
            <w:r w:rsidRPr="00AF07FA">
              <w:t>Contribute to the ope</w:t>
            </w:r>
            <w:r w:rsidRPr="00AF07FA">
              <w:t>ration of support plant and equipment used in electricity supply as described in 8) and including:</w:t>
            </w:r>
          </w:p>
        </w:tc>
      </w:tr>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A</w:t>
            </w:r>
          </w:p>
        </w:tc>
        <w:tc>
          <w:tcPr>
            <w:tcW w:w="504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Understanding work instruction.</w:t>
            </w:r>
          </w:p>
        </w:tc>
      </w:tr>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B</w:t>
            </w:r>
          </w:p>
        </w:tc>
        <w:tc>
          <w:tcPr>
            <w:tcW w:w="504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Obtaining and checking tools and equipment.</w:t>
            </w:r>
          </w:p>
        </w:tc>
      </w:tr>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C</w:t>
            </w:r>
          </w:p>
        </w:tc>
        <w:tc>
          <w:tcPr>
            <w:tcW w:w="504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Following work instruction.</w:t>
            </w:r>
          </w:p>
        </w:tc>
      </w:tr>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D</w:t>
            </w:r>
          </w:p>
        </w:tc>
        <w:tc>
          <w:tcPr>
            <w:tcW w:w="504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 xml:space="preserve">Operating plant and equipment safely and </w:t>
            </w:r>
            <w:r w:rsidRPr="00AF07FA">
              <w:t>correctly.</w:t>
            </w:r>
          </w:p>
        </w:tc>
      </w:tr>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E</w:t>
            </w:r>
          </w:p>
        </w:tc>
        <w:tc>
          <w:tcPr>
            <w:tcW w:w="504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Returning tools and surplus resources as required.</w:t>
            </w:r>
          </w:p>
        </w:tc>
      </w:tr>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F</w:t>
            </w:r>
          </w:p>
        </w:tc>
        <w:tc>
          <w:tcPr>
            <w:tcW w:w="504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Updating work records.</w:t>
            </w:r>
          </w:p>
        </w:tc>
      </w:tr>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G</w:t>
            </w:r>
          </w:p>
        </w:tc>
        <w:tc>
          <w:tcPr>
            <w:tcW w:w="504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t>Dealing with unplanned events by drawing on essential knowledge and skills to provide appropriate solutions incorporated in a holistic assessment with the above listed items.</w:t>
            </w:r>
          </w:p>
        </w:tc>
      </w:tr>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 xml:space="preserve">Note: </w:t>
            </w:r>
            <w:r w:rsidRPr="00AF07FA">
              <w:br/>
              <w:t>Successful completion of relevant vendor training may be used to contrib</w:t>
            </w:r>
            <w:r w:rsidRPr="00AF07FA">
              <w:t>ute to evidence on which competency is deemed. In these cases the alignment of outcomes of vendor training with performance criteria and critical aspects of evidence shall be clearly identified.</w:t>
            </w:r>
          </w:p>
        </w:tc>
      </w:tr>
    </w:tbl>
    <w:p w:rsidR="00000000" w:rsidRPr="00AF07FA" w:rsidP="00AF07FA">
      <w:pPr>
        <w:pStyle w:val="BodyText"/>
      </w:pPr>
    </w:p>
    <w:tbl>
      <w:tblPr>
        <w:tblW w:w="0" w:type="auto"/>
        <w:tblLayout w:type="fixed"/>
        <w:tblCellMar>
          <w:left w:w="62" w:type="dxa"/>
          <w:right w:w="62" w:type="dxa"/>
        </w:tblCellMar>
        <w:tblLook w:val="0000"/>
      </w:tblPr>
      <w:tblGrid>
        <w:gridCol w:w="1890"/>
        <w:gridCol w:w="6570"/>
      </w:tblGrid>
      <w:tr w:rsidTr="00D7624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9.3)</w:t>
            </w:r>
          </w:p>
        </w:tc>
      </w:tr>
      <w:tr w:rsidTr="00D76240">
        <w:tblPrEx>
          <w:tblW w:w="0" w:type="auto"/>
          <w:tblLayout w:type="fixed"/>
          <w:tblCellMar>
            <w:left w:w="62" w:type="dxa"/>
            <w:right w:w="62" w:type="dxa"/>
          </w:tblCellMar>
          <w:tblLook w:val="0000"/>
        </w:tblPrEx>
        <w:trPr>
          <w:trHeight w:val="21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This unit should be assessed as it relates to normal work practice using procedures, information and resources typical of a workplace. This should include:</w:t>
            </w:r>
          </w:p>
          <w:p w:rsidR="00000000" w:rsidRPr="00AF07FA" w:rsidP="00AF07FA">
            <w:pPr>
              <w:pStyle w:val="ListBullet"/>
            </w:pPr>
            <w:r w:rsidRPr="00AF07FA">
              <w:t>OHS policy and work procedures and instructions.</w:t>
            </w:r>
          </w:p>
          <w:p w:rsidR="00000000" w:rsidRPr="00AF07FA" w:rsidP="00AF07FA">
            <w:pPr>
              <w:pStyle w:val="ListBullet"/>
            </w:pPr>
            <w:r w:rsidRPr="00AF07FA">
              <w:t>Suitable work environment, facilities, equipment an</w:t>
            </w:r>
            <w:r w:rsidRPr="00AF07FA">
              <w:t>d materials to undertake actual work as prescribed in this unit.</w:t>
            </w:r>
          </w:p>
          <w:p w:rsidR="00000000" w:rsidRPr="00AF07FA" w:rsidP="00AF07FA">
            <w:pPr>
              <w:pStyle w:val="BodyText"/>
            </w:pPr>
            <w:r w:rsidRPr="00AF07FA">
              <w:t>These should be used in the formal learning/assessment environment.</w:t>
            </w:r>
          </w:p>
          <w:p w:rsidR="00000000" w:rsidRPr="00AF07FA" w:rsidP="00AF07FA">
            <w:pPr>
              <w:pStyle w:val="BodyText"/>
            </w:pPr>
            <w:r w:rsidRPr="00AF07FA">
              <w:t>Note:</w:t>
            </w:r>
          </w:p>
          <w:p w:rsidR="00000000" w:rsidRPr="00AF07FA" w:rsidP="00AF07FA">
            <w:pPr>
              <w:pStyle w:val="BodyText"/>
            </w:pPr>
            <w:r w:rsidRPr="00AF07FA">
              <w:t>Where simulation is considered a suitable strategy for assessment, conditions for assessment must be authentic and as</w:t>
            </w:r>
            <w:r w:rsidRPr="00AF07FA">
              <w:t xml:space="preserve"> far as possible reproduce and replicate the workplace and be consistent with the approved industry simulation policy.</w:t>
            </w:r>
          </w:p>
          <w:p w:rsidR="00000000" w:rsidRPr="00AF07FA" w:rsidP="00AF07FA">
            <w:pPr>
              <w:pStyle w:val="BodyText"/>
            </w:pPr>
            <w:r w:rsidRPr="00AF07FA">
              <w:t>The resources used for assessment should reflect current industry practices in relation to contributing to the operation of support plant</w:t>
            </w:r>
            <w:r w:rsidRPr="00AF07FA">
              <w:t xml:space="preserve"> and equipment used in electricity supply.</w:t>
            </w:r>
          </w:p>
        </w:tc>
      </w:tr>
    </w:tbl>
    <w:p w:rsidR="00000000" w:rsidRPr="00AF07FA" w:rsidP="00AF07FA">
      <w:pPr>
        <w:pStyle w:val="BodyText"/>
      </w:pPr>
    </w:p>
    <w:tbl>
      <w:tblPr>
        <w:tblW w:w="0" w:type="auto"/>
        <w:tblLayout w:type="fixed"/>
        <w:tblCellMar>
          <w:left w:w="62" w:type="dxa"/>
          <w:right w:w="62" w:type="dxa"/>
        </w:tblCellMar>
        <w:tblLook w:val="0000"/>
      </w:tblPr>
      <w:tblGrid>
        <w:gridCol w:w="1890"/>
        <w:gridCol w:w="6570"/>
      </w:tblGrid>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9.4)</w:t>
            </w:r>
          </w:p>
        </w:tc>
      </w:tr>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This unit shall be assessed by methods given in Volume 1, Part 3 ‘Assessment Guidelines’.</w:t>
            </w:r>
          </w:p>
          <w:p w:rsidR="00000000" w:rsidRPr="00AF07FA" w:rsidP="00AF07FA">
            <w:pPr>
              <w:pStyle w:val="BodyText"/>
            </w:pPr>
            <w:r w:rsidRPr="00AF07FA">
              <w:t xml:space="preserve">Note: </w:t>
            </w:r>
          </w:p>
          <w:p w:rsidR="00000000" w:rsidRPr="00AF07FA" w:rsidP="00AF07FA">
            <w:pPr>
              <w:pStyle w:val="BodyText"/>
            </w:pPr>
            <w:r w:rsidRPr="00AF07FA">
              <w:t>Competent performance with inherent safe working practices is expected in the Industry to which this unit applies. This requires that the specified essential knowledge and associated skills are assessed in a structured environment which is primarily intend</w:t>
            </w:r>
            <w:r w:rsidRPr="00AF07FA">
              <w:t>ed for learning/assessment and incorporates all necessary equipment and facilities for learners to develop and demonstrate the essential knowledge and skills described in this unit.</w:t>
            </w:r>
          </w:p>
        </w:tc>
      </w:tr>
    </w:tbl>
    <w:p w:rsidR="00000000" w:rsidRPr="00AF07FA" w:rsidP="00AF07FA">
      <w:pPr>
        <w:pStyle w:val="BodyText"/>
      </w:pPr>
    </w:p>
    <w:tbl>
      <w:tblPr>
        <w:tblW w:w="0" w:type="auto"/>
        <w:tblLayout w:type="fixed"/>
        <w:tblCellMar>
          <w:left w:w="62" w:type="dxa"/>
          <w:right w:w="62" w:type="dxa"/>
        </w:tblCellMar>
        <w:tblLook w:val="0000"/>
      </w:tblPr>
      <w:tblGrid>
        <w:gridCol w:w="1890"/>
        <w:gridCol w:w="6570"/>
      </w:tblGrid>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9.5)</w:t>
            </w:r>
          </w:p>
        </w:tc>
      </w:tr>
      <w:tr w:rsidTr="00D762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There are</w:t>
            </w:r>
            <w:r w:rsidRPr="00AF07FA">
              <w:t xml:space="preserve"> no concurrent assessment recommendations for this unit.</w:t>
            </w:r>
          </w:p>
        </w:tc>
      </w:tr>
    </w:tbl>
    <w:p w:rsidR="00000000" w:rsidRPr="00AF07FA" w:rsidP="00AF07FA">
      <w:pPr>
        <w:pStyle w:val="BodyText"/>
      </w:pPr>
    </w:p>
    <w:p w:rsidR="00000000" w:rsidRPr="00AF07FA" w:rsidP="00AF07FA">
      <w:pPr>
        <w:pStyle w:val="AllowPageBreak"/>
      </w:pPr>
    </w:p>
    <w:p w:rsidR="00000000" w:rsidRPr="00AF07FA" w:rsidP="00AF07FA">
      <w:pPr>
        <w:pStyle w:val="Heading1"/>
      </w:pPr>
      <w:bookmarkStart w:id="11" w:name="O_418006"/>
      <w:bookmarkEnd w:id="11"/>
      <w:r w:rsidRPr="00AF07FA">
        <w:t>Range Statement</w:t>
      </w:r>
    </w:p>
    <w:tbl>
      <w:tblPr>
        <w:tblW w:w="0" w:type="auto"/>
        <w:tblLayout w:type="fixed"/>
        <w:tblCellMar>
          <w:left w:w="62" w:type="dxa"/>
          <w:right w:w="62" w:type="dxa"/>
        </w:tblCellMar>
        <w:tblLook w:val="0000"/>
      </w:tblPr>
      <w:tblGrid>
        <w:gridCol w:w="8460"/>
      </w:tblGrid>
      <w:tr w:rsidTr="00D762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RANGE STATEMENT</w:t>
            </w:r>
          </w:p>
        </w:tc>
      </w:tr>
      <w:tr w:rsidTr="00D762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10)</w:t>
            </w:r>
            <w:r w:rsidRPr="00AF07FA">
              <w:t xml:space="preserve"> This relates to the unit as a whole providing the range of contexts and conditions to which </w:t>
            </w:r>
            <w:r w:rsidRPr="00AF07FA">
              <w:t>the performance criteria apply. It allows for different work environments and situations that will affect performance.</w:t>
            </w:r>
          </w:p>
          <w:p w:rsidR="00000000" w:rsidRPr="00AF07FA" w:rsidP="00AF07FA">
            <w:pPr>
              <w:pStyle w:val="BodyText"/>
            </w:pPr>
            <w:r w:rsidRPr="00AF07FA">
              <w:t>This unit shall be demonstrated in relation to contributing to the operation of support plant and equipment used in electricity supply in</w:t>
            </w:r>
            <w:r w:rsidRPr="00AF07FA">
              <w:t xml:space="preserve"> any of the following disciplines:</w:t>
            </w:r>
          </w:p>
          <w:p w:rsidR="00000000" w:rsidRPr="00AF07FA" w:rsidP="00AF07FA">
            <w:pPr>
              <w:pStyle w:val="ListBullet3"/>
            </w:pPr>
            <w:r w:rsidRPr="00AF07FA">
              <w:t>Data Communications</w:t>
            </w:r>
          </w:p>
          <w:p w:rsidR="00000000" w:rsidRPr="00AF07FA" w:rsidP="00AF07FA">
            <w:pPr>
              <w:pStyle w:val="ListBullet3"/>
            </w:pPr>
            <w:r w:rsidRPr="00AF07FA">
              <w:t>Electrical</w:t>
            </w:r>
          </w:p>
          <w:p w:rsidR="00000000" w:rsidRPr="00AF07FA" w:rsidP="00AF07FA">
            <w:pPr>
              <w:pStyle w:val="ListBullet3"/>
            </w:pPr>
            <w:r w:rsidRPr="00AF07FA">
              <w:t>Renewable / sustainable energy</w:t>
            </w:r>
          </w:p>
          <w:p w:rsidR="00000000" w:rsidRPr="00AF07FA" w:rsidP="00AF07FA">
            <w:pPr>
              <w:pStyle w:val="BodyText"/>
            </w:pPr>
            <w:r w:rsidRPr="00AF07FA">
              <w:t>Generic terms used throughout this Vocational Standard shall be regarded as part of the Range Statement in which competency is demonstrated. The definition of</w:t>
            </w:r>
            <w:r w:rsidRPr="00AF07FA">
              <w:t xml:space="preserve"> these and other terms that apply are given in Volume 2, Part 2.1.</w:t>
            </w:r>
          </w:p>
        </w:tc>
      </w:tr>
    </w:tbl>
    <w:p w:rsidR="00000000" w:rsidRPr="00AF07FA" w:rsidP="00AF07FA">
      <w:pPr>
        <w:pStyle w:val="BodyText"/>
      </w:pPr>
    </w:p>
    <w:p w:rsidR="00000000" w:rsidRPr="00AF07FA" w:rsidP="00AF07FA">
      <w:pPr>
        <w:pStyle w:val="AllowPageBreak"/>
      </w:pPr>
    </w:p>
    <w:p w:rsidR="00000000" w:rsidRPr="00AF07FA" w:rsidP="00AF07FA">
      <w:pPr>
        <w:pStyle w:val="Heading1"/>
      </w:pPr>
      <w:bookmarkStart w:id="12" w:name="O_418009"/>
      <w:bookmarkEnd w:id="12"/>
      <w:r w:rsidRPr="00AF07FA">
        <w:t>Unit Sector(s)</w:t>
      </w:r>
    </w:p>
    <w:p w:rsidR="00000000" w:rsidRPr="00AF07FA" w:rsidP="00AF07FA">
      <w:pPr>
        <w:pStyle w:val="BodyText"/>
      </w:pPr>
      <w:r w:rsidRPr="00AF07FA">
        <w:t>Not applicable.</w:t>
      </w:r>
    </w:p>
    <w:p w:rsidR="00000000" w:rsidRPr="00AF07FA" w:rsidP="00AF07FA">
      <w:pPr>
        <w:pStyle w:val="AllowPageBreak"/>
      </w:pPr>
    </w:p>
    <w:p w:rsidR="00000000" w:rsidRPr="00AF07FA" w:rsidP="00AF07FA">
      <w:pPr>
        <w:pStyle w:val="Heading1"/>
      </w:pPr>
      <w:bookmarkStart w:id="13" w:name="O_417998"/>
      <w:bookmarkEnd w:id="13"/>
      <w:r w:rsidRPr="00AF07FA">
        <w:t>Competency Field</w:t>
      </w:r>
    </w:p>
    <w:tbl>
      <w:tblPr>
        <w:tblW w:w="0" w:type="auto"/>
        <w:tblLayout w:type="fixed"/>
        <w:tblCellMar>
          <w:left w:w="62" w:type="dxa"/>
          <w:right w:w="62" w:type="dxa"/>
        </w:tblCellMar>
        <w:tblLook w:val="0000"/>
      </w:tblPr>
      <w:tblGrid>
        <w:gridCol w:w="2700"/>
        <w:gridCol w:w="5760"/>
      </w:tblGrid>
      <w:tr w:rsidTr="00D762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F07FA">
            <w:pPr>
              <w:pStyle w:val="BodyText"/>
              <w:rPr>
                <w:lang w:val="en-NZ"/>
              </w:rPr>
            </w:pPr>
            <w:r w:rsidRPr="00AF07FA">
              <w:rPr>
                <w:rStyle w:val="SpecialBold"/>
              </w:rPr>
              <w:t xml:space="preserve">11) </w:t>
            </w:r>
          </w:p>
        </w:tc>
      </w:tr>
      <w:tr w:rsidTr="00D762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07FA" w:rsidP="00AF07FA">
            <w:pPr>
              <w:pStyle w:val="BodyText"/>
            </w:pPr>
            <w:r w:rsidRPr="00AF07FA">
              <w:t>Electrotechnology</w:t>
            </w:r>
          </w:p>
        </w:tc>
      </w:tr>
    </w:tbl>
    <w:p w:rsidR="00000000" w:rsidRPr="00AF07FA" w:rsidP="00AF07FA">
      <w:pPr>
        <w:pStyle w:val="BodyText"/>
      </w:pPr>
    </w:p>
    <w:p w:rsidR="00000000" w:rsidRPr="00AF07FA" w:rsidP="00AF07FA"/>
    <w:sectPr w:rsidSect="00AF07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240" w:rsidP="00D762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40" w:rsidP="00AF07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76240" w:rsidP="00AF07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76240" w:rsidP="00AF07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7FA" w:rsidRPr="00D76240" w:rsidP="00D762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40" w:rsidRPr="002D2AF8" w:rsidP="00AF07FA">
    <w:pPr>
      <w:pStyle w:val="Header"/>
      <w:framePr w:wrap="around"/>
    </w:pPr>
    <w:r>
      <w:fldChar w:fldCharType="begin"/>
    </w:r>
    <w:r>
      <w:instrText xml:space="preserve"> TITLE   \* MERGEFORMAT </w:instrText>
    </w:r>
    <w:r>
      <w:fldChar w:fldCharType="separate"/>
    </w:r>
    <w:r>
      <w:t>UEENEEE149A Contribute to the operation of support plant and equipment used in electricity supply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76240" w:rsidP="00AF07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D29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9C8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8E6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7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7FA"/>
    <w:pPr>
      <w:spacing w:before="360" w:after="60"/>
      <w:outlineLvl w:val="0"/>
    </w:pPr>
    <w:rPr>
      <w:sz w:val="32"/>
    </w:rPr>
  </w:style>
  <w:style w:type="paragraph" w:styleId="Heading2">
    <w:name w:val="heading 2"/>
    <w:basedOn w:val="HeadingBase"/>
    <w:next w:val="BodyText"/>
    <w:link w:val="Heading2Char"/>
    <w:qFormat/>
    <w:rsid w:val="00AF07FA"/>
    <w:pPr>
      <w:keepLines/>
      <w:spacing w:before="240" w:after="120"/>
      <w:outlineLvl w:val="1"/>
    </w:pPr>
    <w:rPr>
      <w:sz w:val="28"/>
      <w:szCs w:val="40"/>
    </w:rPr>
  </w:style>
  <w:style w:type="paragraph" w:styleId="Heading3">
    <w:name w:val="heading 3"/>
    <w:basedOn w:val="HeadingBase"/>
    <w:next w:val="BodyText"/>
    <w:link w:val="Heading3Char"/>
    <w:qFormat/>
    <w:rsid w:val="00AF07FA"/>
    <w:pPr>
      <w:spacing w:before="180" w:after="120"/>
      <w:outlineLvl w:val="2"/>
    </w:pPr>
    <w:rPr>
      <w:spacing w:val="-10"/>
      <w:kern w:val="32"/>
    </w:rPr>
  </w:style>
  <w:style w:type="paragraph" w:styleId="Heading4">
    <w:name w:val="heading 4"/>
    <w:basedOn w:val="HeadingBase"/>
    <w:next w:val="BodyText"/>
    <w:link w:val="Heading4Char"/>
    <w:qFormat/>
    <w:rsid w:val="00AF07FA"/>
    <w:pPr>
      <w:spacing w:before="160" w:after="120"/>
      <w:outlineLvl w:val="3"/>
    </w:pPr>
    <w:rPr>
      <w:sz w:val="22"/>
    </w:rPr>
  </w:style>
  <w:style w:type="paragraph" w:styleId="Heading5">
    <w:name w:val="heading 5"/>
    <w:basedOn w:val="HeadingBase"/>
    <w:next w:val="Normal"/>
    <w:link w:val="Heading5Char"/>
    <w:qFormat/>
    <w:rsid w:val="00AF07FA"/>
    <w:pPr>
      <w:spacing w:before="80"/>
      <w:outlineLvl w:val="4"/>
    </w:pPr>
    <w:rPr>
      <w:color w:val="918585"/>
      <w:sz w:val="20"/>
    </w:rPr>
  </w:style>
  <w:style w:type="paragraph" w:styleId="Heading6">
    <w:name w:val="heading 6"/>
    <w:basedOn w:val="HeadingBase"/>
    <w:next w:val="Normal"/>
    <w:link w:val="Heading6Char"/>
    <w:qFormat/>
    <w:rsid w:val="00AF07FA"/>
    <w:pPr>
      <w:spacing w:before="60"/>
      <w:outlineLvl w:val="5"/>
    </w:pPr>
    <w:rPr>
      <w:color w:val="918585"/>
      <w:sz w:val="20"/>
    </w:rPr>
  </w:style>
  <w:style w:type="paragraph" w:styleId="Heading7">
    <w:name w:val="heading 7"/>
    <w:basedOn w:val="Normal"/>
    <w:next w:val="Normal"/>
    <w:link w:val="Heading7Char"/>
    <w:qFormat/>
    <w:rsid w:val="00AF07FA"/>
    <w:pPr>
      <w:ind w:left="720"/>
      <w:outlineLvl w:val="6"/>
    </w:pPr>
    <w:rPr>
      <w:i/>
    </w:rPr>
  </w:style>
  <w:style w:type="paragraph" w:styleId="Heading8">
    <w:name w:val="heading 8"/>
    <w:basedOn w:val="Normal"/>
    <w:next w:val="Normal"/>
    <w:link w:val="Heading8Char"/>
    <w:qFormat/>
    <w:rsid w:val="00AF07FA"/>
    <w:pPr>
      <w:ind w:left="720"/>
      <w:outlineLvl w:val="7"/>
    </w:pPr>
    <w:rPr>
      <w:i/>
    </w:rPr>
  </w:style>
  <w:style w:type="paragraph" w:styleId="Heading9">
    <w:name w:val="heading 9"/>
    <w:basedOn w:val="Normal"/>
    <w:next w:val="Normal"/>
    <w:link w:val="Heading9Char"/>
    <w:qFormat/>
    <w:rsid w:val="00AF07FA"/>
    <w:pPr>
      <w:ind w:left="720"/>
      <w:outlineLvl w:val="8"/>
    </w:pPr>
    <w:rPr>
      <w:i/>
    </w:rPr>
  </w:style>
  <w:style w:type="character" w:default="1" w:styleId="DefaultParagraphFont">
    <w:name w:val="Default Paragraph Font"/>
    <w:uiPriority w:val="1"/>
    <w:unhideWhenUsed/>
    <w:rsid w:val="00AF0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7FA"/>
  </w:style>
  <w:style w:type="character" w:customStyle="1" w:styleId="Heading1Char">
    <w:name w:val="Heading 1 Char"/>
    <w:basedOn w:val="DefaultParagraphFont"/>
    <w:link w:val="Heading1"/>
    <w:rsid w:val="00AF07FA"/>
    <w:rPr>
      <w:rFonts w:ascii="Times New Roman" w:eastAsia="Times New Roman" w:hAnsi="Times New Roman" w:cs="Times New Roman"/>
      <w:b/>
      <w:sz w:val="32"/>
      <w:szCs w:val="20"/>
      <w:lang w:eastAsia="en-US"/>
    </w:rPr>
  </w:style>
  <w:style w:type="paragraph" w:styleId="BodyText">
    <w:name w:val="Body Text"/>
    <w:basedOn w:val="Normal"/>
    <w:link w:val="BodyTextChar"/>
    <w:rsid w:val="00AF07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07FA"/>
    <w:rPr>
      <w:rFonts w:ascii="Times New Roman" w:eastAsia="Times New Roman" w:hAnsi="Times New Roman" w:cs="Times New Roman"/>
      <w:sz w:val="24"/>
      <w:lang w:eastAsia="en-US"/>
    </w:rPr>
  </w:style>
  <w:style w:type="paragraph" w:styleId="Footer">
    <w:name w:val="footer"/>
    <w:basedOn w:val="Normal"/>
    <w:link w:val="FooterChar"/>
    <w:rsid w:val="00AF0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7FA"/>
    <w:rPr>
      <w:rFonts w:ascii="Times New Roman" w:eastAsia="Times New Roman" w:hAnsi="Times New Roman" w:cs="Times New Roman"/>
      <w:sz w:val="16"/>
      <w:lang w:eastAsia="en-US"/>
    </w:rPr>
  </w:style>
  <w:style w:type="paragraph" w:styleId="ListBullet">
    <w:name w:val="List Bullet"/>
    <w:basedOn w:val="List"/>
    <w:rsid w:val="00AF07FA"/>
    <w:pPr>
      <w:numPr>
        <w:numId w:val="14"/>
      </w:numPr>
      <w:tabs>
        <w:tab w:val="clear" w:pos="340"/>
      </w:tabs>
      <w:spacing w:before="40" w:after="40"/>
    </w:pPr>
  </w:style>
  <w:style w:type="character" w:customStyle="1" w:styleId="SpecialBold">
    <w:name w:val="Special Bold"/>
    <w:basedOn w:val="DefaultParagraphFont"/>
    <w:rsid w:val="00AF07FA"/>
    <w:rPr>
      <w:b/>
      <w:spacing w:val="0"/>
    </w:rPr>
  </w:style>
  <w:style w:type="paragraph" w:styleId="ListBullet2">
    <w:name w:val="List Bullet 2"/>
    <w:basedOn w:val="List2"/>
    <w:rsid w:val="00AF07FA"/>
    <w:pPr>
      <w:numPr>
        <w:numId w:val="15"/>
      </w:numPr>
      <w:tabs>
        <w:tab w:val="clear" w:pos="680"/>
      </w:tabs>
    </w:pPr>
  </w:style>
  <w:style w:type="paragraph" w:customStyle="1" w:styleId="SuperHeading">
    <w:name w:val="SuperHeading"/>
    <w:basedOn w:val="Normal"/>
    <w:rsid w:val="00AF07FA"/>
    <w:pPr>
      <w:spacing w:before="240" w:after="120"/>
      <w:outlineLvl w:val="0"/>
    </w:pPr>
    <w:rPr>
      <w:rFonts w:ascii="Times New Roman" w:hAnsi="Times New Roman"/>
      <w:b/>
      <w:sz w:val="28"/>
    </w:rPr>
  </w:style>
  <w:style w:type="paragraph" w:customStyle="1" w:styleId="AllowPageBreak">
    <w:name w:val="AllowPageBreak"/>
    <w:rsid w:val="00AF07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07FA"/>
    <w:pPr>
      <w:numPr>
        <w:numId w:val="3"/>
      </w:numPr>
      <w:tabs>
        <w:tab w:val="clear" w:pos="1021"/>
      </w:tabs>
      <w:ind w:left="1037" w:hanging="357"/>
    </w:pPr>
  </w:style>
  <w:style w:type="character" w:customStyle="1" w:styleId="Heading2Char">
    <w:name w:val="Heading 2 Char"/>
    <w:basedOn w:val="DefaultParagraphFont"/>
    <w:link w:val="Heading2"/>
    <w:rsid w:val="00AF07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7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7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7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7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7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7FA"/>
    <w:rPr>
      <w:rFonts w:ascii="Courier New" w:eastAsia="Times New Roman" w:hAnsi="Courier New" w:cs="Times New Roman"/>
      <w:i/>
      <w:szCs w:val="20"/>
      <w:lang w:eastAsia="en-US"/>
    </w:rPr>
  </w:style>
  <w:style w:type="paragraph" w:customStyle="1" w:styleId="HeadingBase">
    <w:name w:val="Heading Base"/>
    <w:rsid w:val="00AF0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7FA"/>
    <w:pPr>
      <w:tabs>
        <w:tab w:val="right" w:leader="dot" w:pos="9072"/>
      </w:tabs>
      <w:ind w:left="567"/>
    </w:pPr>
    <w:rPr>
      <w:szCs w:val="22"/>
    </w:rPr>
  </w:style>
  <w:style w:type="paragraph" w:customStyle="1" w:styleId="TOCBase">
    <w:name w:val="TOC Base"/>
    <w:rsid w:val="00AF0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7FA"/>
    <w:pPr>
      <w:tabs>
        <w:tab w:val="right" w:leader="dot" w:pos="9072"/>
      </w:tabs>
      <w:spacing w:before="40" w:after="40"/>
      <w:ind w:left="284"/>
    </w:pPr>
    <w:rPr>
      <w:rFonts w:ascii="Times New Roman" w:hAnsi="Times New Roman"/>
    </w:rPr>
  </w:style>
  <w:style w:type="paragraph" w:styleId="TOC1">
    <w:name w:val="toc 1"/>
    <w:basedOn w:val="TOCBase"/>
    <w:next w:val="Normal"/>
    <w:rsid w:val="00AF07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07FA"/>
    <w:pPr>
      <w:spacing w:before="5040"/>
      <w:jc w:val="center"/>
    </w:pPr>
    <w:rPr>
      <w:sz w:val="48"/>
      <w:szCs w:val="72"/>
      <w:lang w:val="en-US"/>
    </w:rPr>
  </w:style>
  <w:style w:type="character" w:customStyle="1" w:styleId="TitleChar">
    <w:name w:val="Title Char"/>
    <w:basedOn w:val="DefaultParagraphFont"/>
    <w:link w:val="Title"/>
    <w:rsid w:val="00AF0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7FA"/>
    <w:pPr>
      <w:tabs>
        <w:tab w:val="left" w:pos="3600"/>
        <w:tab w:val="left" w:pos="3958"/>
      </w:tabs>
    </w:pPr>
  </w:style>
  <w:style w:type="paragraph" w:styleId="List">
    <w:name w:val="List"/>
    <w:basedOn w:val="BodyText"/>
    <w:next w:val="BodyText"/>
    <w:rsid w:val="00AF07FA"/>
    <w:pPr>
      <w:tabs>
        <w:tab w:val="left" w:pos="340"/>
      </w:tabs>
      <w:spacing w:before="60" w:after="60"/>
      <w:ind w:left="340" w:hanging="340"/>
    </w:pPr>
  </w:style>
  <w:style w:type="paragraph" w:customStyle="1" w:styleId="Note">
    <w:name w:val="Note"/>
    <w:basedOn w:val="BodyText"/>
    <w:rsid w:val="00AF0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7FA"/>
    <w:pPr>
      <w:framePr w:wrap="auto" w:hAnchor="text" w:y="6049"/>
    </w:pPr>
    <w:rPr>
      <w:color w:val="000000"/>
      <w:sz w:val="40"/>
    </w:rPr>
  </w:style>
  <w:style w:type="paragraph" w:customStyle="1" w:styleId="TOCTitle">
    <w:name w:val="TOCTitle"/>
    <w:basedOn w:val="Heading1"/>
    <w:rsid w:val="00AF07FA"/>
    <w:pPr>
      <w:spacing w:after="240"/>
      <w:jc w:val="center"/>
      <w:outlineLvl w:val="9"/>
    </w:pPr>
    <w:rPr>
      <w:caps/>
    </w:rPr>
  </w:style>
  <w:style w:type="paragraph" w:customStyle="1" w:styleId="Version">
    <w:name w:val="Version"/>
    <w:rsid w:val="00AF07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7FA"/>
    <w:pPr>
      <w:keepNext w:val="0"/>
      <w:tabs>
        <w:tab w:val="right" w:pos="4176"/>
      </w:tabs>
      <w:ind w:left="198" w:hanging="198"/>
    </w:pPr>
    <w:rPr>
      <w:rFonts w:ascii="Garamond" w:hAnsi="Garamond"/>
    </w:rPr>
  </w:style>
  <w:style w:type="paragraph" w:styleId="IndexHeading">
    <w:name w:val="index heading"/>
    <w:basedOn w:val="Normal"/>
    <w:next w:val="Index1"/>
    <w:semiHidden/>
    <w:rsid w:val="00AF07FA"/>
    <w:pPr>
      <w:spacing w:before="120" w:after="120"/>
    </w:pPr>
    <w:rPr>
      <w:rFonts w:ascii="Arial" w:hAnsi="Arial"/>
      <w:b/>
      <w:color w:val="918585"/>
      <w:sz w:val="24"/>
    </w:rPr>
  </w:style>
  <w:style w:type="paragraph" w:styleId="Header">
    <w:name w:val="header"/>
    <w:basedOn w:val="Normal"/>
    <w:link w:val="HeaderChar"/>
    <w:rsid w:val="00AF0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7FA"/>
    <w:rPr>
      <w:rFonts w:ascii="Times New Roman" w:eastAsia="Times New Roman" w:hAnsi="Times New Roman" w:cs="Times New Roman"/>
      <w:sz w:val="16"/>
      <w:szCs w:val="20"/>
      <w:lang w:val="en-GB" w:eastAsia="en-US"/>
    </w:rPr>
  </w:style>
  <w:style w:type="paragraph" w:customStyle="1" w:styleId="Chapter">
    <w:name w:val="Chapter"/>
    <w:basedOn w:val="Normal"/>
    <w:rsid w:val="00AF07FA"/>
    <w:pPr>
      <w:spacing w:before="240"/>
    </w:pPr>
    <w:rPr>
      <w:rFonts w:ascii="Times New Roman" w:hAnsi="Times New Roman"/>
      <w:smallCaps/>
      <w:spacing w:val="80"/>
      <w:sz w:val="28"/>
    </w:rPr>
  </w:style>
  <w:style w:type="paragraph" w:customStyle="1" w:styleId="InChapter">
    <w:name w:val="InChapter"/>
    <w:basedOn w:val="Heading3"/>
    <w:rsid w:val="00AF07FA"/>
    <w:pPr>
      <w:spacing w:after="240"/>
      <w:outlineLvl w:val="9"/>
    </w:pPr>
    <w:rPr>
      <w:noProof/>
    </w:rPr>
  </w:style>
  <w:style w:type="paragraph" w:styleId="Index2">
    <w:name w:val="index 2"/>
    <w:basedOn w:val="Normal"/>
    <w:next w:val="Normal"/>
    <w:semiHidden/>
    <w:rsid w:val="00AF07FA"/>
    <w:pPr>
      <w:tabs>
        <w:tab w:val="right" w:pos="4176"/>
      </w:tabs>
      <w:ind w:left="568" w:hanging="284"/>
    </w:pPr>
    <w:rPr>
      <w:rFonts w:ascii="Garamond" w:hAnsi="Garamond"/>
    </w:rPr>
  </w:style>
  <w:style w:type="paragraph" w:customStyle="1" w:styleId="Byline">
    <w:name w:val="Byline"/>
    <w:rsid w:val="00AF0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7FA"/>
    <w:pPr>
      <w:tabs>
        <w:tab w:val="clear" w:pos="3600"/>
        <w:tab w:val="clear" w:pos="3958"/>
      </w:tabs>
      <w:jc w:val="right"/>
    </w:pPr>
  </w:style>
  <w:style w:type="character" w:styleId="Emphasis">
    <w:name w:val="Emphasis"/>
    <w:basedOn w:val="DefaultParagraphFont"/>
    <w:qFormat/>
    <w:rsid w:val="00AF07FA"/>
    <w:rPr>
      <w:i/>
    </w:rPr>
  </w:style>
  <w:style w:type="paragraph" w:styleId="Caption">
    <w:name w:val="caption"/>
    <w:basedOn w:val="BodyText"/>
    <w:next w:val="Normal"/>
    <w:qFormat/>
    <w:rsid w:val="00AF07FA"/>
    <w:pPr>
      <w:framePr w:w="2268" w:hSpace="181" w:vSpace="181" w:wrap="around" w:vAnchor="text" w:hAnchor="page" w:x="1135" w:y="285" w:anchorLock="1"/>
    </w:pPr>
    <w:rPr>
      <w:i/>
    </w:rPr>
  </w:style>
  <w:style w:type="paragraph" w:customStyle="1" w:styleId="MiniTOCTitle">
    <w:name w:val="MiniTOCTitle"/>
    <w:basedOn w:val="Heading4"/>
    <w:rsid w:val="00AF07FA"/>
    <w:pPr>
      <w:spacing w:before="240"/>
      <w:outlineLvl w:val="9"/>
    </w:pPr>
    <w:rPr>
      <w:noProof/>
      <w:sz w:val="24"/>
    </w:rPr>
  </w:style>
  <w:style w:type="paragraph" w:customStyle="1" w:styleId="MiniTOCItem">
    <w:name w:val="MiniTOCItem"/>
    <w:basedOn w:val="ListBullet"/>
    <w:rsid w:val="00AF07FA"/>
    <w:pPr>
      <w:numPr>
        <w:numId w:val="0"/>
      </w:numPr>
      <w:tabs>
        <w:tab w:val="right" w:leader="dot" w:pos="6521"/>
      </w:tabs>
      <w:spacing w:before="0" w:after="0"/>
    </w:pPr>
  </w:style>
  <w:style w:type="paragraph" w:customStyle="1" w:styleId="TOFTitle">
    <w:name w:val="TOFTitle"/>
    <w:basedOn w:val="TOCTitle"/>
    <w:rsid w:val="00AF07FA"/>
  </w:style>
  <w:style w:type="paragraph" w:styleId="TableofFigures">
    <w:name w:val="table of figures"/>
    <w:basedOn w:val="Normal"/>
    <w:next w:val="Normal"/>
    <w:semiHidden/>
    <w:rsid w:val="00AF07FA"/>
    <w:pPr>
      <w:tabs>
        <w:tab w:val="right" w:leader="dot" w:pos="9072"/>
      </w:tabs>
      <w:ind w:left="970" w:hanging="403"/>
    </w:pPr>
    <w:rPr>
      <w:rFonts w:ascii="Times New Roman" w:hAnsi="Times New Roman"/>
      <w:b/>
    </w:rPr>
  </w:style>
  <w:style w:type="paragraph" w:styleId="ListNumber">
    <w:name w:val="List Number"/>
    <w:basedOn w:val="List"/>
    <w:rsid w:val="00AF07FA"/>
    <w:pPr>
      <w:numPr>
        <w:numId w:val="12"/>
      </w:numPr>
    </w:pPr>
  </w:style>
  <w:style w:type="character" w:customStyle="1" w:styleId="WingdingSymbols">
    <w:name w:val="Wingding Symbols"/>
    <w:rsid w:val="00AF07FA"/>
    <w:rPr>
      <w:rFonts w:ascii="Wingdings" w:hAnsi="Wingdings"/>
    </w:rPr>
  </w:style>
  <w:style w:type="paragraph" w:customStyle="1" w:styleId="TableHeading">
    <w:name w:val="Table Heading"/>
    <w:basedOn w:val="HeadingBase"/>
    <w:rsid w:val="00AF07FA"/>
    <w:pPr>
      <w:keepLines/>
      <w:pBdr>
        <w:bottom w:val="single" w:sz="6" w:space="1" w:color="918585"/>
      </w:pBdr>
      <w:spacing w:before="240"/>
    </w:pPr>
  </w:style>
  <w:style w:type="character" w:customStyle="1" w:styleId="HotSpot">
    <w:name w:val="HotSpot"/>
    <w:rsid w:val="00AF07FA"/>
    <w:rPr>
      <w:color w:val="0033CC"/>
      <w:u w:val="none"/>
    </w:rPr>
  </w:style>
  <w:style w:type="paragraph" w:customStyle="1" w:styleId="BodyTextRight">
    <w:name w:val="Body Text Right"/>
    <w:basedOn w:val="BodyText"/>
    <w:rsid w:val="00AF07FA"/>
    <w:pPr>
      <w:spacing w:before="0" w:after="0"/>
      <w:jc w:val="right"/>
    </w:pPr>
  </w:style>
  <w:style w:type="paragraph" w:styleId="Index3">
    <w:name w:val="index 3"/>
    <w:basedOn w:val="ListNumber2"/>
    <w:next w:val="Normal"/>
    <w:semiHidden/>
    <w:rsid w:val="00AF07FA"/>
    <w:pPr>
      <w:numPr>
        <w:numId w:val="0"/>
      </w:numPr>
      <w:tabs>
        <w:tab w:val="right" w:leader="dot" w:pos="4176"/>
      </w:tabs>
    </w:pPr>
  </w:style>
  <w:style w:type="paragraph" w:styleId="ListNumber2">
    <w:name w:val="List Number 2"/>
    <w:basedOn w:val="List2"/>
    <w:rsid w:val="00AF07FA"/>
    <w:pPr>
      <w:numPr>
        <w:numId w:val="11"/>
      </w:numPr>
      <w:tabs>
        <w:tab w:val="clear" w:pos="1060"/>
      </w:tabs>
    </w:pPr>
  </w:style>
  <w:style w:type="paragraph" w:customStyle="1" w:styleId="MarginNote">
    <w:name w:val="Margin Note"/>
    <w:basedOn w:val="BodyText"/>
    <w:rsid w:val="00AF0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7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7FA"/>
    <w:rPr>
      <w:sz w:val="32"/>
    </w:rPr>
  </w:style>
  <w:style w:type="paragraph" w:customStyle="1" w:styleId="HeadingProcedure">
    <w:name w:val="Heading Procedure"/>
    <w:basedOn w:val="HeadingBase"/>
    <w:next w:val="Normal"/>
    <w:rsid w:val="00AF07FA"/>
    <w:pPr>
      <w:tabs>
        <w:tab w:val="left" w:pos="0"/>
      </w:tabs>
      <w:spacing w:before="120" w:after="60"/>
    </w:pPr>
    <w:rPr>
      <w:i/>
      <w:color w:val="918585"/>
      <w:sz w:val="22"/>
    </w:rPr>
  </w:style>
  <w:style w:type="paragraph" w:customStyle="1" w:styleId="TableBodyText">
    <w:name w:val="Table Body Text"/>
    <w:basedOn w:val="BodyText"/>
    <w:rsid w:val="00AF07FA"/>
    <w:pPr>
      <w:spacing w:before="60" w:after="60"/>
    </w:pPr>
  </w:style>
  <w:style w:type="paragraph" w:styleId="ListContinue">
    <w:name w:val="List Continue"/>
    <w:basedOn w:val="List"/>
    <w:rsid w:val="00AF07FA"/>
    <w:pPr>
      <w:ind w:firstLine="0"/>
    </w:pPr>
  </w:style>
  <w:style w:type="paragraph" w:customStyle="1" w:styleId="ListNote">
    <w:name w:val="List Note"/>
    <w:basedOn w:val="List"/>
    <w:rsid w:val="00AF07FA"/>
    <w:pPr>
      <w:pBdr>
        <w:top w:val="single" w:sz="6" w:space="2" w:color="918585"/>
        <w:bottom w:val="single" w:sz="6" w:space="2" w:color="918585"/>
      </w:pBdr>
      <w:tabs>
        <w:tab w:val="left" w:pos="1021"/>
      </w:tabs>
      <w:ind w:firstLine="0"/>
    </w:pPr>
  </w:style>
  <w:style w:type="paragraph" w:customStyle="1" w:styleId="Warning">
    <w:name w:val="Warning"/>
    <w:basedOn w:val="BodyText"/>
    <w:rsid w:val="00AF07FA"/>
    <w:pPr>
      <w:shd w:val="clear" w:color="auto" w:fill="D9D9D9"/>
      <w:tabs>
        <w:tab w:val="left" w:pos="992"/>
      </w:tabs>
      <w:ind w:left="119" w:right="119"/>
    </w:pPr>
    <w:rPr>
      <w:sz w:val="20"/>
    </w:rPr>
  </w:style>
  <w:style w:type="paragraph" w:customStyle="1" w:styleId="MarginIcons">
    <w:name w:val="Margin Icons"/>
    <w:basedOn w:val="BodyText"/>
    <w:rsid w:val="00AF07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7FA"/>
    <w:rPr>
      <w:rFonts w:ascii="Courier New" w:hAnsi="Courier New"/>
    </w:rPr>
  </w:style>
  <w:style w:type="paragraph" w:customStyle="1" w:styleId="NoteBullet">
    <w:name w:val="Note Bullet"/>
    <w:basedOn w:val="Note"/>
    <w:rsid w:val="00AF07FA"/>
    <w:pPr>
      <w:tabs>
        <w:tab w:val="clear" w:pos="680"/>
      </w:tabs>
      <w:spacing w:before="60" w:after="60"/>
    </w:pPr>
  </w:style>
  <w:style w:type="paragraph" w:customStyle="1" w:styleId="SubHeading2">
    <w:name w:val="SubHeading2"/>
    <w:basedOn w:val="HeadingBase"/>
    <w:rsid w:val="00AF07FA"/>
    <w:pPr>
      <w:spacing w:before="240" w:after="60"/>
    </w:pPr>
    <w:rPr>
      <w:sz w:val="20"/>
    </w:rPr>
  </w:style>
  <w:style w:type="paragraph" w:customStyle="1" w:styleId="SubHeading1">
    <w:name w:val="SubHeading1"/>
    <w:basedOn w:val="HeadingBase"/>
    <w:rsid w:val="00AF07FA"/>
    <w:pPr>
      <w:spacing w:before="240" w:after="60"/>
    </w:pPr>
    <w:rPr>
      <w:color w:val="918585"/>
      <w:sz w:val="22"/>
    </w:rPr>
  </w:style>
  <w:style w:type="paragraph" w:customStyle="1" w:styleId="SideHeading">
    <w:name w:val="Side Heading"/>
    <w:basedOn w:val="HeadingBase"/>
    <w:rsid w:val="00AF0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7FA"/>
    <w:pPr>
      <w:numPr>
        <w:numId w:val="13"/>
      </w:numPr>
    </w:pPr>
  </w:style>
  <w:style w:type="paragraph" w:styleId="PlainText">
    <w:name w:val="Plain Text"/>
    <w:basedOn w:val="Normal"/>
    <w:link w:val="PlainTextChar"/>
    <w:rsid w:val="00AF07FA"/>
    <w:rPr>
      <w:sz w:val="20"/>
    </w:rPr>
  </w:style>
  <w:style w:type="character" w:customStyle="1" w:styleId="PlainTextChar">
    <w:name w:val="Plain Text Char"/>
    <w:basedOn w:val="DefaultParagraphFont"/>
    <w:link w:val="PlainText"/>
    <w:rsid w:val="00AF07FA"/>
    <w:rPr>
      <w:rFonts w:ascii="Courier New" w:eastAsia="Times New Roman" w:hAnsi="Courier New" w:cs="Times New Roman"/>
      <w:sz w:val="20"/>
      <w:szCs w:val="20"/>
      <w:lang w:eastAsia="en-US"/>
    </w:rPr>
  </w:style>
  <w:style w:type="character" w:customStyle="1" w:styleId="MenuOption">
    <w:name w:val="Menu Option"/>
    <w:basedOn w:val="DefaultParagraphFont"/>
    <w:rsid w:val="00AF07FA"/>
    <w:rPr>
      <w:b/>
      <w:smallCaps/>
    </w:rPr>
  </w:style>
  <w:style w:type="paragraph" w:customStyle="1" w:styleId="TableListNumber">
    <w:name w:val="Table List Number"/>
    <w:basedOn w:val="ListNumber"/>
    <w:rsid w:val="00AF07FA"/>
    <w:pPr>
      <w:numPr>
        <w:numId w:val="0"/>
      </w:numPr>
    </w:pPr>
  </w:style>
  <w:style w:type="paragraph" w:styleId="TOC4">
    <w:name w:val="toc 4"/>
    <w:basedOn w:val="TOCBase"/>
    <w:next w:val="Normal"/>
    <w:semiHidden/>
    <w:rsid w:val="00AF07FA"/>
    <w:pPr>
      <w:tabs>
        <w:tab w:val="right" w:leader="dot" w:pos="9071"/>
      </w:tabs>
      <w:ind w:left="1701"/>
    </w:pPr>
  </w:style>
  <w:style w:type="paragraph" w:customStyle="1" w:styleId="ListAlpha">
    <w:name w:val="List Alpha"/>
    <w:basedOn w:val="List"/>
    <w:rsid w:val="00AF07FA"/>
    <w:pPr>
      <w:numPr>
        <w:numId w:val="10"/>
      </w:numPr>
    </w:pPr>
  </w:style>
  <w:style w:type="paragraph" w:customStyle="1" w:styleId="ListAlpha2">
    <w:name w:val="List Alpha 2"/>
    <w:basedOn w:val="List2"/>
    <w:rsid w:val="00AF07FA"/>
    <w:pPr>
      <w:numPr>
        <w:numId w:val="9"/>
      </w:numPr>
    </w:pPr>
  </w:style>
  <w:style w:type="paragraph" w:styleId="List2">
    <w:name w:val="List 2"/>
    <w:basedOn w:val="BodyText"/>
    <w:rsid w:val="00AF07FA"/>
    <w:pPr>
      <w:tabs>
        <w:tab w:val="left" w:pos="680"/>
      </w:tabs>
      <w:spacing w:before="60" w:after="60"/>
      <w:ind w:left="680" w:hanging="340"/>
    </w:pPr>
  </w:style>
  <w:style w:type="paragraph" w:styleId="List3">
    <w:name w:val="List 3"/>
    <w:basedOn w:val="BodyText"/>
    <w:rsid w:val="00AF07FA"/>
    <w:pPr>
      <w:tabs>
        <w:tab w:val="left" w:pos="1021"/>
      </w:tabs>
      <w:spacing w:before="60" w:after="60"/>
      <w:ind w:left="1020" w:hanging="340"/>
    </w:pPr>
  </w:style>
  <w:style w:type="paragraph" w:styleId="List4">
    <w:name w:val="List 4"/>
    <w:basedOn w:val="BodyText"/>
    <w:rsid w:val="00AF07FA"/>
    <w:pPr>
      <w:tabs>
        <w:tab w:val="left" w:pos="1361"/>
      </w:tabs>
      <w:spacing w:before="60" w:after="60"/>
      <w:ind w:left="1361" w:hanging="340"/>
    </w:pPr>
  </w:style>
  <w:style w:type="paragraph" w:styleId="List5">
    <w:name w:val="List 5"/>
    <w:basedOn w:val="BodyText"/>
    <w:rsid w:val="00AF07FA"/>
    <w:pPr>
      <w:tabs>
        <w:tab w:val="left" w:pos="1701"/>
      </w:tabs>
      <w:spacing w:before="60" w:after="60"/>
      <w:ind w:left="1701" w:hanging="340"/>
    </w:pPr>
  </w:style>
  <w:style w:type="paragraph" w:styleId="ListBullet4">
    <w:name w:val="List Bullet 4"/>
    <w:basedOn w:val="List4"/>
    <w:rsid w:val="00AF07FA"/>
    <w:pPr>
      <w:numPr>
        <w:numId w:val="4"/>
      </w:numPr>
    </w:pPr>
  </w:style>
  <w:style w:type="paragraph" w:styleId="ListBullet5">
    <w:name w:val="List Bullet 5"/>
    <w:basedOn w:val="List5"/>
    <w:rsid w:val="00AF07FA"/>
    <w:pPr>
      <w:numPr>
        <w:numId w:val="5"/>
      </w:numPr>
    </w:pPr>
  </w:style>
  <w:style w:type="paragraph" w:styleId="ListContinue2">
    <w:name w:val="List Continue 2"/>
    <w:basedOn w:val="List2"/>
    <w:rsid w:val="00AF07FA"/>
    <w:pPr>
      <w:ind w:firstLine="0"/>
    </w:pPr>
  </w:style>
  <w:style w:type="paragraph" w:styleId="ListContinue3">
    <w:name w:val="List Continue 3"/>
    <w:basedOn w:val="List3"/>
    <w:rsid w:val="00AF07FA"/>
    <w:pPr>
      <w:ind w:left="1021" w:firstLine="0"/>
    </w:pPr>
  </w:style>
  <w:style w:type="paragraph" w:styleId="ListContinue4">
    <w:name w:val="List Continue 4"/>
    <w:basedOn w:val="List4"/>
    <w:rsid w:val="00AF07FA"/>
    <w:pPr>
      <w:ind w:firstLine="0"/>
    </w:pPr>
  </w:style>
  <w:style w:type="paragraph" w:styleId="ListContinue5">
    <w:name w:val="List Continue 5"/>
    <w:basedOn w:val="List5"/>
    <w:rsid w:val="00AF07FA"/>
    <w:pPr>
      <w:ind w:firstLine="0"/>
    </w:pPr>
  </w:style>
  <w:style w:type="paragraph" w:styleId="ListNumber3">
    <w:name w:val="List Number 3"/>
    <w:basedOn w:val="List3"/>
    <w:rsid w:val="00AF07FA"/>
    <w:pPr>
      <w:numPr>
        <w:numId w:val="6"/>
      </w:numPr>
    </w:pPr>
  </w:style>
  <w:style w:type="paragraph" w:styleId="ListNumber4">
    <w:name w:val="List Number 4"/>
    <w:basedOn w:val="List4"/>
    <w:rsid w:val="00AF07FA"/>
    <w:pPr>
      <w:numPr>
        <w:numId w:val="7"/>
      </w:numPr>
    </w:pPr>
  </w:style>
  <w:style w:type="paragraph" w:styleId="ListNumber5">
    <w:name w:val="List Number 5"/>
    <w:basedOn w:val="List5"/>
    <w:rsid w:val="00AF07FA"/>
    <w:pPr>
      <w:numPr>
        <w:numId w:val="8"/>
      </w:numPr>
    </w:pPr>
  </w:style>
  <w:style w:type="paragraph" w:styleId="BlockText">
    <w:name w:val="Block Text"/>
    <w:basedOn w:val="Normal"/>
    <w:rsid w:val="00AF07FA"/>
    <w:pPr>
      <w:spacing w:after="120"/>
      <w:ind w:left="1440" w:right="1440"/>
    </w:pPr>
  </w:style>
  <w:style w:type="character" w:customStyle="1" w:styleId="Subscript">
    <w:name w:val="Subscript"/>
    <w:basedOn w:val="DefaultParagraphFont"/>
    <w:rsid w:val="00AF07FA"/>
    <w:rPr>
      <w:sz w:val="16"/>
      <w:vertAlign w:val="subscript"/>
    </w:rPr>
  </w:style>
  <w:style w:type="character" w:customStyle="1" w:styleId="Superscript">
    <w:name w:val="Superscript"/>
    <w:basedOn w:val="DefaultParagraphFont"/>
    <w:rsid w:val="00AF07FA"/>
    <w:rPr>
      <w:sz w:val="16"/>
      <w:vertAlign w:val="superscript"/>
    </w:rPr>
  </w:style>
  <w:style w:type="character" w:customStyle="1" w:styleId="Symbols">
    <w:name w:val="Symbols"/>
    <w:basedOn w:val="DefaultParagraphFont"/>
    <w:rsid w:val="00AF07FA"/>
    <w:rPr>
      <w:rFonts w:ascii="Symbol" w:hAnsi="Symbol"/>
    </w:rPr>
  </w:style>
  <w:style w:type="character" w:customStyle="1" w:styleId="MenuOptions">
    <w:name w:val="Menu Options"/>
    <w:basedOn w:val="DefaultParagraphFont"/>
    <w:rsid w:val="00AF07FA"/>
    <w:rPr>
      <w:rFonts w:ascii="Arial Narrow" w:hAnsi="Arial Narrow"/>
      <w:smallCaps/>
    </w:rPr>
  </w:style>
  <w:style w:type="character" w:customStyle="1" w:styleId="Buttons">
    <w:name w:val="Buttons"/>
    <w:basedOn w:val="DefaultParagraphFont"/>
    <w:rsid w:val="00AF07FA"/>
    <w:rPr>
      <w:b/>
    </w:rPr>
  </w:style>
  <w:style w:type="character" w:customStyle="1" w:styleId="Underlined">
    <w:name w:val="Underlined"/>
    <w:basedOn w:val="DefaultParagraphFont"/>
    <w:rsid w:val="00AF07FA"/>
    <w:rPr>
      <w:u w:val="single"/>
    </w:rPr>
  </w:style>
  <w:style w:type="paragraph" w:customStyle="1" w:styleId="TableBodyTextRight">
    <w:name w:val="Table Body Text Right"/>
    <w:basedOn w:val="TableBodyText"/>
    <w:rsid w:val="00AF07FA"/>
    <w:pPr>
      <w:widowControl w:val="0"/>
      <w:autoSpaceDE w:val="0"/>
      <w:autoSpaceDN w:val="0"/>
      <w:adjustRightInd w:val="0"/>
      <w:jc w:val="right"/>
    </w:pPr>
    <w:rPr>
      <w:rFonts w:cs="Arial"/>
      <w:szCs w:val="18"/>
    </w:rPr>
  </w:style>
  <w:style w:type="paragraph" w:customStyle="1" w:styleId="CopyrightText">
    <w:name w:val="Copyright Text"/>
    <w:basedOn w:val="BodyText"/>
    <w:rsid w:val="00AF07FA"/>
    <w:rPr>
      <w:sz w:val="18"/>
    </w:rPr>
  </w:style>
  <w:style w:type="paragraph" w:customStyle="1" w:styleId="BodySmallRight">
    <w:name w:val="Body Small Right"/>
    <w:basedOn w:val="BodyTextRight"/>
    <w:rsid w:val="00AF07FA"/>
    <w:rPr>
      <w:sz w:val="18"/>
      <w:szCs w:val="18"/>
    </w:rPr>
  </w:style>
  <w:style w:type="paragraph" w:customStyle="1" w:styleId="MarginEdition">
    <w:name w:val="Margin Edition"/>
    <w:basedOn w:val="MarginNote"/>
    <w:rsid w:val="00AF07FA"/>
    <w:pPr>
      <w:spacing w:before="0" w:after="0"/>
    </w:pPr>
    <w:rPr>
      <w:rFonts w:ascii="Times New Roman" w:hAnsi="Times New Roman"/>
      <w:color w:val="999999"/>
    </w:rPr>
  </w:style>
  <w:style w:type="paragraph" w:customStyle="1" w:styleId="Spacer">
    <w:name w:val="Spacer"/>
    <w:basedOn w:val="Normal"/>
    <w:rsid w:val="00AF07FA"/>
    <w:rPr>
      <w:sz w:val="2"/>
      <w:szCs w:val="2"/>
    </w:rPr>
  </w:style>
  <w:style w:type="character" w:customStyle="1" w:styleId="Small">
    <w:name w:val="Small"/>
    <w:basedOn w:val="DefaultParagraphFont"/>
    <w:rsid w:val="00AF07FA"/>
    <w:rPr>
      <w:sz w:val="16"/>
    </w:rPr>
  </w:style>
  <w:style w:type="paragraph" w:customStyle="1" w:styleId="WideTable">
    <w:name w:val="Wide Table"/>
    <w:basedOn w:val="Normal"/>
    <w:rsid w:val="00AF07FA"/>
    <w:pPr>
      <w:ind w:left="-1418"/>
    </w:pPr>
    <w:rPr>
      <w:sz w:val="2"/>
      <w:szCs w:val="2"/>
    </w:rPr>
  </w:style>
  <w:style w:type="character" w:styleId="PageNumber">
    <w:name w:val="page number"/>
    <w:basedOn w:val="DefaultParagraphFont"/>
    <w:rsid w:val="00AF07FA"/>
  </w:style>
  <w:style w:type="paragraph" w:styleId="Quote">
    <w:name w:val="Quote"/>
    <w:basedOn w:val="Heading1"/>
    <w:link w:val="QuoteChar"/>
    <w:qFormat/>
    <w:rsid w:val="00AF07FA"/>
    <w:rPr>
      <w:b w:val="0"/>
      <w:sz w:val="72"/>
      <w:szCs w:val="72"/>
      <w:lang w:val="en-NZ"/>
    </w:rPr>
  </w:style>
  <w:style w:type="character" w:customStyle="1" w:styleId="QuoteChar">
    <w:name w:val="Quote Char"/>
    <w:basedOn w:val="DefaultParagraphFont"/>
    <w:link w:val="Quote"/>
    <w:rsid w:val="00AF0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7FA"/>
    <w:pPr>
      <w:pageBreakBefore/>
    </w:pPr>
  </w:style>
  <w:style w:type="paragraph" w:customStyle="1" w:styleId="Border">
    <w:name w:val="Border"/>
    <w:basedOn w:val="Normal"/>
    <w:qFormat/>
    <w:rsid w:val="00AF07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7FA"/>
    <w:rPr>
      <w:b/>
      <w:bCs/>
      <w:i/>
      <w:iCs/>
      <w:color w:val="auto"/>
    </w:rPr>
  </w:style>
  <w:style w:type="paragraph" w:styleId="IntenseQuote">
    <w:name w:val="Intense Quote"/>
    <w:basedOn w:val="Normal"/>
    <w:next w:val="Normal"/>
    <w:link w:val="IntenseQuoteChar"/>
    <w:uiPriority w:val="30"/>
    <w:qFormat/>
    <w:rsid w:val="00AF07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7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7FA"/>
    <w:rPr>
      <w:smallCaps/>
      <w:color w:val="auto"/>
      <w:u w:val="single"/>
    </w:rPr>
  </w:style>
  <w:style w:type="character" w:styleId="IntenseReference">
    <w:name w:val="Intense Reference"/>
    <w:basedOn w:val="DefaultParagraphFont"/>
    <w:uiPriority w:val="32"/>
    <w:qFormat/>
    <w:rsid w:val="00AF07FA"/>
    <w:rPr>
      <w:b/>
      <w:bCs/>
      <w:smallCaps/>
      <w:color w:val="auto"/>
      <w:spacing w:val="5"/>
      <w:u w:val="single"/>
    </w:rPr>
  </w:style>
  <w:style w:type="paragraph" w:customStyle="1" w:styleId="2ColumnHeading">
    <w:name w:val="2Column Heading"/>
    <w:basedOn w:val="BodyText"/>
    <w:qFormat/>
    <w:rsid w:val="00AF07FA"/>
    <w:pPr>
      <w:spacing w:after="60"/>
      <w:ind w:left="-2268"/>
    </w:pPr>
    <w:rPr>
      <w:b/>
    </w:rPr>
  </w:style>
  <w:style w:type="paragraph" w:customStyle="1" w:styleId="Heading1TOC">
    <w:name w:val="Heading1 TOC"/>
    <w:basedOn w:val="Normal"/>
    <w:qFormat/>
    <w:rsid w:val="00AF07FA"/>
    <w:pPr>
      <w:spacing w:before="240" w:after="120"/>
    </w:pPr>
    <w:rPr>
      <w:rFonts w:ascii="Times New Roman" w:hAnsi="Times New Roman"/>
      <w:b/>
      <w:sz w:val="32"/>
    </w:rPr>
  </w:style>
  <w:style w:type="paragraph" w:customStyle="1" w:styleId="Heading2TOC">
    <w:name w:val="Heading2 TOC"/>
    <w:basedOn w:val="Normal"/>
    <w:qFormat/>
    <w:rsid w:val="00AF07FA"/>
    <w:pPr>
      <w:spacing w:before="240" w:after="60"/>
    </w:pPr>
    <w:rPr>
      <w:rFonts w:ascii="Times New Roman" w:hAnsi="Times New Roman"/>
      <w:b/>
      <w:sz w:val="28"/>
    </w:rPr>
  </w:style>
  <w:style w:type="character" w:customStyle="1" w:styleId="Underline">
    <w:name w:val="Underline"/>
    <w:basedOn w:val="DefaultParagraphFont"/>
    <w:qFormat/>
    <w:rsid w:val="00AF07FA"/>
    <w:rPr>
      <w:u w:val="single"/>
    </w:rPr>
  </w:style>
  <w:style w:type="character" w:customStyle="1" w:styleId="BoldandItalics">
    <w:name w:val="Bold and Italics"/>
    <w:qFormat/>
    <w:rsid w:val="00AF07FA"/>
    <w:rPr>
      <w:b/>
      <w:i/>
      <w:u w:val="none"/>
    </w:rPr>
  </w:style>
  <w:style w:type="paragraph" w:styleId="BalloonText">
    <w:name w:val="Balloon Text"/>
    <w:basedOn w:val="Normal"/>
    <w:link w:val="BalloonTextChar"/>
    <w:rsid w:val="00AF07FA"/>
    <w:rPr>
      <w:rFonts w:ascii="Tahoma" w:hAnsi="Tahoma" w:cs="Tahoma"/>
      <w:sz w:val="16"/>
      <w:szCs w:val="16"/>
    </w:rPr>
  </w:style>
  <w:style w:type="character" w:customStyle="1" w:styleId="BalloonTextChar">
    <w:name w:val="Balloon Text Char"/>
    <w:basedOn w:val="DefaultParagraphFont"/>
    <w:link w:val="BalloonText"/>
    <w:rsid w:val="00AF07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7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07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7FA"/>
    <w:rPr>
      <w:b/>
      <w:color w:val="660033"/>
      <w:spacing w:val="0"/>
    </w:rPr>
  </w:style>
  <w:style w:type="paragraph" w:customStyle="1" w:styleId="Nameditemlist">
    <w:name w:val="Named item list"/>
    <w:basedOn w:val="BodyText"/>
    <w:qFormat/>
    <w:rsid w:val="00AF07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2067</Words>
  <Characters>12178</Characters>
  <Application>Microsoft Office Word</Application>
  <DocSecurity>0</DocSecurity>
  <Lines>443</Lines>
  <Paragraphs>179</Paragraphs>
  <ScaleCrop>false</ScaleCrop>
  <Company>Author-it Software Corporation Ltd.</Company>
  <LinksUpToDate>false</LinksUpToDate>
  <CharactersWithSpaces>14122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UEENEEE149A Contribute to the operation of support plant and equipment used in electricity supply industry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2012-10-11T18:21:00Z</dcterms:created>
  <dcterms:modified xsi:type="dcterms:W3CDTF">2012-10-11T18:21:00Z</dcterms:modified>
</cp:coreProperties>
</file>