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24B" w:rsidP="0008324B">
      <w:pPr>
        <w:pStyle w:val="Title"/>
      </w:pPr>
      <w:r>
        <w:fldChar w:fldCharType="begin"/>
      </w:r>
      <w:r>
        <w:instrText xml:space="preserve"> TITLE   \* MERGEFORMAT </w:instrText>
      </w:r>
      <w:r>
        <w:fldChar w:fldCharType="separate"/>
      </w:r>
      <w:r>
        <w:t>UEENEEE148A Carry out routine work activities in an energy sector environment</w:t>
      </w:r>
      <w:r>
        <w:fldChar w:fldCharType="end"/>
      </w:r>
    </w:p>
    <w:p w:rsidR="0008324B" w:rsidP="0008324B">
      <w:pPr>
        <w:pStyle w:val="Version"/>
        <w:sectPr w:rsidSect="002A49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495F" w:rsidP="002A495F">
      <w:pPr>
        <w:pStyle w:val="SuperHeading"/>
      </w:pPr>
      <w:r w:rsidRPr="002A495F">
        <w:t>UEENEEE148A Carry out routine work activities in an energy sector environment</w:t>
      </w:r>
    </w:p>
    <w:p w:rsidR="00000000" w:rsidRPr="002A495F" w:rsidP="002A495F">
      <w:pPr>
        <w:pStyle w:val="Heading1"/>
      </w:pPr>
      <w:bookmarkStart w:id="1" w:name="O_527817"/>
      <w:bookmarkEnd w:id="1"/>
      <w:r w:rsidRPr="002A495F">
        <w:t>Modification History</w:t>
      </w:r>
    </w:p>
    <w:p w:rsidR="00000000" w:rsidRPr="002A495F" w:rsidP="002A495F">
      <w:pPr>
        <w:pStyle w:val="BodyText"/>
      </w:pPr>
      <w:r w:rsidRPr="002A495F">
        <w:t>Not applicable.</w:t>
      </w:r>
    </w:p>
    <w:p w:rsidR="00000000" w:rsidRPr="002A495F" w:rsidP="002A495F">
      <w:pPr>
        <w:pStyle w:val="AllowPageBreak"/>
      </w:pPr>
    </w:p>
    <w:p w:rsidR="00000000" w:rsidRPr="002A495F" w:rsidP="002A495F">
      <w:pPr>
        <w:pStyle w:val="Heading1"/>
      </w:pPr>
      <w:bookmarkStart w:id="2" w:name="O_527816"/>
      <w:bookmarkEnd w:id="2"/>
      <w:r w:rsidRPr="002A495F">
        <w:t>Unit Descriptor</w:t>
      </w:r>
    </w:p>
    <w:tbl>
      <w:tblPr>
        <w:tblW w:w="0" w:type="auto"/>
        <w:tblLayout w:type="fixed"/>
        <w:tblCellMar>
          <w:left w:w="62" w:type="dxa"/>
          <w:right w:w="62" w:type="dxa"/>
        </w:tblCellMar>
        <w:tblLook w:val="0000"/>
      </w:tblPr>
      <w:tblGrid>
        <w:gridCol w:w="2700"/>
        <w:gridCol w:w="5760"/>
      </w:tblGrid>
      <w:tr w:rsidTr="00083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1)</w:t>
            </w:r>
            <w:r w:rsidRPr="002A495F">
              <w:t xml:space="preserve"> </w:t>
            </w:r>
            <w:r w:rsidRPr="002A495F">
              <w:rPr>
                <w:rStyle w:val="SpecialBold"/>
              </w:rPr>
              <w:t>Scope:</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495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1.1) Descriptor</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This unit covers undertake scheduled routine work activities in the energy sector in an agreed time, to a quality standard and with a minimum of waste It encompasses working safely, applying knowledge of carrying out routine work activities in electrotechn</w:t>
            </w:r>
            <w:r w:rsidRPr="002A495F">
              <w:t>ology environments.</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3" w:name="O_527815"/>
      <w:bookmarkEnd w:id="3"/>
      <w:r w:rsidRPr="002A495F">
        <w:t>Application of the Unit</w:t>
      </w:r>
    </w:p>
    <w:tbl>
      <w:tblPr>
        <w:tblW w:w="0" w:type="auto"/>
        <w:tblLayout w:type="fixed"/>
        <w:tblCellMar>
          <w:left w:w="62" w:type="dxa"/>
          <w:right w:w="62" w:type="dxa"/>
        </w:tblCellMar>
        <w:tblLook w:val="0000"/>
      </w:tblPr>
      <w:tblGrid>
        <w:gridCol w:w="2672"/>
        <w:gridCol w:w="5699"/>
      </w:tblGrid>
      <w:tr w:rsidTr="000832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2)</w:t>
            </w:r>
          </w:p>
        </w:tc>
      </w:tr>
      <w:tr w:rsidTr="0008324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 xml:space="preserve">This competency standard is suitable for employment-based programs under an approved contract of training at the AQF level of the qualification </w:t>
            </w:r>
            <w:r w:rsidRPr="002A495F">
              <w:t>in which the unit is first packaged or higher.</w:t>
            </w:r>
          </w:p>
          <w:p w:rsidR="00000000" w:rsidRPr="002A495F" w:rsidP="002A495F">
            <w:pPr>
              <w:pStyle w:val="BodyText"/>
            </w:pPr>
          </w:p>
          <w:p w:rsidR="00000000" w:rsidRPr="002A495F" w:rsidP="002A495F">
            <w:pPr>
              <w:pStyle w:val="BodyText"/>
            </w:pPr>
            <w:r w:rsidRPr="002A495F">
              <w:t>The unit may be selected as an elective from the relevant schedule (see qualification packaging rules) provided that all prerequisite units are undertaken or addressed through recognition processes.</w:t>
            </w:r>
          </w:p>
          <w:p w:rsidR="00000000" w:rsidRPr="002A495F" w:rsidP="002A495F">
            <w:pPr>
              <w:pStyle w:val="BodyText"/>
            </w:pPr>
          </w:p>
          <w:p w:rsidR="00000000" w:rsidRPr="002A495F" w:rsidP="002A495F">
            <w:pPr>
              <w:pStyle w:val="BodyText"/>
            </w:pPr>
            <w:r w:rsidRPr="002A495F">
              <w:t>This uni</w:t>
            </w:r>
            <w:r w:rsidRPr="002A495F">
              <w:t>t may be included in a skill set provided that it is listed in the schedule of electives (see Qualification Framework) and all prerequisite units are undertaken or addressed through recognition processes.</w:t>
            </w:r>
          </w:p>
          <w:p w:rsidR="00000000" w:rsidRPr="002A495F" w:rsidP="002A495F">
            <w:pPr>
              <w:pStyle w:val="BodyText"/>
            </w:pPr>
          </w:p>
          <w:p w:rsidR="00000000" w:rsidRPr="002A495F" w:rsidP="002A495F">
            <w:pPr>
              <w:pStyle w:val="BodyText"/>
            </w:pPr>
            <w:r w:rsidRPr="002A495F">
              <w:t>Delivery and assessment of this unit should be und</w:t>
            </w:r>
            <w:r w:rsidRPr="002A495F">
              <w:t xml:space="preserve">ertaken within regard to the requirements of License </w:t>
            </w:r>
            <w:r w:rsidRPr="002A495F">
              <w:t>to Practice (1.2 above), Prerequisite Competencies and Literacy and Numeracy skills (2 above) and the  recommendations for concurrent assessment and relationship with other units (9.5 below).</w:t>
            </w:r>
          </w:p>
          <w:p w:rsidR="00000000" w:rsidRPr="002A495F" w:rsidP="002A495F">
            <w:pPr>
              <w:pStyle w:val="BodyText"/>
            </w:pPr>
          </w:p>
          <w:p w:rsidR="00000000" w:rsidRPr="002A495F" w:rsidP="002A495F">
            <w:pPr>
              <w:pStyle w:val="BodyText"/>
            </w:pPr>
            <w:r w:rsidRPr="002A495F">
              <w:t>Practice i</w:t>
            </w:r>
            <w:r w:rsidRPr="002A495F">
              <w:t>n the workplace and during training is also subject to regulations directly related to occupational health and safety and where applicable contracts of training such as apprenticeships.</w:t>
            </w:r>
          </w:p>
          <w:p w:rsidR="00000000" w:rsidRPr="002A495F" w:rsidP="002A495F">
            <w:pPr>
              <w:pStyle w:val="BodyText"/>
            </w:pPr>
            <w:r w:rsidRPr="002A495F">
              <w:t xml:space="preserve">Note: </w:t>
            </w:r>
          </w:p>
          <w:p w:rsidR="00000000" w:rsidRPr="002A495F" w:rsidP="002A495F">
            <w:pPr>
              <w:pStyle w:val="BodyText"/>
            </w:pPr>
            <w:r w:rsidRPr="002A495F">
              <w:t>1. Compliance with permits may be required in various jurisdict</w:t>
            </w:r>
            <w:r w:rsidRPr="002A495F">
              <w:t>ions and typically relates to the operation of plant, machinery and equipment such as elevating work platforms, powder operated fixing tools, power operated tools, vehicles, road signage and traffic control and lifting equipment. Permits may also be requir</w:t>
            </w:r>
            <w:r w:rsidRPr="002A495F">
              <w:t>ed for some work environments such as confined spaces, working aloft, near live electrical apparatus and site rehabilitation.</w:t>
            </w:r>
          </w:p>
          <w:p w:rsidR="00000000" w:rsidRPr="002A495F" w:rsidP="002A495F">
            <w:pPr>
              <w:pStyle w:val="BodyText"/>
            </w:pPr>
            <w:r w:rsidRPr="002A495F">
              <w:t>2. Compliance may be required in various jurisdictions relating to currency in First Aid, confined space, lifting, risk safety mea</w:t>
            </w:r>
            <w:r w:rsidRPr="002A495F">
              <w:t>sures etc.</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4" w:name="O_527814"/>
      <w:bookmarkEnd w:id="4"/>
      <w:r w:rsidRPr="002A495F">
        <w:t>Licensing/Regulatory Information</w:t>
      </w:r>
    </w:p>
    <w:tbl>
      <w:tblPr>
        <w:tblW w:w="0" w:type="auto"/>
        <w:tblLayout w:type="fixed"/>
        <w:tblCellMar>
          <w:left w:w="62" w:type="dxa"/>
          <w:right w:w="62" w:type="dxa"/>
        </w:tblCellMar>
        <w:tblLook w:val="0000"/>
      </w:tblPr>
      <w:tblGrid>
        <w:gridCol w:w="2700"/>
        <w:gridCol w:w="5760"/>
      </w:tblGrid>
      <w:tr w:rsidTr="00083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 xml:space="preserve">3) </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 xml:space="preserve">The skills and knowledge described in this unit do not require a license to practice in the workplace. However practice in this unit is subject </w:t>
            </w:r>
            <w:r w:rsidRPr="002A495F">
              <w:t>to regulations directly related to occupational health and safe and contracts of training such as new apprenticeships.</w:t>
            </w:r>
          </w:p>
          <w:p w:rsidR="00000000" w:rsidRPr="002A495F" w:rsidP="002A495F">
            <w:pPr>
              <w:pStyle w:val="BodyText"/>
            </w:pPr>
            <w:r w:rsidRPr="002A495F">
              <w:t xml:space="preserve">Note: </w:t>
            </w:r>
          </w:p>
          <w:p w:rsidR="00000000" w:rsidRPr="002A495F" w:rsidP="002A495F">
            <w:pPr>
              <w:pStyle w:val="BodyText"/>
            </w:pPr>
            <w:r w:rsidRPr="002A495F">
              <w:t>1. Compliance with permits may be required in various jurisdictions and typically relates to the operation of plant, machinery and</w:t>
            </w:r>
            <w:r w:rsidRPr="002A495F">
              <w:t xml:space="preserve"> equipment such as elevating work platforms, powder operated fixing tools, and power operated tools, vehicles, road signage and traffic control, lifting equipment. Permits may also be required for some work environments such as confined spaces, working alo</w:t>
            </w:r>
            <w:r w:rsidRPr="002A495F">
              <w:t>ft, near live electrical apparatus and site rehabilitation.</w:t>
            </w:r>
          </w:p>
          <w:p w:rsidR="00000000" w:rsidRPr="002A495F" w:rsidP="002A495F">
            <w:pPr>
              <w:pStyle w:val="BodyText"/>
            </w:pPr>
            <w:r w:rsidRPr="002A495F">
              <w:t xml:space="preserve">2. Compliance may be required in various jurisdictions relating to currency in First Aid, confined space, lifting </w:t>
            </w:r>
            <w:r w:rsidRPr="002A495F">
              <w:t>and risk safety measures.</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5" w:name="O_527813"/>
      <w:bookmarkEnd w:id="5"/>
      <w:r w:rsidRPr="002A495F">
        <w:t>Pre-Requisites</w:t>
      </w:r>
    </w:p>
    <w:tbl>
      <w:tblPr>
        <w:tblW w:w="0" w:type="auto"/>
        <w:tblLayout w:type="fixed"/>
        <w:tblCellMar>
          <w:left w:w="62" w:type="dxa"/>
          <w:right w:w="62" w:type="dxa"/>
        </w:tblCellMar>
        <w:tblLook w:val="0000"/>
      </w:tblPr>
      <w:tblGrid>
        <w:gridCol w:w="2700"/>
        <w:gridCol w:w="1440"/>
        <w:gridCol w:w="4320"/>
      </w:tblGrid>
      <w:tr w:rsidTr="00083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4</w:t>
            </w:r>
            <w:r w:rsidRPr="002A495F">
              <w:rPr>
                <w:rStyle w:val="SpecialBold"/>
              </w:rPr>
              <w:t xml:space="preserve">) </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4.1)</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Granting competency in this unit shall be made only after competency in the following unit(s) has/have been confirmed.</w:t>
            </w:r>
          </w:p>
        </w:tc>
      </w:tr>
      <w:tr w:rsidTr="0008324B">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UEENEEE101A</w:t>
            </w:r>
          </w:p>
        </w:tc>
        <w:tc>
          <w:tcPr>
            <w:tcW w:w="432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Apply Occupational Health and Safety regulations, codes and practices in the workplace</w:t>
            </w:r>
          </w:p>
        </w:tc>
      </w:tr>
    </w:tbl>
    <w:p w:rsidR="00000000" w:rsidRPr="002A495F" w:rsidP="002A495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8324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 xml:space="preserve">4.2) </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Participants are best equipped to achieve competency in this unit if they have reading, writing and numeracy skills indicated by the following scales. Description of each scale is given in Volume 2, Part 3 ‘Literac</w:t>
            </w:r>
            <w:r w:rsidRPr="002A495F">
              <w:t>y and Numeracy’</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Reading</w:t>
            </w:r>
          </w:p>
        </w:tc>
        <w:tc>
          <w:tcPr>
            <w:tcW w:w="81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w:t>
            </w:r>
          </w:p>
        </w:tc>
        <w:tc>
          <w:tcPr>
            <w:tcW w:w="99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Writing</w:t>
            </w:r>
          </w:p>
        </w:tc>
        <w:tc>
          <w:tcPr>
            <w:tcW w:w="90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w:t>
            </w:r>
          </w:p>
        </w:tc>
        <w:tc>
          <w:tcPr>
            <w:tcW w:w="12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Numeracy</w:t>
            </w:r>
          </w:p>
        </w:tc>
        <w:tc>
          <w:tcPr>
            <w:tcW w:w="72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3</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6" w:name="O_527812"/>
      <w:bookmarkEnd w:id="6"/>
      <w:r w:rsidRPr="002A495F">
        <w:t>Employability Skills Information</w:t>
      </w:r>
    </w:p>
    <w:tbl>
      <w:tblPr>
        <w:tblW w:w="0" w:type="auto"/>
        <w:tblLayout w:type="fixed"/>
        <w:tblCellMar>
          <w:left w:w="62" w:type="dxa"/>
          <w:right w:w="62" w:type="dxa"/>
        </w:tblCellMar>
        <w:tblLook w:val="0000"/>
      </w:tblPr>
      <w:tblGrid>
        <w:gridCol w:w="2700"/>
        <w:gridCol w:w="5760"/>
      </w:tblGrid>
      <w:tr w:rsidTr="00083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 xml:space="preserve">5) </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This unit contains Employability Skills</w:t>
            </w:r>
          </w:p>
          <w:p w:rsidR="00000000" w:rsidRPr="002A495F" w:rsidP="002A495F">
            <w:pPr>
              <w:pStyle w:val="BodyText"/>
            </w:pPr>
            <w:r w:rsidRPr="002A495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A495F">
              <w:t>requirements.</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7" w:name="O_527811"/>
      <w:bookmarkEnd w:id="7"/>
      <w:r w:rsidRPr="002A495F">
        <w:t>Elements and Performance Criteria Pre-Content</w:t>
      </w:r>
    </w:p>
    <w:tbl>
      <w:tblPr>
        <w:tblW w:w="0" w:type="auto"/>
        <w:tblLayout w:type="fixed"/>
        <w:tblCellMar>
          <w:left w:w="62" w:type="dxa"/>
          <w:right w:w="62" w:type="dxa"/>
        </w:tblCellMar>
        <w:tblLook w:val="0000"/>
      </w:tblPr>
      <w:tblGrid>
        <w:gridCol w:w="2700"/>
        <w:gridCol w:w="5760"/>
      </w:tblGrid>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6)</w:t>
            </w:r>
            <w:r w:rsidRPr="002A495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Performance Criteria describe the required performance needed to demonstrate achievement of the element</w:t>
            </w:r>
            <w:r w:rsidRPr="002A495F">
              <w:t>. Assessment of performance is to be consistent with the Evidence Guide.</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8" w:name="O_527810"/>
      <w:bookmarkEnd w:id="8"/>
      <w:r w:rsidRPr="002A495F">
        <w:t>Elements and Performance Criteria</w:t>
      </w:r>
    </w:p>
    <w:tbl>
      <w:tblPr>
        <w:tblW w:w="0" w:type="auto"/>
        <w:tblLayout w:type="fixed"/>
        <w:tblCellMar>
          <w:left w:w="62" w:type="dxa"/>
          <w:right w:w="62" w:type="dxa"/>
        </w:tblCellMar>
        <w:tblLook w:val="0000"/>
      </w:tblPr>
      <w:tblGrid>
        <w:gridCol w:w="404"/>
        <w:gridCol w:w="2296"/>
        <w:gridCol w:w="899"/>
        <w:gridCol w:w="4850"/>
        <w:gridCol w:w="15"/>
      </w:tblGrid>
      <w:tr w:rsidTr="0008324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ELEMENT</w:t>
            </w:r>
          </w:p>
        </w:tc>
        <w:tc>
          <w:tcPr>
            <w:tcW w:w="5764" w:type="dxa"/>
            <w:gridSpan w:val="3"/>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PERFORMANCE CRITERIA</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w:t>
            </w:r>
          </w:p>
        </w:tc>
        <w:tc>
          <w:tcPr>
            <w:tcW w:w="2296" w:type="dxa"/>
            <w:vMerge w:val="restart"/>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Prepare to undertake routine work activities.</w:t>
            </w: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1.1</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Instructions for preparing the work activity are communicated and confirmed to ensure clear understanding.</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1.2</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OHS policies and procedures are communicated and confirmed to ensure they are understood as they apply to the carrying out of the work.</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1.3</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Tools, equipment and personnel protective equipment necessary for the work are identified, scheduled and checked to ensure they work correctly as intended and are safe to use in accordance with established procedures.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1.4</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Appropriate personnel are cons</w:t>
            </w:r>
            <w:r w:rsidRPr="002A495F">
              <w:t>ulted to ensure the work is coordinated effectively with others involved.</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1.5</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Resources and materials needed to do the work are confirmed, scheduled and obtained in accordance with established procedures.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1.6</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Schedule of work including practices for working safely are confirmed in accordance with instructions and requirements.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w:t>
            </w:r>
          </w:p>
        </w:tc>
        <w:tc>
          <w:tcPr>
            <w:tcW w:w="2296" w:type="dxa"/>
            <w:vMerge w:val="restart"/>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Carry out work as instructed.</w:t>
            </w: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2.1</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OHS policies and procedures and safe work practices are followed to eliminate or minimise incidents</w:t>
            </w:r>
            <w:r w:rsidRPr="002A495F">
              <w:t>.</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2.2</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Schedule of work is followed to ensure work is completed in an agreed time, to a quality standard and with a minimum of waste.</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2.3</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Knowledge of electrotechnology practices and electrical principles are applied to routine work activities.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2.4</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Further instructions are sought from appropriate personnel in the event of unplanned happenings or conditions.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2.5</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Ongoing checks of work quality are undertaken in accordance with instructions and requirements.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w:t>
            </w:r>
          </w:p>
        </w:tc>
        <w:tc>
          <w:tcPr>
            <w:tcW w:w="2296" w:type="dxa"/>
            <w:vMerge w:val="restart"/>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Check results of the completed work.</w:t>
            </w: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3.1</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Final checks are made to ensure the work conforms with instructions and to requirements.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3.2</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Appropriate personnel are notified of completion of the work.</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3.3</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Tools, equipment and any surplus resources and materials are, where appropriate, cleaned, checked and returned to storage in accordance with established procedures.</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3.4</w:t>
            </w:r>
          </w:p>
        </w:tc>
        <w:tc>
          <w:tcPr>
            <w:tcW w:w="485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Work area is cleaned up and made safe and sustainable energy practices are followed.</w:t>
            </w:r>
          </w:p>
        </w:tc>
      </w:tr>
      <w:tr w:rsidTr="0008324B">
        <w:tblPrEx>
          <w:tblW w:w="0" w:type="auto"/>
          <w:tblLayout w:type="fixed"/>
          <w:tblCellMar>
            <w:left w:w="62" w:type="dxa"/>
            <w:right w:w="62" w:type="dxa"/>
          </w:tblCellMar>
          <w:tblLook w:val="0000"/>
        </w:tblPrEx>
        <w:trPr>
          <w:gridAfter w:val="1"/>
          <w:wAfter w:w="15" w:type="dxa"/>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99"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3.5</w:t>
            </w:r>
          </w:p>
        </w:tc>
        <w:tc>
          <w:tcPr>
            <w:tcW w:w="485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Appropriate records are updated in accordance with instructions and established procedures.</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9" w:name="O_527809"/>
      <w:bookmarkEnd w:id="9"/>
      <w:r w:rsidRPr="002A495F">
        <w:t>Required Skills and Knowledge</w:t>
      </w:r>
    </w:p>
    <w:tbl>
      <w:tblPr>
        <w:tblW w:w="0" w:type="auto"/>
        <w:tblLayout w:type="fixed"/>
        <w:tblCellMar>
          <w:left w:w="62" w:type="dxa"/>
          <w:right w:w="62" w:type="dxa"/>
        </w:tblCellMar>
        <w:tblLook w:val="0000"/>
      </w:tblPr>
      <w:tblGrid>
        <w:gridCol w:w="8460"/>
      </w:tblGrid>
      <w:tr w:rsidTr="00083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REQUIRED SKILLS AND KNOWLEDGE</w:t>
            </w:r>
          </w:p>
        </w:tc>
      </w:tr>
      <w:tr w:rsidTr="0008324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8)</w:t>
            </w:r>
            <w:r w:rsidRPr="002A495F">
              <w:t xml:space="preserve"> This describes the essential skills and knowledge and their level, required for this unit.</w:t>
            </w:r>
          </w:p>
          <w:p w:rsidR="00000000" w:rsidRPr="002A495F" w:rsidP="002A495F">
            <w:pPr>
              <w:pStyle w:val="BodyText"/>
            </w:pPr>
            <w:r w:rsidRPr="002A495F">
              <w:t>Evidence shall show that knowledge has been acquired of safe working practices and carrying out routine work activities in an electrotechnology environment.</w:t>
            </w:r>
          </w:p>
          <w:p w:rsidR="00000000" w:rsidRPr="002A495F" w:rsidP="002A495F">
            <w:pPr>
              <w:pStyle w:val="BodyText"/>
            </w:pPr>
            <w:r w:rsidRPr="002A495F">
              <w:t>All kno</w:t>
            </w:r>
            <w:r w:rsidRPr="002A495F">
              <w:t>wledge and skills detailed in this unit should be contextualised to current industry practices and technologies.</w:t>
            </w:r>
          </w:p>
          <w:p w:rsidR="00000000" w:rsidRPr="002A495F" w:rsidP="002A495F">
            <w:pPr>
              <w:pStyle w:val="BodyText"/>
            </w:pPr>
            <w:r w:rsidRPr="002A495F">
              <w:rPr>
                <w:rStyle w:val="SpecialBold"/>
              </w:rPr>
              <w:t>KS01-EE148A</w:t>
            </w:r>
            <w:r w:rsidRPr="002A495F">
              <w:rPr>
                <w:rStyle w:val="SpecialBold"/>
              </w:rPr>
              <w:tab/>
              <w:t xml:space="preserve">              Energy sector organisations and practises</w:t>
            </w:r>
          </w:p>
          <w:p w:rsidR="00000000" w:rsidRPr="002A495F" w:rsidP="002A495F">
            <w:pPr>
              <w:pStyle w:val="BodyText"/>
            </w:pPr>
            <w:r w:rsidRPr="002A495F">
              <w:t>Evidence shall show an understanding of energy sector industry organisation</w:t>
            </w:r>
            <w:r w:rsidRPr="002A495F">
              <w:t>s and practices to an extent indicated by the following aspects:</w:t>
            </w:r>
          </w:p>
          <w:p w:rsidR="00000000" w:rsidRPr="002A495F" w:rsidP="002A495F">
            <w:pPr>
              <w:pStyle w:val="BodyText"/>
            </w:pPr>
            <w:r w:rsidRPr="002A495F">
              <w:t>T1</w:t>
            </w:r>
            <w:r w:rsidRPr="002A495F">
              <w:tab/>
              <w:t>Energy sector vocations encompassing:</w:t>
            </w:r>
          </w:p>
          <w:p w:rsidR="00000000" w:rsidRPr="002A495F" w:rsidP="002A495F">
            <w:pPr>
              <w:pStyle w:val="ListBullet"/>
            </w:pPr>
            <w:r w:rsidRPr="002A495F">
              <w:t>Electrical</w:t>
            </w:r>
          </w:p>
          <w:p w:rsidR="00000000" w:rsidRPr="002A495F" w:rsidP="002A495F">
            <w:pPr>
              <w:pStyle w:val="ListBullet"/>
            </w:pPr>
            <w:r w:rsidRPr="002A495F">
              <w:t>Electronics and communications</w:t>
            </w:r>
          </w:p>
          <w:p w:rsidR="00000000" w:rsidRPr="002A495F" w:rsidP="002A495F">
            <w:pPr>
              <w:pStyle w:val="ListBullet"/>
            </w:pPr>
            <w:r w:rsidRPr="002A495F">
              <w:t>Computer Systems</w:t>
            </w:r>
          </w:p>
          <w:p w:rsidR="00000000" w:rsidRPr="002A495F" w:rsidP="002A495F">
            <w:pPr>
              <w:pStyle w:val="ListBullet"/>
            </w:pPr>
            <w:r w:rsidRPr="002A495F">
              <w:t>Data Communication</w:t>
            </w:r>
          </w:p>
          <w:p w:rsidR="00000000" w:rsidRPr="002A495F" w:rsidP="002A495F">
            <w:pPr>
              <w:pStyle w:val="ListBullet"/>
            </w:pPr>
            <w:r w:rsidRPr="002A495F">
              <w:t>Refrigeration and Air Conditioning</w:t>
            </w:r>
          </w:p>
          <w:p w:rsidR="00000000" w:rsidRPr="002A495F" w:rsidP="002A495F">
            <w:pPr>
              <w:pStyle w:val="ListBullet"/>
            </w:pPr>
            <w:r w:rsidRPr="002A495F">
              <w:t>Instrumentation and Control</w:t>
            </w:r>
          </w:p>
          <w:p w:rsidR="00000000" w:rsidRPr="002A495F" w:rsidP="002A495F">
            <w:pPr>
              <w:pStyle w:val="ListBullet"/>
            </w:pPr>
            <w:r w:rsidRPr="002A495F">
              <w:t>Rail signalling</w:t>
            </w:r>
          </w:p>
          <w:p w:rsidR="00000000" w:rsidRPr="002A495F" w:rsidP="002A495F">
            <w:pPr>
              <w:pStyle w:val="ListBullet"/>
            </w:pPr>
            <w:r w:rsidRPr="002A495F">
              <w:t>Lifts</w:t>
            </w:r>
          </w:p>
          <w:p w:rsidR="00000000" w:rsidRPr="002A495F" w:rsidP="002A495F">
            <w:pPr>
              <w:pStyle w:val="ListBullet"/>
            </w:pPr>
            <w:r w:rsidRPr="002A495F">
              <w:t>Electricity supply – generation, transmission and distribution</w:t>
            </w:r>
          </w:p>
          <w:p w:rsidR="00000000" w:rsidRPr="002A495F" w:rsidP="002A495F">
            <w:pPr>
              <w:pStyle w:val="ListBullet"/>
            </w:pPr>
            <w:r w:rsidRPr="002A495F">
              <w:t>Gas industry</w:t>
            </w:r>
          </w:p>
          <w:p w:rsidR="00000000" w:rsidRPr="002A495F" w:rsidP="002A495F">
            <w:pPr>
              <w:pStyle w:val="BodyText"/>
            </w:pPr>
            <w:r w:rsidRPr="002A495F">
              <w:t>T2</w:t>
            </w:r>
            <w:r w:rsidRPr="002A495F">
              <w:tab/>
              <w:t>Career paths in energy sector encompassing:</w:t>
            </w:r>
          </w:p>
          <w:p w:rsidR="00000000" w:rsidRPr="002A495F" w:rsidP="002A495F">
            <w:pPr>
              <w:pStyle w:val="ListBullet"/>
            </w:pPr>
            <w:r w:rsidRPr="002A495F">
              <w:t>Australian Qualification Framework (AQF)</w:t>
            </w:r>
          </w:p>
          <w:p w:rsidR="00000000" w:rsidRPr="002A495F" w:rsidP="002A495F">
            <w:pPr>
              <w:pStyle w:val="ListBullet"/>
            </w:pPr>
            <w:r w:rsidRPr="002A495F">
              <w:t>Qualifications/Classifications</w:t>
            </w:r>
          </w:p>
          <w:p w:rsidR="00000000" w:rsidRPr="002A495F" w:rsidP="002A495F">
            <w:pPr>
              <w:pStyle w:val="ListBullet"/>
            </w:pPr>
            <w:r w:rsidRPr="002A495F">
              <w:t>Scope of work-installation, maintenanc</w:t>
            </w:r>
            <w:r w:rsidRPr="002A495F">
              <w:t>e and servicing</w:t>
            </w:r>
          </w:p>
          <w:p w:rsidR="00000000" w:rsidRPr="002A495F" w:rsidP="002A495F">
            <w:pPr>
              <w:pStyle w:val="BodyText"/>
            </w:pPr>
            <w:r w:rsidRPr="002A495F">
              <w:t>T3</w:t>
            </w:r>
            <w:r w:rsidRPr="002A495F">
              <w:tab/>
              <w:t>Training in energy sector vocations encompassing:</w:t>
            </w:r>
          </w:p>
          <w:p w:rsidR="00000000" w:rsidRPr="002A495F" w:rsidP="002A495F">
            <w:pPr>
              <w:pStyle w:val="ListBullet"/>
            </w:pPr>
            <w:r w:rsidRPr="002A495F">
              <w:t>Traineeships, apprenticeships</w:t>
            </w:r>
          </w:p>
          <w:p w:rsidR="00000000" w:rsidRPr="002A495F" w:rsidP="002A495F">
            <w:pPr>
              <w:pStyle w:val="ListBullet"/>
            </w:pPr>
            <w:r w:rsidRPr="002A495F">
              <w:t>Licensed Electrician minimum requirements</w:t>
            </w:r>
          </w:p>
          <w:p w:rsidR="00000000" w:rsidRPr="002A495F" w:rsidP="002A495F">
            <w:pPr>
              <w:pStyle w:val="ListBullet"/>
            </w:pPr>
            <w:r w:rsidRPr="002A495F">
              <w:t>Career advancements</w:t>
            </w:r>
          </w:p>
          <w:p w:rsidR="00000000" w:rsidRPr="002A495F" w:rsidP="002A495F">
            <w:pPr>
              <w:pStyle w:val="BodyText"/>
            </w:pPr>
            <w:r w:rsidRPr="002A495F">
              <w:t>T4</w:t>
            </w:r>
            <w:r w:rsidRPr="002A495F">
              <w:tab/>
              <w:t>Industry Organisations encompassing:</w:t>
            </w:r>
          </w:p>
          <w:p w:rsidR="00000000" w:rsidRPr="002A495F" w:rsidP="002A495F">
            <w:pPr>
              <w:pStyle w:val="ListBullet"/>
            </w:pPr>
            <w:r w:rsidRPr="002A495F">
              <w:t>Employers – NECA, ECA, ME, ENA</w:t>
            </w:r>
          </w:p>
          <w:p w:rsidR="00000000" w:rsidRPr="002A495F" w:rsidP="002A495F">
            <w:pPr>
              <w:pStyle w:val="ListBullet"/>
            </w:pPr>
            <w:r w:rsidRPr="002A495F">
              <w:t>EE-Oz Training Standar</w:t>
            </w:r>
            <w:r w:rsidRPr="002A495F">
              <w:t>ds and EE-Oz State/Territory Network</w:t>
            </w:r>
          </w:p>
          <w:p w:rsidR="00000000" w:rsidRPr="002A495F" w:rsidP="002A495F">
            <w:pPr>
              <w:pStyle w:val="ListBullet"/>
            </w:pPr>
            <w:r w:rsidRPr="002A495F">
              <w:t>Employee – Trade union group (CEPU, ETU)</w:t>
            </w:r>
          </w:p>
          <w:p w:rsidR="00000000" w:rsidRPr="002A495F" w:rsidP="002A495F">
            <w:pPr>
              <w:pStyle w:val="ListBullet"/>
            </w:pPr>
            <w:r w:rsidRPr="002A495F">
              <w:t>Government - ITABs, TAFE, RTO, ERAC</w:t>
            </w:r>
          </w:p>
          <w:p w:rsidR="00000000" w:rsidRPr="002A495F" w:rsidP="002A495F">
            <w:pPr>
              <w:pStyle w:val="ListBullet"/>
            </w:pPr>
            <w:r w:rsidRPr="002A495F">
              <w:t>Private providers</w:t>
            </w:r>
          </w:p>
          <w:p w:rsidR="00000000" w:rsidRPr="002A495F" w:rsidP="002A495F">
            <w:pPr>
              <w:pStyle w:val="BodyText"/>
            </w:pPr>
            <w:r w:rsidRPr="002A495F">
              <w:t>T5</w:t>
            </w:r>
            <w:r w:rsidRPr="002A495F">
              <w:tab/>
              <w:t>Qualification Requirements encompassing:</w:t>
            </w:r>
          </w:p>
          <w:p w:rsidR="00000000" w:rsidRPr="002A495F" w:rsidP="002A495F">
            <w:pPr>
              <w:pStyle w:val="ListBullet"/>
            </w:pPr>
            <w:r w:rsidRPr="002A495F">
              <w:t>Unit of competency</w:t>
            </w:r>
          </w:p>
          <w:p w:rsidR="00000000" w:rsidRPr="002A495F" w:rsidP="002A495F">
            <w:pPr>
              <w:pStyle w:val="ListBullet"/>
            </w:pPr>
            <w:r w:rsidRPr="002A495F">
              <w:t>Qualification assessments</w:t>
            </w:r>
          </w:p>
          <w:p w:rsidR="00000000" w:rsidRPr="002A495F" w:rsidP="002A495F">
            <w:pPr>
              <w:pStyle w:val="BodyText"/>
            </w:pPr>
            <w:r w:rsidRPr="002A495F">
              <w:t>T6</w:t>
            </w:r>
            <w:r w:rsidRPr="002A495F">
              <w:tab/>
            </w:r>
            <w:r w:rsidRPr="002A495F">
              <w:t>Policies and Practices in energy sector industry encompassing:</w:t>
            </w:r>
          </w:p>
          <w:p w:rsidR="00000000" w:rsidRPr="002A495F" w:rsidP="002A495F">
            <w:pPr>
              <w:pStyle w:val="ListBullet"/>
            </w:pPr>
            <w:r w:rsidRPr="002A495F">
              <w:t>Licensing requirements</w:t>
            </w:r>
          </w:p>
          <w:p w:rsidR="00000000" w:rsidRPr="002A495F" w:rsidP="002A495F">
            <w:pPr>
              <w:pStyle w:val="ListBullet"/>
            </w:pPr>
            <w:r w:rsidRPr="002A495F">
              <w:t>OH&amp;S requirements</w:t>
            </w:r>
          </w:p>
          <w:p w:rsidR="00000000" w:rsidRPr="002A495F" w:rsidP="002A495F">
            <w:pPr>
              <w:pStyle w:val="ListBullet"/>
            </w:pPr>
            <w:r w:rsidRPr="002A495F">
              <w:t>Awards</w:t>
            </w:r>
          </w:p>
          <w:p w:rsidR="00000000" w:rsidRPr="002A495F" w:rsidP="002A495F">
            <w:pPr>
              <w:pStyle w:val="BodyText"/>
            </w:pPr>
            <w:r w:rsidRPr="002A495F">
              <w:t>T7</w:t>
            </w:r>
            <w:r w:rsidRPr="002A495F">
              <w:tab/>
              <w:t>Job application encompassing:</w:t>
            </w:r>
          </w:p>
          <w:p w:rsidR="00000000" w:rsidRPr="002A495F" w:rsidP="002A495F">
            <w:pPr>
              <w:pStyle w:val="ListBullet"/>
            </w:pPr>
            <w:r w:rsidRPr="002A495F">
              <w:t>Research</w:t>
            </w:r>
          </w:p>
          <w:p w:rsidR="00000000" w:rsidRPr="002A495F" w:rsidP="002A495F">
            <w:pPr>
              <w:pStyle w:val="ListBullet"/>
            </w:pPr>
            <w:r w:rsidRPr="002A495F">
              <w:t>Writing</w:t>
            </w:r>
          </w:p>
          <w:p w:rsidR="00000000" w:rsidRPr="002A495F" w:rsidP="002A495F">
            <w:pPr>
              <w:pStyle w:val="ListBullet"/>
            </w:pPr>
            <w:r w:rsidRPr="002A495F">
              <w:t>Methods of application</w:t>
            </w:r>
          </w:p>
          <w:p w:rsidR="00000000" w:rsidRPr="002A495F" w:rsidP="002A495F">
            <w:pPr>
              <w:pStyle w:val="BodyText"/>
            </w:pPr>
            <w:r w:rsidRPr="002A495F">
              <w:t>T8</w:t>
            </w:r>
            <w:r w:rsidRPr="002A495F">
              <w:tab/>
              <w:t>Job interview encompassing:</w:t>
            </w:r>
          </w:p>
          <w:p w:rsidR="00000000" w:rsidRPr="002A495F" w:rsidP="002A495F">
            <w:pPr>
              <w:pStyle w:val="ListBullet"/>
            </w:pPr>
            <w:r w:rsidRPr="002A495F">
              <w:t>Preparation</w:t>
            </w:r>
          </w:p>
          <w:p w:rsidR="00000000" w:rsidRPr="002A495F" w:rsidP="002A495F">
            <w:pPr>
              <w:pStyle w:val="ListBullet"/>
            </w:pPr>
            <w:r w:rsidRPr="002A495F">
              <w:t>Presentation</w:t>
            </w:r>
          </w:p>
          <w:p w:rsidR="00000000" w:rsidRPr="002A495F" w:rsidP="002A495F">
            <w:pPr>
              <w:pStyle w:val="ListBullet"/>
            </w:pPr>
            <w:r w:rsidRPr="002A495F">
              <w:t>Evaluation</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10" w:name="O_527808"/>
      <w:bookmarkEnd w:id="10"/>
      <w:r w:rsidRPr="002A495F">
        <w:t>Evidence Guide</w:t>
      </w:r>
    </w:p>
    <w:tbl>
      <w:tblPr>
        <w:tblW w:w="0" w:type="auto"/>
        <w:tblLayout w:type="fixed"/>
        <w:tblCellMar>
          <w:left w:w="62" w:type="dxa"/>
          <w:right w:w="62" w:type="dxa"/>
        </w:tblCellMar>
        <w:tblLook w:val="0000"/>
      </w:tblPr>
      <w:tblGrid>
        <w:gridCol w:w="8460"/>
      </w:tblGrid>
      <w:tr w:rsidTr="00083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EVIDENCE GUIDE</w:t>
            </w:r>
          </w:p>
        </w:tc>
      </w:tr>
      <w:tr w:rsidTr="000832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9)</w:t>
            </w:r>
            <w:r w:rsidRPr="002A495F">
              <w:t xml:space="preserve"> The evidence guide provides advice on assessment and must be read in conjunction with the Performance Criteria, Required Skills and Knowledge, the Range Statement and the Assessment Guidelines for this Tra</w:t>
            </w:r>
            <w:r w:rsidRPr="002A495F">
              <w:t xml:space="preserve">ining Package. </w:t>
            </w:r>
          </w:p>
          <w:p w:rsidR="00000000" w:rsidRPr="002A495F" w:rsidP="002A495F">
            <w:pPr>
              <w:pStyle w:val="BodyText"/>
            </w:pPr>
            <w:r w:rsidRPr="002A495F">
              <w:t>The Evidence Guide forms an integral part of this unit. It must be used in conjunction with all parts of the unit and performed in accordance with the Assessment Guidelines of this Training Package.</w:t>
            </w:r>
          </w:p>
        </w:tc>
      </w:tr>
    </w:tbl>
    <w:p w:rsidR="00000000" w:rsidRPr="002A495F" w:rsidP="002A495F">
      <w:pPr>
        <w:pStyle w:val="BodyText"/>
      </w:pPr>
    </w:p>
    <w:tbl>
      <w:tblPr>
        <w:tblW w:w="0" w:type="auto"/>
        <w:tblLayout w:type="fixed"/>
        <w:tblCellMar>
          <w:left w:w="62" w:type="dxa"/>
          <w:right w:w="62" w:type="dxa"/>
        </w:tblCellMar>
        <w:tblLook w:val="0000"/>
      </w:tblPr>
      <w:tblGrid>
        <w:gridCol w:w="1890"/>
        <w:gridCol w:w="6570"/>
      </w:tblGrid>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9.1)</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Longitudinal competency development approaches to assessment, such as Profiling, require data to be reliably gathered in a form that can be consistently interpreted over time. This approach is best utilised in Apprenticeship programs and reduces assessment</w:t>
            </w:r>
            <w:r w:rsidRPr="002A495F">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A495F">
              <w:t>ncy in a realistically simulated work environment. It is recognised that, in some circumstances, assessment in part or full can occur outside the workplace. However, it must be in accordance with industry and regulatory policy.</w:t>
            </w:r>
          </w:p>
          <w:p w:rsidR="00000000" w:rsidRPr="002A495F" w:rsidP="002A495F">
            <w:pPr>
              <w:pStyle w:val="BodyText"/>
            </w:pPr>
            <w:r w:rsidRPr="002A495F">
              <w:t>Methods chosen for a particu</w:t>
            </w:r>
            <w:r w:rsidRPr="002A495F">
              <w:t>lar assessment will be influenced by various factors. These include the extent of the assessment, the most effective locations for the assessment activities to take place, access to physical resources, additional safety measures that may be required and th</w:t>
            </w:r>
            <w:r w:rsidRPr="002A495F">
              <w:t>e critical nature of the competencies being assessed.</w:t>
            </w:r>
          </w:p>
          <w:p w:rsidR="00000000" w:rsidRPr="002A495F" w:rsidP="002A495F">
            <w:pPr>
              <w:pStyle w:val="BodyText"/>
            </w:pPr>
            <w:r w:rsidRPr="002A495F">
              <w:t>The critical safety nature of working with electricity, electrical equipment, gas or any other hazardous substance/material carries risk in deeming a person competent. Sources of evidence need to be ‘ri</w:t>
            </w:r>
            <w:r w:rsidRPr="002A495F">
              <w:t>ch’ in nature to minimise error in judgment.</w:t>
            </w:r>
          </w:p>
          <w:p w:rsidR="00000000" w:rsidRPr="002A495F" w:rsidP="002A495F">
            <w:pPr>
              <w:pStyle w:val="BodyText"/>
            </w:pPr>
            <w:r w:rsidRPr="002A495F">
              <w:t>Activities associated with normal everyday work have a bearing on the decision as to how much and how detailed the data gathered will contribute to its ‘richness’. Some skills are more critical to safety and ope</w:t>
            </w:r>
            <w:r w:rsidRPr="002A495F">
              <w:t>rational requirements while the same skills may be more or less frequently practised. These points are raised for the assessors to consider when choosing an assessment method and developing assessment instruments. Sample assessment instruments are included</w:t>
            </w:r>
            <w:r w:rsidRPr="002A495F">
              <w:t xml:space="preserve"> for Assessors in the Assessment Guidelines of this Training Package.</w:t>
            </w:r>
          </w:p>
        </w:tc>
      </w:tr>
    </w:tbl>
    <w:p w:rsidR="00000000" w:rsidRPr="002A495F" w:rsidP="002A495F">
      <w:pPr>
        <w:pStyle w:val="BodyText"/>
      </w:pPr>
    </w:p>
    <w:tbl>
      <w:tblPr>
        <w:tblW w:w="0" w:type="auto"/>
        <w:tblLayout w:type="fixed"/>
        <w:tblCellMar>
          <w:left w:w="62" w:type="dxa"/>
          <w:right w:w="62" w:type="dxa"/>
        </w:tblCellMar>
        <w:tblLook w:val="0000"/>
      </w:tblPr>
      <w:tblGrid>
        <w:gridCol w:w="1890"/>
        <w:gridCol w:w="1530"/>
        <w:gridCol w:w="5040"/>
      </w:tblGrid>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9.2)</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Before the critical aspects of evidence are considered all prerequisites must be met.</w:t>
            </w:r>
          </w:p>
          <w:p w:rsidR="00000000" w:rsidRPr="002A495F" w:rsidP="002A495F">
            <w:pPr>
              <w:pStyle w:val="BodyText"/>
            </w:pPr>
            <w:r w:rsidRPr="002A495F">
              <w:t xml:space="preserve">Evidence for </w:t>
            </w:r>
            <w:r w:rsidRPr="002A495F">
              <w:t>competence in this unit shall be considered holistically.  Each element and associated performance criteria shall be demonstrated on at least two occasions in accordance with the ‘Assessment Guidelines – UEE11’.  Evidence shall also comprise:</w:t>
            </w:r>
          </w:p>
          <w:p w:rsidR="00000000" w:rsidRPr="002A495F" w:rsidP="002A495F">
            <w:pPr>
              <w:pStyle w:val="ListBullet"/>
            </w:pPr>
            <w:r w:rsidRPr="002A495F">
              <w:t>A representa</w:t>
            </w:r>
            <w:r w:rsidRPr="002A495F">
              <w:t>tive body of work performance demonstrated within the timeframes typically expected of the discipline, work function and industrial environment. In particular this shall incorporate evidence that shows a candidate is able to:</w:t>
            </w:r>
          </w:p>
          <w:p w:rsidR="00000000" w:rsidRPr="002A495F" w:rsidP="002A495F">
            <w:pPr>
              <w:pStyle w:val="ListBullet2"/>
            </w:pPr>
            <w:r w:rsidRPr="002A495F">
              <w:t>Implement Occupational Health and Safety workplace procedures and practices, including the use of risk control measures as specified in the performance criteria and range statement</w:t>
            </w:r>
          </w:p>
          <w:p w:rsidR="00000000" w:rsidRPr="002A495F" w:rsidP="002A495F">
            <w:pPr>
              <w:pStyle w:val="ListBullet2"/>
            </w:pPr>
            <w:r w:rsidRPr="002A495F">
              <w:t>Apply sustainable energy principles and practices as specified in the perfo</w:t>
            </w:r>
            <w:r w:rsidRPr="002A495F">
              <w:t>rmance criteria and range statement</w:t>
            </w:r>
          </w:p>
          <w:p w:rsidR="00000000" w:rsidRPr="002A495F" w:rsidP="002A495F">
            <w:pPr>
              <w:pStyle w:val="ListBullet2"/>
            </w:pPr>
            <w:r w:rsidRPr="002A495F">
              <w:t>Demonstrate an understanding of the essential knowledge and associated skills as described in this unit.  It may be required by some jurisdictions that RTOs provide a percentile graded result for the purpose of regulator</w:t>
            </w:r>
            <w:r w:rsidRPr="002A495F">
              <w:t xml:space="preserve">y or licensing requirements.   </w:t>
            </w:r>
          </w:p>
          <w:p w:rsidR="00000000" w:rsidRPr="002A495F" w:rsidP="002A495F">
            <w:pPr>
              <w:pStyle w:val="ListBullet2"/>
            </w:pPr>
            <w:r w:rsidRPr="002A495F">
              <w:t>Demonstrate an appropriate level of skills enabling employment</w:t>
            </w:r>
          </w:p>
          <w:p w:rsidR="00000000" w:rsidRPr="002A495F" w:rsidP="002A495F">
            <w:pPr>
              <w:pStyle w:val="ListBullet2"/>
            </w:pPr>
            <w:r w:rsidRPr="002A495F">
              <w:t>Conduct work observing the relevant Anti Discrimination legislation, regulations, polices and workplace procedures</w:t>
            </w:r>
          </w:p>
          <w:p w:rsidR="00000000" w:rsidRPr="002A495F" w:rsidP="002A495F">
            <w:pPr>
              <w:pStyle w:val="ListBullet"/>
            </w:pPr>
            <w:r w:rsidRPr="002A495F">
              <w:t xml:space="preserve">Demonstrated consistent performance across a </w:t>
            </w:r>
            <w:r w:rsidRPr="002A495F">
              <w:t>representative range of contexts from the prescribed items below:</w:t>
            </w:r>
          </w:p>
          <w:p w:rsidR="00000000" w:rsidP="002A495F">
            <w:pPr>
              <w:pStyle w:val="ListBullet2"/>
              <w:rPr>
                <w:lang w:val="en-NZ"/>
              </w:rPr>
            </w:pPr>
            <w:r w:rsidRPr="002A495F">
              <w:t>Carry out routine work activities in an energy sector environment as described in 8) and including:</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A</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Understanding work instruction.</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B</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Obtaining and checking tools and equipment.</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C</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Following work instructions.</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D</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Returning tools and surplus resources as required.</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E</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Updating work records.</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F</w:t>
            </w:r>
          </w:p>
        </w:tc>
        <w:tc>
          <w:tcPr>
            <w:tcW w:w="504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t>Dealing with unplanned events by drawing on essential knowledge and skills to provide appropriate solutions incorporated in a holistic assessment with the above listed items.</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 xml:space="preserve">Note: </w:t>
            </w:r>
            <w:r w:rsidRPr="002A495F">
              <w:br/>
              <w:t>Successful completion of relevant vendor training may be used to contrib</w:t>
            </w:r>
            <w:r w:rsidRPr="002A495F">
              <w:t>ute to evidence on which competency is deemed. In these cases the alignment of outcomes of vendor training with performance criteria and critical aspects of evidence shall be clearly identified.</w:t>
            </w:r>
          </w:p>
        </w:tc>
      </w:tr>
    </w:tbl>
    <w:p w:rsidR="00000000" w:rsidRPr="002A495F" w:rsidP="002A495F">
      <w:pPr>
        <w:pStyle w:val="BodyText"/>
      </w:pPr>
    </w:p>
    <w:tbl>
      <w:tblPr>
        <w:tblW w:w="0" w:type="auto"/>
        <w:tblLayout w:type="fixed"/>
        <w:tblCellMar>
          <w:left w:w="62" w:type="dxa"/>
          <w:right w:w="62" w:type="dxa"/>
        </w:tblCellMar>
        <w:tblLook w:val="0000"/>
      </w:tblPr>
      <w:tblGrid>
        <w:gridCol w:w="1890"/>
        <w:gridCol w:w="6570"/>
      </w:tblGrid>
      <w:tr w:rsidTr="0008324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9.3)</w:t>
            </w:r>
          </w:p>
        </w:tc>
      </w:tr>
      <w:tr w:rsidTr="0008324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This unit should be assessed as it relates to normal work practice using procedures, information and resources typical of a workplace. This should include:</w:t>
            </w:r>
          </w:p>
          <w:p w:rsidR="00000000" w:rsidRPr="002A495F" w:rsidP="002A495F">
            <w:pPr>
              <w:pStyle w:val="ListBullet"/>
            </w:pPr>
            <w:r w:rsidRPr="002A495F">
              <w:t>OHS policy and work procedures and instructions.</w:t>
            </w:r>
          </w:p>
          <w:p w:rsidR="00000000" w:rsidRPr="002A495F" w:rsidP="002A495F">
            <w:pPr>
              <w:pStyle w:val="ListBullet"/>
            </w:pPr>
            <w:r w:rsidRPr="002A495F">
              <w:t>Suitable work environment, facilities, equipment a</w:t>
            </w:r>
            <w:r w:rsidRPr="002A495F">
              <w:t>nd materials to undertake actual work as prescribed in this unit.</w:t>
            </w:r>
          </w:p>
          <w:p w:rsidR="00000000" w:rsidRPr="002A495F" w:rsidP="002A495F">
            <w:pPr>
              <w:pStyle w:val="BodyText"/>
            </w:pPr>
            <w:r w:rsidRPr="002A495F">
              <w:t>These should be used in the formal learning/assessment environment.</w:t>
            </w:r>
          </w:p>
          <w:p w:rsidR="00000000" w:rsidRPr="002A495F" w:rsidP="002A495F">
            <w:pPr>
              <w:pStyle w:val="BodyText"/>
            </w:pPr>
            <w:r w:rsidRPr="002A495F">
              <w:t>Note:</w:t>
            </w:r>
          </w:p>
          <w:p w:rsidR="00000000" w:rsidRPr="002A495F" w:rsidP="002A495F">
            <w:pPr>
              <w:pStyle w:val="BodyText"/>
            </w:pPr>
            <w:r w:rsidRPr="002A495F">
              <w:t>Where simulation is considered a suitable strategy for assessment, conditions for assessment must be authentic and a</w:t>
            </w:r>
            <w:r w:rsidRPr="002A495F">
              <w:t>s far as possible reproduce and replicate the workplace and be consistent with the approved industry simulation policy.</w:t>
            </w:r>
          </w:p>
          <w:p w:rsidR="00000000" w:rsidRPr="002A495F" w:rsidP="002A495F">
            <w:pPr>
              <w:pStyle w:val="BodyText"/>
            </w:pPr>
            <w:r w:rsidRPr="002A495F">
              <w:t>The resources used for assessment should reflect current industry practices in relation to carrying out routine work activities in an en</w:t>
            </w:r>
            <w:r w:rsidRPr="002A495F">
              <w:t>ergy sector environment.</w:t>
            </w:r>
          </w:p>
        </w:tc>
      </w:tr>
    </w:tbl>
    <w:p w:rsidR="00000000" w:rsidRPr="002A495F" w:rsidP="002A495F">
      <w:pPr>
        <w:pStyle w:val="BodyText"/>
      </w:pPr>
    </w:p>
    <w:tbl>
      <w:tblPr>
        <w:tblW w:w="0" w:type="auto"/>
        <w:tblLayout w:type="fixed"/>
        <w:tblCellMar>
          <w:left w:w="62" w:type="dxa"/>
          <w:right w:w="62" w:type="dxa"/>
        </w:tblCellMar>
        <w:tblLook w:val="0000"/>
      </w:tblPr>
      <w:tblGrid>
        <w:gridCol w:w="1890"/>
        <w:gridCol w:w="6570"/>
      </w:tblGrid>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9.4)</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This unit shall be assessed by methods given in Volume 1, Part 3 ‘Assessment Guidelines’.</w:t>
            </w:r>
          </w:p>
          <w:p w:rsidR="00000000" w:rsidRPr="002A495F" w:rsidP="002A495F">
            <w:pPr>
              <w:pStyle w:val="BodyText"/>
            </w:pPr>
            <w:r w:rsidRPr="002A495F">
              <w:t xml:space="preserve">Note: </w:t>
            </w:r>
          </w:p>
          <w:p w:rsidR="00000000" w:rsidRPr="002A495F" w:rsidP="002A495F">
            <w:pPr>
              <w:pStyle w:val="BodyText"/>
            </w:pPr>
            <w:r w:rsidRPr="002A495F">
              <w:t>Competent performance with inherent safe working practices is expected in the Industry to which this unit applies. This requires that the specified essential knowledge and associated skills are assessed in a structured environment which is primarily intend</w:t>
            </w:r>
            <w:r w:rsidRPr="002A495F">
              <w:t>ed for learning/assessment and incorporates all necessary equipment and facilities for learners to develop and demonstrate the essential knowledge and skills described in this unit.</w:t>
            </w:r>
          </w:p>
        </w:tc>
      </w:tr>
    </w:tbl>
    <w:p w:rsidR="00000000" w:rsidRPr="002A495F" w:rsidP="002A495F">
      <w:pPr>
        <w:pStyle w:val="BodyText"/>
      </w:pPr>
    </w:p>
    <w:tbl>
      <w:tblPr>
        <w:tblW w:w="0" w:type="auto"/>
        <w:tblLayout w:type="fixed"/>
        <w:tblCellMar>
          <w:left w:w="62" w:type="dxa"/>
          <w:right w:w="62" w:type="dxa"/>
        </w:tblCellMar>
        <w:tblLook w:val="0000"/>
      </w:tblPr>
      <w:tblGrid>
        <w:gridCol w:w="1890"/>
        <w:gridCol w:w="6570"/>
      </w:tblGrid>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9.5)</w:t>
            </w:r>
          </w:p>
        </w:tc>
      </w:tr>
      <w:tr w:rsidTr="0008324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There are</w:t>
            </w:r>
            <w:r w:rsidRPr="002A495F">
              <w:t xml:space="preserve"> no concurrent assessment recommendations for this unit.</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11" w:name="O_527807"/>
      <w:bookmarkEnd w:id="11"/>
      <w:r w:rsidRPr="002A495F">
        <w:t>Range Statement</w:t>
      </w:r>
    </w:p>
    <w:tbl>
      <w:tblPr>
        <w:tblW w:w="0" w:type="auto"/>
        <w:tblLayout w:type="fixed"/>
        <w:tblCellMar>
          <w:left w:w="62" w:type="dxa"/>
          <w:right w:w="62" w:type="dxa"/>
        </w:tblCellMar>
        <w:tblLook w:val="0000"/>
      </w:tblPr>
      <w:tblGrid>
        <w:gridCol w:w="8460"/>
      </w:tblGrid>
      <w:tr w:rsidTr="0008324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RANGE STATEMENT</w:t>
            </w:r>
          </w:p>
        </w:tc>
      </w:tr>
      <w:tr w:rsidTr="0008324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10)</w:t>
            </w:r>
            <w:r w:rsidRPr="002A495F">
              <w:t xml:space="preserve"> This relates to the unit as a whole providing the range of contexts and conditions to which the performanc</w:t>
            </w:r>
            <w:r w:rsidRPr="002A495F">
              <w:t>e criteria apply. It allows for different work environments and situations that will affect performance.</w:t>
            </w:r>
          </w:p>
          <w:p w:rsidR="00000000" w:rsidRPr="002A495F" w:rsidP="002A495F">
            <w:pPr>
              <w:pStyle w:val="BodyText"/>
            </w:pPr>
            <w:r w:rsidRPr="002A495F">
              <w:t>This unit shall be demonstrated in relation to carrying out routine work activities in energy sector environments in any of the following disciplines:</w:t>
            </w:r>
          </w:p>
          <w:p w:rsidR="00000000" w:rsidRPr="002A495F" w:rsidP="002A495F">
            <w:pPr>
              <w:pStyle w:val="ListBullet3"/>
            </w:pPr>
            <w:r w:rsidRPr="002A495F">
              <w:t>Appliances</w:t>
            </w:r>
          </w:p>
          <w:p w:rsidR="00000000" w:rsidRPr="002A495F" w:rsidP="002A495F">
            <w:pPr>
              <w:pStyle w:val="ListBullet3"/>
            </w:pPr>
            <w:r w:rsidRPr="002A495F">
              <w:t>Business equipment</w:t>
            </w:r>
          </w:p>
          <w:p w:rsidR="00000000" w:rsidRPr="002A495F" w:rsidP="002A495F">
            <w:pPr>
              <w:pStyle w:val="ListBullet3"/>
            </w:pPr>
            <w:r w:rsidRPr="002A495F">
              <w:t xml:space="preserve">Computers </w:t>
            </w:r>
          </w:p>
          <w:p w:rsidR="00000000" w:rsidRPr="002A495F" w:rsidP="002A495F">
            <w:pPr>
              <w:pStyle w:val="ListBullet3"/>
            </w:pPr>
            <w:r w:rsidRPr="002A495F">
              <w:t>Data Communications</w:t>
            </w:r>
          </w:p>
          <w:p w:rsidR="00000000" w:rsidRPr="002A495F" w:rsidP="002A495F">
            <w:pPr>
              <w:pStyle w:val="ListBullet3"/>
            </w:pPr>
            <w:r w:rsidRPr="002A495F">
              <w:t>Electrical</w:t>
            </w:r>
          </w:p>
          <w:p w:rsidR="00000000" w:rsidRPr="002A495F" w:rsidP="002A495F">
            <w:pPr>
              <w:pStyle w:val="ListBullet3"/>
            </w:pPr>
            <w:r w:rsidRPr="002A495F">
              <w:t>Electrical Machines</w:t>
            </w:r>
          </w:p>
          <w:p w:rsidR="00000000" w:rsidRPr="002A495F" w:rsidP="002A495F">
            <w:pPr>
              <w:pStyle w:val="ListBullet3"/>
            </w:pPr>
            <w:r w:rsidRPr="002A495F">
              <w:t>Electronics</w:t>
            </w:r>
          </w:p>
          <w:p w:rsidR="00000000" w:rsidRPr="002A495F" w:rsidP="002A495F">
            <w:pPr>
              <w:pStyle w:val="ListBullet3"/>
            </w:pPr>
            <w:r w:rsidRPr="002A495F">
              <w:t>Fire protection</w:t>
            </w:r>
          </w:p>
          <w:p w:rsidR="00000000" w:rsidRPr="002A495F" w:rsidP="002A495F">
            <w:pPr>
              <w:pStyle w:val="ListBullet3"/>
            </w:pPr>
            <w:r w:rsidRPr="002A495F">
              <w:t>Instrumentation</w:t>
            </w:r>
          </w:p>
          <w:p w:rsidR="00000000" w:rsidRPr="002A495F" w:rsidP="002A495F">
            <w:pPr>
              <w:pStyle w:val="ListBullet3"/>
            </w:pPr>
            <w:r w:rsidRPr="002A495F">
              <w:t>Refrigeration and Air Conditioning</w:t>
            </w:r>
          </w:p>
          <w:p w:rsidR="00000000" w:rsidRPr="002A495F" w:rsidP="002A495F">
            <w:pPr>
              <w:pStyle w:val="ListBullet3"/>
            </w:pPr>
            <w:r w:rsidRPr="002A495F">
              <w:t>Renewable / sustainable energy</w:t>
            </w:r>
          </w:p>
          <w:p w:rsidR="00000000" w:rsidRPr="002A495F" w:rsidP="002A495F">
            <w:pPr>
              <w:pStyle w:val="ListBullet3"/>
            </w:pPr>
            <w:r w:rsidRPr="002A495F">
              <w:t>Security technology</w:t>
            </w:r>
          </w:p>
          <w:p w:rsidR="00000000" w:rsidRPr="002A495F" w:rsidP="002A495F">
            <w:pPr>
              <w:pStyle w:val="BodyText"/>
            </w:pPr>
            <w:r w:rsidRPr="002A495F">
              <w:t>Generic terms used throughout this Vocational Standard shall be regarded as part of the Range Statement in which competency is demonstrated. The definition of these and other terms that apply are given in Volume 2, Part 2.1.</w:t>
            </w:r>
          </w:p>
        </w:tc>
      </w:tr>
    </w:tbl>
    <w:p w:rsidR="00000000" w:rsidRPr="002A495F" w:rsidP="002A495F">
      <w:pPr>
        <w:pStyle w:val="BodyText"/>
      </w:pPr>
    </w:p>
    <w:p w:rsidR="00000000" w:rsidRPr="002A495F" w:rsidP="002A495F">
      <w:pPr>
        <w:pStyle w:val="AllowPageBreak"/>
      </w:pPr>
    </w:p>
    <w:p w:rsidR="00000000" w:rsidRPr="002A495F" w:rsidP="002A495F">
      <w:pPr>
        <w:pStyle w:val="Heading1"/>
      </w:pPr>
      <w:bookmarkStart w:id="12" w:name="O_527806"/>
      <w:bookmarkEnd w:id="12"/>
      <w:r w:rsidRPr="002A495F">
        <w:t>Unit Sector(s)</w:t>
      </w:r>
    </w:p>
    <w:p w:rsidR="00000000" w:rsidRPr="002A495F" w:rsidP="002A495F">
      <w:pPr>
        <w:pStyle w:val="BodyText"/>
      </w:pPr>
      <w:r w:rsidRPr="002A495F">
        <w:t>Not applicable.</w:t>
      </w:r>
    </w:p>
    <w:p w:rsidR="00000000" w:rsidRPr="002A495F" w:rsidP="002A495F">
      <w:pPr>
        <w:pStyle w:val="AllowPageBreak"/>
      </w:pPr>
    </w:p>
    <w:p w:rsidR="00000000" w:rsidRPr="002A495F" w:rsidP="002A495F">
      <w:pPr>
        <w:pStyle w:val="Heading1"/>
      </w:pPr>
      <w:bookmarkStart w:id="13" w:name="O_527805"/>
      <w:bookmarkEnd w:id="13"/>
      <w:r w:rsidRPr="002A495F">
        <w:t>Competency Field</w:t>
      </w:r>
    </w:p>
    <w:tbl>
      <w:tblPr>
        <w:tblW w:w="0" w:type="auto"/>
        <w:tblLayout w:type="fixed"/>
        <w:tblCellMar>
          <w:left w:w="62" w:type="dxa"/>
          <w:right w:w="62" w:type="dxa"/>
        </w:tblCellMar>
        <w:tblLook w:val="0000"/>
      </w:tblPr>
      <w:tblGrid>
        <w:gridCol w:w="2700"/>
        <w:gridCol w:w="5760"/>
      </w:tblGrid>
      <w:tr w:rsidTr="000832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495F">
            <w:pPr>
              <w:pStyle w:val="BodyText"/>
              <w:rPr>
                <w:lang w:val="en-NZ"/>
              </w:rPr>
            </w:pPr>
            <w:r w:rsidRPr="002A495F">
              <w:rPr>
                <w:rStyle w:val="SpecialBold"/>
              </w:rPr>
              <w:t xml:space="preserve">11) </w:t>
            </w:r>
          </w:p>
        </w:tc>
      </w:tr>
      <w:tr w:rsidTr="0008324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495F" w:rsidP="002A495F">
            <w:pPr>
              <w:pStyle w:val="BodyText"/>
            </w:pPr>
            <w:r w:rsidRPr="002A495F">
              <w:t>Electrotechnology</w:t>
            </w:r>
          </w:p>
        </w:tc>
      </w:tr>
    </w:tbl>
    <w:p w:rsidR="00000000" w:rsidRPr="002A495F" w:rsidP="002A495F">
      <w:pPr>
        <w:pStyle w:val="BodyText"/>
      </w:pPr>
    </w:p>
    <w:p w:rsidR="00000000" w:rsidRPr="002A495F" w:rsidP="002A495F"/>
    <w:sectPr w:rsidSect="002A49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rsidRPr="0008324B" w:rsidP="000832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4B" w:rsidP="002A49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8324B" w:rsidP="002A495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8324B" w:rsidP="002A49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rsidRPr="0008324B" w:rsidP="000832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9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24B" w:rsidRPr="002D2AF8" w:rsidP="002A495F">
    <w:pPr>
      <w:pStyle w:val="Header"/>
      <w:framePr w:wrap="around"/>
    </w:pPr>
    <w:r>
      <w:fldChar w:fldCharType="begin"/>
    </w:r>
    <w:r>
      <w:instrText xml:space="preserve"> TITLE   \* MERGEFORMAT </w:instrText>
    </w:r>
    <w:r>
      <w:fldChar w:fldCharType="separate"/>
    </w:r>
    <w:r>
      <w:t>UEENEEE148A Carry out routine work activities in an energy sector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8324B" w:rsidP="002A49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8A2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5CE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81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9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95F"/>
    <w:pPr>
      <w:spacing w:before="360" w:after="60"/>
      <w:outlineLvl w:val="0"/>
    </w:pPr>
    <w:rPr>
      <w:sz w:val="32"/>
    </w:rPr>
  </w:style>
  <w:style w:type="paragraph" w:styleId="Heading2">
    <w:name w:val="heading 2"/>
    <w:basedOn w:val="HeadingBase"/>
    <w:next w:val="BodyText"/>
    <w:link w:val="Heading2Char"/>
    <w:qFormat/>
    <w:rsid w:val="002A495F"/>
    <w:pPr>
      <w:keepLines/>
      <w:spacing w:before="240" w:after="120"/>
      <w:outlineLvl w:val="1"/>
    </w:pPr>
    <w:rPr>
      <w:sz w:val="28"/>
      <w:szCs w:val="40"/>
    </w:rPr>
  </w:style>
  <w:style w:type="paragraph" w:styleId="Heading3">
    <w:name w:val="heading 3"/>
    <w:basedOn w:val="HeadingBase"/>
    <w:next w:val="BodyText"/>
    <w:link w:val="Heading3Char"/>
    <w:qFormat/>
    <w:rsid w:val="002A495F"/>
    <w:pPr>
      <w:spacing w:before="180" w:after="120"/>
      <w:outlineLvl w:val="2"/>
    </w:pPr>
    <w:rPr>
      <w:spacing w:val="-10"/>
      <w:kern w:val="32"/>
    </w:rPr>
  </w:style>
  <w:style w:type="paragraph" w:styleId="Heading4">
    <w:name w:val="heading 4"/>
    <w:basedOn w:val="HeadingBase"/>
    <w:next w:val="BodyText"/>
    <w:link w:val="Heading4Char"/>
    <w:qFormat/>
    <w:rsid w:val="002A495F"/>
    <w:pPr>
      <w:spacing w:before="160" w:after="120"/>
      <w:outlineLvl w:val="3"/>
    </w:pPr>
    <w:rPr>
      <w:sz w:val="22"/>
    </w:rPr>
  </w:style>
  <w:style w:type="paragraph" w:styleId="Heading5">
    <w:name w:val="heading 5"/>
    <w:basedOn w:val="HeadingBase"/>
    <w:next w:val="Normal"/>
    <w:link w:val="Heading5Char"/>
    <w:qFormat/>
    <w:rsid w:val="002A495F"/>
    <w:pPr>
      <w:spacing w:before="80"/>
      <w:outlineLvl w:val="4"/>
    </w:pPr>
    <w:rPr>
      <w:color w:val="918585"/>
      <w:sz w:val="20"/>
    </w:rPr>
  </w:style>
  <w:style w:type="paragraph" w:styleId="Heading6">
    <w:name w:val="heading 6"/>
    <w:basedOn w:val="HeadingBase"/>
    <w:next w:val="Normal"/>
    <w:link w:val="Heading6Char"/>
    <w:qFormat/>
    <w:rsid w:val="002A495F"/>
    <w:pPr>
      <w:spacing w:before="60"/>
      <w:outlineLvl w:val="5"/>
    </w:pPr>
    <w:rPr>
      <w:color w:val="918585"/>
      <w:sz w:val="20"/>
    </w:rPr>
  </w:style>
  <w:style w:type="paragraph" w:styleId="Heading7">
    <w:name w:val="heading 7"/>
    <w:basedOn w:val="Normal"/>
    <w:next w:val="Normal"/>
    <w:link w:val="Heading7Char"/>
    <w:qFormat/>
    <w:rsid w:val="002A495F"/>
    <w:pPr>
      <w:ind w:left="720"/>
      <w:outlineLvl w:val="6"/>
    </w:pPr>
    <w:rPr>
      <w:i/>
    </w:rPr>
  </w:style>
  <w:style w:type="paragraph" w:styleId="Heading8">
    <w:name w:val="heading 8"/>
    <w:basedOn w:val="Normal"/>
    <w:next w:val="Normal"/>
    <w:link w:val="Heading8Char"/>
    <w:qFormat/>
    <w:rsid w:val="002A495F"/>
    <w:pPr>
      <w:ind w:left="720"/>
      <w:outlineLvl w:val="7"/>
    </w:pPr>
    <w:rPr>
      <w:i/>
    </w:rPr>
  </w:style>
  <w:style w:type="paragraph" w:styleId="Heading9">
    <w:name w:val="heading 9"/>
    <w:basedOn w:val="Normal"/>
    <w:next w:val="Normal"/>
    <w:link w:val="Heading9Char"/>
    <w:qFormat/>
    <w:rsid w:val="002A495F"/>
    <w:pPr>
      <w:ind w:left="720"/>
      <w:outlineLvl w:val="8"/>
    </w:pPr>
    <w:rPr>
      <w:i/>
    </w:rPr>
  </w:style>
  <w:style w:type="character" w:default="1" w:styleId="DefaultParagraphFont">
    <w:name w:val="Default Paragraph Font"/>
    <w:uiPriority w:val="1"/>
    <w:unhideWhenUsed/>
    <w:rsid w:val="002A49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95F"/>
  </w:style>
  <w:style w:type="character" w:customStyle="1" w:styleId="Heading1Char">
    <w:name w:val="Heading 1 Char"/>
    <w:basedOn w:val="DefaultParagraphFont"/>
    <w:link w:val="Heading1"/>
    <w:rsid w:val="002A495F"/>
    <w:rPr>
      <w:rFonts w:ascii="Times New Roman" w:eastAsia="Times New Roman" w:hAnsi="Times New Roman" w:cs="Times New Roman"/>
      <w:b/>
      <w:sz w:val="32"/>
      <w:szCs w:val="20"/>
      <w:lang w:eastAsia="en-US"/>
    </w:rPr>
  </w:style>
  <w:style w:type="paragraph" w:styleId="BodyText">
    <w:name w:val="Body Text"/>
    <w:basedOn w:val="Normal"/>
    <w:link w:val="BodyTextChar"/>
    <w:rsid w:val="002A49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495F"/>
    <w:rPr>
      <w:rFonts w:ascii="Times New Roman" w:eastAsia="Times New Roman" w:hAnsi="Times New Roman" w:cs="Times New Roman"/>
      <w:sz w:val="24"/>
      <w:lang w:eastAsia="en-US"/>
    </w:rPr>
  </w:style>
  <w:style w:type="paragraph" w:styleId="ListBullet">
    <w:name w:val="List Bullet"/>
    <w:basedOn w:val="List"/>
    <w:rsid w:val="002A495F"/>
    <w:pPr>
      <w:numPr>
        <w:numId w:val="14"/>
      </w:numPr>
      <w:tabs>
        <w:tab w:val="clear" w:pos="340"/>
      </w:tabs>
      <w:spacing w:before="40" w:after="40"/>
    </w:pPr>
  </w:style>
  <w:style w:type="character" w:customStyle="1" w:styleId="SpecialBold">
    <w:name w:val="Special Bold"/>
    <w:basedOn w:val="DefaultParagraphFont"/>
    <w:rsid w:val="002A495F"/>
    <w:rPr>
      <w:b/>
      <w:spacing w:val="0"/>
    </w:rPr>
  </w:style>
  <w:style w:type="paragraph" w:styleId="ListBullet2">
    <w:name w:val="List Bullet 2"/>
    <w:basedOn w:val="List2"/>
    <w:rsid w:val="002A495F"/>
    <w:pPr>
      <w:numPr>
        <w:numId w:val="15"/>
      </w:numPr>
      <w:tabs>
        <w:tab w:val="clear" w:pos="680"/>
      </w:tabs>
    </w:pPr>
  </w:style>
  <w:style w:type="paragraph" w:customStyle="1" w:styleId="SuperHeading">
    <w:name w:val="SuperHeading"/>
    <w:basedOn w:val="Normal"/>
    <w:rsid w:val="002A495F"/>
    <w:pPr>
      <w:spacing w:before="240" w:after="120"/>
      <w:outlineLvl w:val="0"/>
    </w:pPr>
    <w:rPr>
      <w:rFonts w:ascii="Times New Roman" w:hAnsi="Times New Roman"/>
      <w:b/>
      <w:sz w:val="32"/>
    </w:rPr>
  </w:style>
  <w:style w:type="paragraph" w:customStyle="1" w:styleId="AllowPageBreak">
    <w:name w:val="AllowPageBreak"/>
    <w:rsid w:val="002A49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495F"/>
    <w:pPr>
      <w:numPr>
        <w:numId w:val="3"/>
      </w:numPr>
      <w:tabs>
        <w:tab w:val="clear" w:pos="1021"/>
      </w:tabs>
      <w:ind w:left="1037" w:hanging="357"/>
    </w:pPr>
  </w:style>
  <w:style w:type="character" w:customStyle="1" w:styleId="Heading2Char">
    <w:name w:val="Heading 2 Char"/>
    <w:basedOn w:val="DefaultParagraphFont"/>
    <w:link w:val="Heading2"/>
    <w:rsid w:val="002A49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9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9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9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9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9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9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95F"/>
    <w:rPr>
      <w:rFonts w:ascii="Courier New" w:eastAsia="Times New Roman" w:hAnsi="Courier New" w:cs="Times New Roman"/>
      <w:i/>
      <w:szCs w:val="20"/>
      <w:lang w:eastAsia="en-US"/>
    </w:rPr>
  </w:style>
  <w:style w:type="paragraph" w:customStyle="1" w:styleId="HeadingBase">
    <w:name w:val="Heading Base"/>
    <w:rsid w:val="002A49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95F"/>
    <w:pPr>
      <w:tabs>
        <w:tab w:val="right" w:leader="dot" w:pos="9072"/>
      </w:tabs>
      <w:ind w:left="567"/>
    </w:pPr>
    <w:rPr>
      <w:szCs w:val="22"/>
    </w:rPr>
  </w:style>
  <w:style w:type="paragraph" w:customStyle="1" w:styleId="TOCBase">
    <w:name w:val="TOC Base"/>
    <w:rsid w:val="002A49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95F"/>
    <w:pPr>
      <w:tabs>
        <w:tab w:val="right" w:leader="dot" w:pos="9072"/>
      </w:tabs>
      <w:spacing w:before="40" w:after="40"/>
      <w:ind w:left="284"/>
    </w:pPr>
    <w:rPr>
      <w:rFonts w:ascii="Times New Roman" w:hAnsi="Times New Roman"/>
    </w:rPr>
  </w:style>
  <w:style w:type="paragraph" w:styleId="TOC1">
    <w:name w:val="toc 1"/>
    <w:basedOn w:val="TOCBase"/>
    <w:next w:val="Normal"/>
    <w:rsid w:val="002A49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9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95F"/>
    <w:rPr>
      <w:rFonts w:ascii="Times New Roman" w:eastAsia="Times New Roman" w:hAnsi="Times New Roman" w:cs="Times New Roman"/>
      <w:sz w:val="16"/>
      <w:lang w:eastAsia="en-US"/>
    </w:rPr>
  </w:style>
  <w:style w:type="paragraph" w:styleId="Title">
    <w:name w:val="Title"/>
    <w:basedOn w:val="HeadingBase"/>
    <w:link w:val="TitleChar"/>
    <w:qFormat/>
    <w:rsid w:val="002A495F"/>
    <w:pPr>
      <w:spacing w:before="5040"/>
      <w:jc w:val="center"/>
    </w:pPr>
    <w:rPr>
      <w:sz w:val="48"/>
      <w:szCs w:val="72"/>
      <w:lang w:val="en-US"/>
    </w:rPr>
  </w:style>
  <w:style w:type="character" w:customStyle="1" w:styleId="TitleChar">
    <w:name w:val="Title Char"/>
    <w:basedOn w:val="DefaultParagraphFont"/>
    <w:link w:val="Title"/>
    <w:rsid w:val="002A49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95F"/>
    <w:pPr>
      <w:tabs>
        <w:tab w:val="left" w:pos="3600"/>
        <w:tab w:val="left" w:pos="3958"/>
      </w:tabs>
    </w:pPr>
  </w:style>
  <w:style w:type="paragraph" w:styleId="List">
    <w:name w:val="List"/>
    <w:basedOn w:val="BodyText"/>
    <w:next w:val="BodyText"/>
    <w:rsid w:val="002A495F"/>
    <w:pPr>
      <w:tabs>
        <w:tab w:val="left" w:pos="340"/>
      </w:tabs>
      <w:spacing w:before="60" w:after="60"/>
      <w:ind w:left="340" w:hanging="340"/>
    </w:pPr>
  </w:style>
  <w:style w:type="paragraph" w:customStyle="1" w:styleId="Note">
    <w:name w:val="Note"/>
    <w:basedOn w:val="BodyText"/>
    <w:rsid w:val="002A49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95F"/>
    <w:pPr>
      <w:framePr w:wrap="auto" w:hAnchor="text" w:y="6049"/>
    </w:pPr>
    <w:rPr>
      <w:color w:val="000000"/>
      <w:sz w:val="40"/>
    </w:rPr>
  </w:style>
  <w:style w:type="paragraph" w:customStyle="1" w:styleId="TOCTitle">
    <w:name w:val="TOCTitle"/>
    <w:basedOn w:val="Heading1"/>
    <w:rsid w:val="002A495F"/>
    <w:pPr>
      <w:spacing w:after="240"/>
      <w:jc w:val="center"/>
      <w:outlineLvl w:val="9"/>
    </w:pPr>
    <w:rPr>
      <w:caps/>
    </w:rPr>
  </w:style>
  <w:style w:type="paragraph" w:customStyle="1" w:styleId="Version">
    <w:name w:val="Version"/>
    <w:rsid w:val="002A49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95F"/>
    <w:pPr>
      <w:keepNext w:val="0"/>
      <w:tabs>
        <w:tab w:val="right" w:pos="4176"/>
      </w:tabs>
      <w:ind w:left="198" w:hanging="198"/>
    </w:pPr>
    <w:rPr>
      <w:rFonts w:ascii="Garamond" w:hAnsi="Garamond"/>
    </w:rPr>
  </w:style>
  <w:style w:type="paragraph" w:styleId="IndexHeading">
    <w:name w:val="index heading"/>
    <w:basedOn w:val="Normal"/>
    <w:next w:val="Index1"/>
    <w:semiHidden/>
    <w:rsid w:val="002A495F"/>
    <w:pPr>
      <w:spacing w:before="120" w:after="120"/>
    </w:pPr>
    <w:rPr>
      <w:rFonts w:ascii="Arial" w:hAnsi="Arial"/>
      <w:b/>
      <w:color w:val="918585"/>
      <w:sz w:val="24"/>
    </w:rPr>
  </w:style>
  <w:style w:type="paragraph" w:styleId="Header">
    <w:name w:val="header"/>
    <w:basedOn w:val="Normal"/>
    <w:link w:val="HeaderChar"/>
    <w:rsid w:val="002A49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95F"/>
    <w:rPr>
      <w:rFonts w:ascii="Times New Roman" w:eastAsia="Times New Roman" w:hAnsi="Times New Roman" w:cs="Times New Roman"/>
      <w:sz w:val="16"/>
      <w:szCs w:val="20"/>
      <w:lang w:val="en-GB" w:eastAsia="en-US"/>
    </w:rPr>
  </w:style>
  <w:style w:type="paragraph" w:customStyle="1" w:styleId="Chapter">
    <w:name w:val="Chapter"/>
    <w:basedOn w:val="Normal"/>
    <w:rsid w:val="002A495F"/>
    <w:pPr>
      <w:spacing w:before="240"/>
    </w:pPr>
    <w:rPr>
      <w:rFonts w:ascii="Times New Roman" w:hAnsi="Times New Roman"/>
      <w:smallCaps/>
      <w:spacing w:val="80"/>
      <w:sz w:val="28"/>
    </w:rPr>
  </w:style>
  <w:style w:type="paragraph" w:customStyle="1" w:styleId="InChapter">
    <w:name w:val="InChapter"/>
    <w:basedOn w:val="Heading3"/>
    <w:rsid w:val="002A495F"/>
    <w:pPr>
      <w:spacing w:after="240"/>
      <w:outlineLvl w:val="9"/>
    </w:pPr>
    <w:rPr>
      <w:noProof/>
    </w:rPr>
  </w:style>
  <w:style w:type="paragraph" w:styleId="Index2">
    <w:name w:val="index 2"/>
    <w:basedOn w:val="Normal"/>
    <w:next w:val="Normal"/>
    <w:semiHidden/>
    <w:rsid w:val="002A495F"/>
    <w:pPr>
      <w:tabs>
        <w:tab w:val="right" w:pos="4176"/>
      </w:tabs>
      <w:ind w:left="568" w:hanging="284"/>
    </w:pPr>
    <w:rPr>
      <w:rFonts w:ascii="Garamond" w:hAnsi="Garamond"/>
    </w:rPr>
  </w:style>
  <w:style w:type="paragraph" w:customStyle="1" w:styleId="Byline">
    <w:name w:val="Byline"/>
    <w:rsid w:val="002A49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95F"/>
    <w:pPr>
      <w:tabs>
        <w:tab w:val="clear" w:pos="3600"/>
        <w:tab w:val="clear" w:pos="3958"/>
      </w:tabs>
      <w:jc w:val="right"/>
    </w:pPr>
  </w:style>
  <w:style w:type="character" w:styleId="Emphasis">
    <w:name w:val="Emphasis"/>
    <w:basedOn w:val="DefaultParagraphFont"/>
    <w:qFormat/>
    <w:rsid w:val="002A495F"/>
    <w:rPr>
      <w:i/>
    </w:rPr>
  </w:style>
  <w:style w:type="paragraph" w:styleId="Caption">
    <w:name w:val="caption"/>
    <w:basedOn w:val="BodyText"/>
    <w:next w:val="Normal"/>
    <w:qFormat/>
    <w:rsid w:val="002A495F"/>
    <w:pPr>
      <w:framePr w:w="2268" w:hSpace="181" w:vSpace="181" w:wrap="around" w:vAnchor="text" w:hAnchor="page" w:x="1135" w:y="285" w:anchorLock="1"/>
    </w:pPr>
    <w:rPr>
      <w:i/>
    </w:rPr>
  </w:style>
  <w:style w:type="paragraph" w:customStyle="1" w:styleId="MiniTOCTitle">
    <w:name w:val="MiniTOCTitle"/>
    <w:basedOn w:val="Heading4"/>
    <w:rsid w:val="002A495F"/>
    <w:pPr>
      <w:spacing w:before="240"/>
      <w:outlineLvl w:val="9"/>
    </w:pPr>
    <w:rPr>
      <w:noProof/>
      <w:sz w:val="24"/>
    </w:rPr>
  </w:style>
  <w:style w:type="paragraph" w:customStyle="1" w:styleId="MiniTOCItem">
    <w:name w:val="MiniTOCItem"/>
    <w:basedOn w:val="ListBullet"/>
    <w:rsid w:val="002A495F"/>
    <w:pPr>
      <w:numPr>
        <w:numId w:val="0"/>
      </w:numPr>
      <w:tabs>
        <w:tab w:val="right" w:leader="dot" w:pos="6521"/>
      </w:tabs>
      <w:spacing w:before="0" w:after="0"/>
    </w:pPr>
  </w:style>
  <w:style w:type="paragraph" w:customStyle="1" w:styleId="TOFTitle">
    <w:name w:val="TOFTitle"/>
    <w:basedOn w:val="TOCTitle"/>
    <w:rsid w:val="002A495F"/>
  </w:style>
  <w:style w:type="paragraph" w:styleId="TableofFigures">
    <w:name w:val="table of figures"/>
    <w:basedOn w:val="Normal"/>
    <w:next w:val="Normal"/>
    <w:semiHidden/>
    <w:rsid w:val="002A495F"/>
    <w:pPr>
      <w:tabs>
        <w:tab w:val="right" w:leader="dot" w:pos="9072"/>
      </w:tabs>
      <w:ind w:left="970" w:hanging="403"/>
    </w:pPr>
    <w:rPr>
      <w:rFonts w:ascii="Times New Roman" w:hAnsi="Times New Roman"/>
      <w:b/>
    </w:rPr>
  </w:style>
  <w:style w:type="paragraph" w:styleId="ListNumber">
    <w:name w:val="List Number"/>
    <w:basedOn w:val="List"/>
    <w:rsid w:val="002A495F"/>
    <w:pPr>
      <w:numPr>
        <w:numId w:val="12"/>
      </w:numPr>
    </w:pPr>
  </w:style>
  <w:style w:type="character" w:customStyle="1" w:styleId="WingdingSymbols">
    <w:name w:val="Wingding Symbols"/>
    <w:rsid w:val="002A495F"/>
    <w:rPr>
      <w:rFonts w:ascii="Wingdings" w:hAnsi="Wingdings"/>
    </w:rPr>
  </w:style>
  <w:style w:type="paragraph" w:customStyle="1" w:styleId="TableHeading">
    <w:name w:val="Table Heading"/>
    <w:basedOn w:val="HeadingBase"/>
    <w:rsid w:val="002A495F"/>
    <w:pPr>
      <w:keepLines/>
      <w:pBdr>
        <w:bottom w:val="single" w:sz="6" w:space="1" w:color="918585"/>
      </w:pBdr>
      <w:spacing w:before="240"/>
    </w:pPr>
  </w:style>
  <w:style w:type="character" w:customStyle="1" w:styleId="HotSpot">
    <w:name w:val="HotSpot"/>
    <w:rsid w:val="002A495F"/>
    <w:rPr>
      <w:color w:val="0033CC"/>
      <w:u w:val="none"/>
    </w:rPr>
  </w:style>
  <w:style w:type="paragraph" w:customStyle="1" w:styleId="BodyTextRight">
    <w:name w:val="Body Text Right"/>
    <w:basedOn w:val="BodyText"/>
    <w:rsid w:val="002A495F"/>
    <w:pPr>
      <w:spacing w:before="0" w:after="0"/>
      <w:jc w:val="right"/>
    </w:pPr>
  </w:style>
  <w:style w:type="paragraph" w:styleId="Index3">
    <w:name w:val="index 3"/>
    <w:basedOn w:val="ListNumber2"/>
    <w:next w:val="Normal"/>
    <w:semiHidden/>
    <w:rsid w:val="002A495F"/>
    <w:pPr>
      <w:numPr>
        <w:numId w:val="0"/>
      </w:numPr>
      <w:tabs>
        <w:tab w:val="right" w:leader="dot" w:pos="4176"/>
      </w:tabs>
    </w:pPr>
  </w:style>
  <w:style w:type="paragraph" w:styleId="ListNumber2">
    <w:name w:val="List Number 2"/>
    <w:basedOn w:val="List2"/>
    <w:rsid w:val="002A495F"/>
    <w:pPr>
      <w:numPr>
        <w:numId w:val="11"/>
      </w:numPr>
      <w:tabs>
        <w:tab w:val="clear" w:pos="1060"/>
      </w:tabs>
    </w:pPr>
  </w:style>
  <w:style w:type="paragraph" w:customStyle="1" w:styleId="MarginNote">
    <w:name w:val="Margin Note"/>
    <w:basedOn w:val="BodyText"/>
    <w:rsid w:val="002A49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9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9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95F"/>
    <w:rPr>
      <w:sz w:val="32"/>
    </w:rPr>
  </w:style>
  <w:style w:type="paragraph" w:customStyle="1" w:styleId="HeadingProcedure">
    <w:name w:val="Heading Procedure"/>
    <w:basedOn w:val="HeadingBase"/>
    <w:next w:val="Normal"/>
    <w:rsid w:val="002A495F"/>
    <w:pPr>
      <w:tabs>
        <w:tab w:val="left" w:pos="0"/>
      </w:tabs>
      <w:spacing w:before="120" w:after="60"/>
    </w:pPr>
    <w:rPr>
      <w:i/>
      <w:color w:val="918585"/>
      <w:sz w:val="22"/>
    </w:rPr>
  </w:style>
  <w:style w:type="paragraph" w:customStyle="1" w:styleId="TableBodyText">
    <w:name w:val="Table Body Text"/>
    <w:basedOn w:val="BodyText"/>
    <w:rsid w:val="002A495F"/>
    <w:pPr>
      <w:spacing w:before="60" w:after="60"/>
    </w:pPr>
  </w:style>
  <w:style w:type="paragraph" w:styleId="ListContinue">
    <w:name w:val="List Continue"/>
    <w:basedOn w:val="List"/>
    <w:rsid w:val="002A495F"/>
    <w:pPr>
      <w:ind w:firstLine="0"/>
    </w:pPr>
  </w:style>
  <w:style w:type="paragraph" w:customStyle="1" w:styleId="ListNote">
    <w:name w:val="List Note"/>
    <w:basedOn w:val="List"/>
    <w:rsid w:val="002A495F"/>
    <w:pPr>
      <w:pBdr>
        <w:top w:val="single" w:sz="6" w:space="2" w:color="918585"/>
        <w:bottom w:val="single" w:sz="6" w:space="2" w:color="918585"/>
      </w:pBdr>
      <w:tabs>
        <w:tab w:val="left" w:pos="1021"/>
      </w:tabs>
      <w:ind w:firstLine="0"/>
    </w:pPr>
  </w:style>
  <w:style w:type="paragraph" w:customStyle="1" w:styleId="Warning">
    <w:name w:val="Warning"/>
    <w:basedOn w:val="BodyText"/>
    <w:rsid w:val="002A495F"/>
    <w:pPr>
      <w:shd w:val="clear" w:color="auto" w:fill="D9D9D9"/>
      <w:tabs>
        <w:tab w:val="left" w:pos="992"/>
      </w:tabs>
      <w:ind w:left="119" w:right="119"/>
    </w:pPr>
    <w:rPr>
      <w:sz w:val="20"/>
    </w:rPr>
  </w:style>
  <w:style w:type="paragraph" w:customStyle="1" w:styleId="MarginIcons">
    <w:name w:val="Margin Icons"/>
    <w:basedOn w:val="BodyText"/>
    <w:rsid w:val="002A49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95F"/>
    <w:rPr>
      <w:rFonts w:ascii="Courier New" w:hAnsi="Courier New"/>
    </w:rPr>
  </w:style>
  <w:style w:type="paragraph" w:customStyle="1" w:styleId="NoteBullet">
    <w:name w:val="Note Bullet"/>
    <w:basedOn w:val="Note"/>
    <w:rsid w:val="002A495F"/>
    <w:pPr>
      <w:tabs>
        <w:tab w:val="clear" w:pos="680"/>
      </w:tabs>
      <w:spacing w:before="60" w:after="60"/>
    </w:pPr>
  </w:style>
  <w:style w:type="paragraph" w:customStyle="1" w:styleId="SubHeading2">
    <w:name w:val="SubHeading2"/>
    <w:basedOn w:val="HeadingBase"/>
    <w:rsid w:val="002A495F"/>
    <w:pPr>
      <w:spacing w:before="240" w:after="60"/>
    </w:pPr>
    <w:rPr>
      <w:sz w:val="20"/>
    </w:rPr>
  </w:style>
  <w:style w:type="paragraph" w:customStyle="1" w:styleId="SubHeading1">
    <w:name w:val="SubHeading1"/>
    <w:basedOn w:val="HeadingBase"/>
    <w:rsid w:val="002A495F"/>
    <w:pPr>
      <w:spacing w:before="240" w:after="60"/>
    </w:pPr>
    <w:rPr>
      <w:color w:val="918585"/>
      <w:sz w:val="22"/>
    </w:rPr>
  </w:style>
  <w:style w:type="paragraph" w:customStyle="1" w:styleId="SideHeading">
    <w:name w:val="Side Heading"/>
    <w:basedOn w:val="HeadingBase"/>
    <w:rsid w:val="002A49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95F"/>
    <w:pPr>
      <w:numPr>
        <w:numId w:val="13"/>
      </w:numPr>
    </w:pPr>
  </w:style>
  <w:style w:type="paragraph" w:styleId="PlainText">
    <w:name w:val="Plain Text"/>
    <w:basedOn w:val="Normal"/>
    <w:link w:val="PlainTextChar"/>
    <w:rsid w:val="002A495F"/>
    <w:rPr>
      <w:sz w:val="20"/>
    </w:rPr>
  </w:style>
  <w:style w:type="character" w:customStyle="1" w:styleId="PlainTextChar">
    <w:name w:val="Plain Text Char"/>
    <w:basedOn w:val="DefaultParagraphFont"/>
    <w:link w:val="PlainText"/>
    <w:rsid w:val="002A495F"/>
    <w:rPr>
      <w:rFonts w:ascii="Courier New" w:eastAsia="Times New Roman" w:hAnsi="Courier New" w:cs="Times New Roman"/>
      <w:sz w:val="20"/>
      <w:szCs w:val="20"/>
      <w:lang w:eastAsia="en-US"/>
    </w:rPr>
  </w:style>
  <w:style w:type="character" w:customStyle="1" w:styleId="MenuOption">
    <w:name w:val="Menu Option"/>
    <w:basedOn w:val="DefaultParagraphFont"/>
    <w:rsid w:val="002A495F"/>
    <w:rPr>
      <w:b/>
      <w:smallCaps/>
    </w:rPr>
  </w:style>
  <w:style w:type="paragraph" w:customStyle="1" w:styleId="TableListNumber">
    <w:name w:val="Table List Number"/>
    <w:basedOn w:val="ListNumber"/>
    <w:rsid w:val="002A495F"/>
    <w:pPr>
      <w:numPr>
        <w:numId w:val="0"/>
      </w:numPr>
    </w:pPr>
  </w:style>
  <w:style w:type="paragraph" w:styleId="TOC4">
    <w:name w:val="toc 4"/>
    <w:basedOn w:val="TOCBase"/>
    <w:next w:val="Normal"/>
    <w:semiHidden/>
    <w:rsid w:val="002A495F"/>
    <w:pPr>
      <w:tabs>
        <w:tab w:val="right" w:leader="dot" w:pos="9071"/>
      </w:tabs>
      <w:ind w:left="1701"/>
    </w:pPr>
  </w:style>
  <w:style w:type="paragraph" w:customStyle="1" w:styleId="ListAlpha">
    <w:name w:val="List Alpha"/>
    <w:basedOn w:val="List"/>
    <w:rsid w:val="002A495F"/>
    <w:pPr>
      <w:numPr>
        <w:numId w:val="10"/>
      </w:numPr>
    </w:pPr>
  </w:style>
  <w:style w:type="paragraph" w:customStyle="1" w:styleId="ListAlpha2">
    <w:name w:val="List Alpha 2"/>
    <w:basedOn w:val="List2"/>
    <w:rsid w:val="002A495F"/>
    <w:pPr>
      <w:numPr>
        <w:numId w:val="9"/>
      </w:numPr>
    </w:pPr>
  </w:style>
  <w:style w:type="paragraph" w:styleId="List2">
    <w:name w:val="List 2"/>
    <w:basedOn w:val="BodyText"/>
    <w:rsid w:val="002A495F"/>
    <w:pPr>
      <w:tabs>
        <w:tab w:val="left" w:pos="680"/>
      </w:tabs>
      <w:spacing w:before="60" w:after="60"/>
      <w:ind w:left="680" w:hanging="340"/>
    </w:pPr>
  </w:style>
  <w:style w:type="paragraph" w:styleId="List3">
    <w:name w:val="List 3"/>
    <w:basedOn w:val="BodyText"/>
    <w:rsid w:val="002A495F"/>
    <w:pPr>
      <w:tabs>
        <w:tab w:val="left" w:pos="1021"/>
      </w:tabs>
      <w:spacing w:before="60" w:after="60"/>
      <w:ind w:left="1020" w:hanging="340"/>
    </w:pPr>
  </w:style>
  <w:style w:type="paragraph" w:styleId="List4">
    <w:name w:val="List 4"/>
    <w:basedOn w:val="BodyText"/>
    <w:rsid w:val="002A495F"/>
    <w:pPr>
      <w:tabs>
        <w:tab w:val="left" w:pos="1361"/>
      </w:tabs>
      <w:spacing w:before="60" w:after="60"/>
      <w:ind w:left="1361" w:hanging="340"/>
    </w:pPr>
  </w:style>
  <w:style w:type="paragraph" w:styleId="List5">
    <w:name w:val="List 5"/>
    <w:basedOn w:val="BodyText"/>
    <w:rsid w:val="002A495F"/>
    <w:pPr>
      <w:tabs>
        <w:tab w:val="left" w:pos="1701"/>
      </w:tabs>
      <w:spacing w:before="60" w:after="60"/>
      <w:ind w:left="1701" w:hanging="340"/>
    </w:pPr>
  </w:style>
  <w:style w:type="paragraph" w:styleId="ListBullet4">
    <w:name w:val="List Bullet 4"/>
    <w:basedOn w:val="List4"/>
    <w:rsid w:val="002A495F"/>
    <w:pPr>
      <w:numPr>
        <w:numId w:val="4"/>
      </w:numPr>
    </w:pPr>
  </w:style>
  <w:style w:type="paragraph" w:styleId="ListBullet5">
    <w:name w:val="List Bullet 5"/>
    <w:basedOn w:val="List5"/>
    <w:rsid w:val="002A495F"/>
    <w:pPr>
      <w:numPr>
        <w:numId w:val="5"/>
      </w:numPr>
    </w:pPr>
  </w:style>
  <w:style w:type="paragraph" w:styleId="ListContinue2">
    <w:name w:val="List Continue 2"/>
    <w:basedOn w:val="List2"/>
    <w:rsid w:val="002A495F"/>
    <w:pPr>
      <w:ind w:firstLine="0"/>
    </w:pPr>
  </w:style>
  <w:style w:type="paragraph" w:styleId="ListContinue3">
    <w:name w:val="List Continue 3"/>
    <w:basedOn w:val="List3"/>
    <w:rsid w:val="002A495F"/>
    <w:pPr>
      <w:ind w:left="1021" w:firstLine="0"/>
    </w:pPr>
  </w:style>
  <w:style w:type="paragraph" w:styleId="ListContinue4">
    <w:name w:val="List Continue 4"/>
    <w:basedOn w:val="List4"/>
    <w:rsid w:val="002A495F"/>
    <w:pPr>
      <w:ind w:firstLine="0"/>
    </w:pPr>
  </w:style>
  <w:style w:type="paragraph" w:styleId="ListContinue5">
    <w:name w:val="List Continue 5"/>
    <w:basedOn w:val="List5"/>
    <w:rsid w:val="002A495F"/>
    <w:pPr>
      <w:ind w:firstLine="0"/>
    </w:pPr>
  </w:style>
  <w:style w:type="paragraph" w:styleId="ListNumber3">
    <w:name w:val="List Number 3"/>
    <w:basedOn w:val="List3"/>
    <w:rsid w:val="002A495F"/>
    <w:pPr>
      <w:numPr>
        <w:numId w:val="6"/>
      </w:numPr>
    </w:pPr>
  </w:style>
  <w:style w:type="paragraph" w:styleId="ListNumber4">
    <w:name w:val="List Number 4"/>
    <w:basedOn w:val="List4"/>
    <w:rsid w:val="002A495F"/>
    <w:pPr>
      <w:numPr>
        <w:numId w:val="7"/>
      </w:numPr>
    </w:pPr>
  </w:style>
  <w:style w:type="paragraph" w:styleId="ListNumber5">
    <w:name w:val="List Number 5"/>
    <w:basedOn w:val="List5"/>
    <w:rsid w:val="002A495F"/>
    <w:pPr>
      <w:numPr>
        <w:numId w:val="8"/>
      </w:numPr>
    </w:pPr>
  </w:style>
  <w:style w:type="paragraph" w:styleId="BlockText">
    <w:name w:val="Block Text"/>
    <w:basedOn w:val="Normal"/>
    <w:rsid w:val="002A495F"/>
    <w:pPr>
      <w:spacing w:after="120"/>
      <w:ind w:left="1440" w:right="1440"/>
    </w:pPr>
  </w:style>
  <w:style w:type="character" w:customStyle="1" w:styleId="Subscript">
    <w:name w:val="Subscript"/>
    <w:basedOn w:val="DefaultParagraphFont"/>
    <w:rsid w:val="002A495F"/>
    <w:rPr>
      <w:sz w:val="16"/>
      <w:vertAlign w:val="subscript"/>
    </w:rPr>
  </w:style>
  <w:style w:type="character" w:customStyle="1" w:styleId="Superscript">
    <w:name w:val="Superscript"/>
    <w:basedOn w:val="DefaultParagraphFont"/>
    <w:rsid w:val="002A495F"/>
    <w:rPr>
      <w:sz w:val="16"/>
      <w:vertAlign w:val="superscript"/>
    </w:rPr>
  </w:style>
  <w:style w:type="character" w:customStyle="1" w:styleId="Symbols">
    <w:name w:val="Symbols"/>
    <w:basedOn w:val="DefaultParagraphFont"/>
    <w:rsid w:val="002A495F"/>
    <w:rPr>
      <w:rFonts w:ascii="Symbol" w:hAnsi="Symbol"/>
    </w:rPr>
  </w:style>
  <w:style w:type="character" w:customStyle="1" w:styleId="MenuOptions">
    <w:name w:val="Menu Options"/>
    <w:basedOn w:val="DefaultParagraphFont"/>
    <w:rsid w:val="002A495F"/>
    <w:rPr>
      <w:rFonts w:ascii="Arial Narrow" w:hAnsi="Arial Narrow"/>
      <w:smallCaps/>
    </w:rPr>
  </w:style>
  <w:style w:type="character" w:customStyle="1" w:styleId="Buttons">
    <w:name w:val="Buttons"/>
    <w:basedOn w:val="DefaultParagraphFont"/>
    <w:rsid w:val="002A495F"/>
    <w:rPr>
      <w:b/>
    </w:rPr>
  </w:style>
  <w:style w:type="character" w:customStyle="1" w:styleId="Underlined">
    <w:name w:val="Underlined"/>
    <w:basedOn w:val="DefaultParagraphFont"/>
    <w:rsid w:val="002A495F"/>
    <w:rPr>
      <w:u w:val="single"/>
    </w:rPr>
  </w:style>
  <w:style w:type="paragraph" w:customStyle="1" w:styleId="TableBodyTextRight">
    <w:name w:val="Table Body Text Right"/>
    <w:basedOn w:val="TableBodyText"/>
    <w:rsid w:val="002A495F"/>
    <w:pPr>
      <w:widowControl w:val="0"/>
      <w:autoSpaceDE w:val="0"/>
      <w:autoSpaceDN w:val="0"/>
      <w:adjustRightInd w:val="0"/>
      <w:jc w:val="right"/>
    </w:pPr>
    <w:rPr>
      <w:rFonts w:cs="Arial"/>
      <w:szCs w:val="18"/>
    </w:rPr>
  </w:style>
  <w:style w:type="paragraph" w:customStyle="1" w:styleId="CopyrightText">
    <w:name w:val="Copyright Text"/>
    <w:basedOn w:val="BodyText"/>
    <w:rsid w:val="002A495F"/>
    <w:rPr>
      <w:sz w:val="18"/>
    </w:rPr>
  </w:style>
  <w:style w:type="paragraph" w:customStyle="1" w:styleId="BodySmallRight">
    <w:name w:val="Body Small Right"/>
    <w:basedOn w:val="BodyTextRight"/>
    <w:rsid w:val="002A495F"/>
    <w:rPr>
      <w:sz w:val="18"/>
      <w:szCs w:val="18"/>
    </w:rPr>
  </w:style>
  <w:style w:type="paragraph" w:customStyle="1" w:styleId="MarginEdition">
    <w:name w:val="Margin Edition"/>
    <w:basedOn w:val="MarginNote"/>
    <w:rsid w:val="002A495F"/>
    <w:pPr>
      <w:spacing w:before="0" w:after="0"/>
    </w:pPr>
    <w:rPr>
      <w:rFonts w:ascii="Times New Roman" w:hAnsi="Times New Roman"/>
      <w:color w:val="999999"/>
    </w:rPr>
  </w:style>
  <w:style w:type="paragraph" w:customStyle="1" w:styleId="Spacer">
    <w:name w:val="Spacer"/>
    <w:basedOn w:val="Normal"/>
    <w:rsid w:val="002A495F"/>
    <w:rPr>
      <w:sz w:val="2"/>
      <w:szCs w:val="2"/>
    </w:rPr>
  </w:style>
  <w:style w:type="character" w:customStyle="1" w:styleId="Small">
    <w:name w:val="Small"/>
    <w:basedOn w:val="DefaultParagraphFont"/>
    <w:rsid w:val="002A495F"/>
    <w:rPr>
      <w:sz w:val="16"/>
    </w:rPr>
  </w:style>
  <w:style w:type="paragraph" w:customStyle="1" w:styleId="WideTable">
    <w:name w:val="Wide Table"/>
    <w:basedOn w:val="Normal"/>
    <w:rsid w:val="002A495F"/>
    <w:pPr>
      <w:ind w:left="-1418"/>
    </w:pPr>
    <w:rPr>
      <w:sz w:val="2"/>
      <w:szCs w:val="2"/>
    </w:rPr>
  </w:style>
  <w:style w:type="character" w:styleId="PageNumber">
    <w:name w:val="page number"/>
    <w:basedOn w:val="DefaultParagraphFont"/>
    <w:rsid w:val="002A495F"/>
  </w:style>
  <w:style w:type="paragraph" w:styleId="Quote">
    <w:name w:val="Quote"/>
    <w:basedOn w:val="Heading1"/>
    <w:link w:val="QuoteChar"/>
    <w:qFormat/>
    <w:rsid w:val="002A495F"/>
    <w:rPr>
      <w:b w:val="0"/>
      <w:sz w:val="72"/>
      <w:szCs w:val="72"/>
      <w:lang w:val="en-NZ"/>
    </w:rPr>
  </w:style>
  <w:style w:type="character" w:customStyle="1" w:styleId="QuoteChar">
    <w:name w:val="Quote Char"/>
    <w:basedOn w:val="DefaultParagraphFont"/>
    <w:link w:val="Quote"/>
    <w:rsid w:val="002A49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95F"/>
    <w:pPr>
      <w:pageBreakBefore/>
    </w:pPr>
  </w:style>
  <w:style w:type="paragraph" w:customStyle="1" w:styleId="Border">
    <w:name w:val="Border"/>
    <w:basedOn w:val="Normal"/>
    <w:qFormat/>
    <w:rsid w:val="002A49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95F"/>
    <w:rPr>
      <w:b/>
      <w:bCs/>
      <w:i/>
      <w:iCs/>
      <w:color w:val="auto"/>
    </w:rPr>
  </w:style>
  <w:style w:type="paragraph" w:styleId="IntenseQuote">
    <w:name w:val="Intense Quote"/>
    <w:basedOn w:val="Normal"/>
    <w:next w:val="Normal"/>
    <w:link w:val="IntenseQuoteChar"/>
    <w:uiPriority w:val="30"/>
    <w:qFormat/>
    <w:rsid w:val="002A49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9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95F"/>
    <w:rPr>
      <w:smallCaps/>
      <w:color w:val="auto"/>
      <w:u w:val="single"/>
    </w:rPr>
  </w:style>
  <w:style w:type="character" w:styleId="IntenseReference">
    <w:name w:val="Intense Reference"/>
    <w:basedOn w:val="DefaultParagraphFont"/>
    <w:uiPriority w:val="32"/>
    <w:qFormat/>
    <w:rsid w:val="002A495F"/>
    <w:rPr>
      <w:b/>
      <w:bCs/>
      <w:smallCaps/>
      <w:color w:val="auto"/>
      <w:spacing w:val="5"/>
      <w:u w:val="single"/>
    </w:rPr>
  </w:style>
  <w:style w:type="paragraph" w:customStyle="1" w:styleId="2ColumnHeading">
    <w:name w:val="2Column Heading"/>
    <w:basedOn w:val="BodyText"/>
    <w:qFormat/>
    <w:rsid w:val="002A495F"/>
    <w:pPr>
      <w:spacing w:after="60"/>
      <w:ind w:left="-2268"/>
    </w:pPr>
    <w:rPr>
      <w:b/>
    </w:rPr>
  </w:style>
  <w:style w:type="paragraph" w:customStyle="1" w:styleId="Heading1TOC">
    <w:name w:val="Heading1 TOC"/>
    <w:basedOn w:val="Normal"/>
    <w:qFormat/>
    <w:rsid w:val="002A495F"/>
    <w:pPr>
      <w:spacing w:before="240" w:after="120"/>
    </w:pPr>
    <w:rPr>
      <w:rFonts w:ascii="Times New Roman" w:hAnsi="Times New Roman"/>
      <w:b/>
      <w:sz w:val="32"/>
    </w:rPr>
  </w:style>
  <w:style w:type="paragraph" w:customStyle="1" w:styleId="Heading2TOC">
    <w:name w:val="Heading2 TOC"/>
    <w:basedOn w:val="Normal"/>
    <w:qFormat/>
    <w:rsid w:val="002A495F"/>
    <w:pPr>
      <w:spacing w:before="240" w:after="60"/>
    </w:pPr>
    <w:rPr>
      <w:rFonts w:ascii="Times New Roman" w:hAnsi="Times New Roman"/>
      <w:b/>
      <w:sz w:val="28"/>
    </w:rPr>
  </w:style>
  <w:style w:type="character" w:customStyle="1" w:styleId="Underline">
    <w:name w:val="Underline"/>
    <w:basedOn w:val="DefaultParagraphFont"/>
    <w:qFormat/>
    <w:rsid w:val="002A495F"/>
    <w:rPr>
      <w:u w:val="single"/>
    </w:rPr>
  </w:style>
  <w:style w:type="character" w:customStyle="1" w:styleId="BoldandItalics">
    <w:name w:val="Bold and Italics"/>
    <w:qFormat/>
    <w:rsid w:val="002A495F"/>
    <w:rPr>
      <w:b/>
      <w:i/>
      <w:u w:val="none"/>
    </w:rPr>
  </w:style>
  <w:style w:type="paragraph" w:styleId="BalloonText">
    <w:name w:val="Balloon Text"/>
    <w:basedOn w:val="Normal"/>
    <w:link w:val="BalloonTextChar"/>
    <w:rsid w:val="002A495F"/>
    <w:rPr>
      <w:rFonts w:ascii="Tahoma" w:hAnsi="Tahoma" w:cs="Tahoma"/>
      <w:sz w:val="16"/>
      <w:szCs w:val="16"/>
    </w:rPr>
  </w:style>
  <w:style w:type="character" w:customStyle="1" w:styleId="BalloonTextChar">
    <w:name w:val="Balloon Text Char"/>
    <w:basedOn w:val="DefaultParagraphFont"/>
    <w:link w:val="BalloonText"/>
    <w:rsid w:val="002A49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9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49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95F"/>
    <w:rPr>
      <w:b/>
      <w:color w:val="660033"/>
      <w:spacing w:val="0"/>
    </w:rPr>
  </w:style>
  <w:style w:type="paragraph" w:customStyle="1" w:styleId="Nameditemlist">
    <w:name w:val="Named item list"/>
    <w:basedOn w:val="BodyText"/>
    <w:qFormat/>
    <w:rsid w:val="002A49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2189</Words>
  <Characters>13197</Characters>
  <Application>Microsoft Office Word</Application>
  <DocSecurity>0</DocSecurity>
  <Lines>495</Lines>
  <Paragraphs>216</Paragraphs>
  <ScaleCrop>false</ScaleCrop>
  <Company>Author-it Software Corporation Ltd.</Company>
  <LinksUpToDate>false</LinksUpToDate>
  <CharactersWithSpaces>15259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UEENEEE148A Carry out routine work activities in an energy sector environment</dc:title>
  <dc:subject>Approved</dc:subject>
  <dc:creator>E-OZ Training Standards</dc:creator>
  <cp:keywords>Release: 2</cp:keywords>
  <dc:description>Review Date: 12 April 2008</dc:description>
  <cp:lastModifiedBy>TPCMS</cp:lastModifiedBy>
  <cp:revision>3</cp:revision>
  <dcterms:created xsi:type="dcterms:W3CDTF">2013-08-14T07:52:00Z</dcterms:created>
  <dcterms:modified xsi:type="dcterms:W3CDTF">2013-08-14T07:52:00Z</dcterms:modified>
</cp:coreProperties>
</file>