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453" w:rsidP="00243453">
      <w:pPr>
        <w:pStyle w:val="Title"/>
      </w:pPr>
      <w:bookmarkStart w:id="0" w:name="_GoBack"/>
      <w:bookmarkEnd w:id="0"/>
      <w:r>
        <w:fldChar w:fldCharType="begin"/>
      </w:r>
      <w:r>
        <w:instrText xml:space="preserve"> TITLE   \* MERGEFORMAT </w:instrText>
      </w:r>
      <w:r>
        <w:fldChar w:fldCharType="separate"/>
      </w:r>
      <w:r>
        <w:t>UEENEEE147A Identify building techniques, methods and materials used in energy sector work activities</w:t>
      </w:r>
      <w:r>
        <w:fldChar w:fldCharType="end"/>
      </w:r>
    </w:p>
    <w:p w:rsidR="00243453" w:rsidP="00243453">
      <w:pPr>
        <w:pStyle w:val="Version"/>
        <w:sectPr w:rsidSect="00D372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24F" w:rsidP="00D3724F">
      <w:pPr>
        <w:pStyle w:val="SuperHeading"/>
      </w:pPr>
      <w:r w:rsidRPr="00D3724F">
        <w:t>UEENEEE147A Identify building techniques, methods and materials used in energy sector work activities</w:t>
      </w:r>
    </w:p>
    <w:p w:rsidR="00000000" w:rsidRPr="00D3724F" w:rsidP="00D3724F">
      <w:pPr>
        <w:pStyle w:val="Heading1"/>
      </w:pPr>
      <w:bookmarkStart w:id="1" w:name="O_417950"/>
      <w:bookmarkEnd w:id="1"/>
      <w:r w:rsidRPr="00D3724F">
        <w:t>Modification History</w:t>
      </w:r>
    </w:p>
    <w:p w:rsidR="00000000" w:rsidRPr="00D3724F" w:rsidP="00D3724F">
      <w:pPr>
        <w:pStyle w:val="BodyText"/>
      </w:pPr>
      <w:r w:rsidRPr="00D3724F">
        <w:t>Not applicable.</w:t>
      </w:r>
    </w:p>
    <w:p w:rsidR="00000000" w:rsidRPr="00D3724F" w:rsidP="00D3724F">
      <w:pPr>
        <w:pStyle w:val="AllowPageBreak"/>
      </w:pPr>
    </w:p>
    <w:p w:rsidR="00000000" w:rsidRPr="00D3724F" w:rsidP="00D3724F">
      <w:pPr>
        <w:pStyle w:val="Heading1"/>
      </w:pPr>
      <w:bookmarkStart w:id="2" w:name="O_417948"/>
      <w:bookmarkEnd w:id="2"/>
      <w:r w:rsidRPr="00D3724F">
        <w:t>Unit Descriptor</w:t>
      </w:r>
    </w:p>
    <w:tbl>
      <w:tblPr>
        <w:tblW w:w="0" w:type="auto"/>
        <w:tblLayout w:type="fixed"/>
        <w:tblCellMar>
          <w:left w:w="62" w:type="dxa"/>
          <w:right w:w="62" w:type="dxa"/>
        </w:tblCellMar>
        <w:tblLook w:val="0000"/>
      </w:tblPr>
      <w:tblGrid>
        <w:gridCol w:w="2700"/>
        <w:gridCol w:w="5760"/>
      </w:tblGrid>
      <w:tr w:rsidTr="002434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1)</w:t>
            </w:r>
            <w:r w:rsidRPr="00D3724F">
              <w:t xml:space="preserve"> </w:t>
            </w:r>
            <w:r w:rsidRPr="00D3724F">
              <w:rPr>
                <w:rStyle w:val="SpecialBold"/>
              </w:rPr>
              <w:t>Scope:</w:t>
            </w:r>
          </w:p>
        </w:tc>
      </w:tr>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724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1.1) Descriptor</w:t>
            </w:r>
          </w:p>
        </w:tc>
      </w:tr>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 xml:space="preserve">This unit covers identifying a range of techniques, methods and materials used in energy sector work activities including types of fixing devices, </w:t>
            </w:r>
            <w:r w:rsidRPr="00D3724F">
              <w:t xml:space="preserve">segregation requirements, fixing structures, walls and floor structures, lifting techniques and other related building materials. </w:t>
            </w:r>
          </w:p>
          <w:p w:rsidR="00000000" w:rsidRPr="00D3724F" w:rsidP="00D3724F">
            <w:pPr>
              <w:pStyle w:val="BodyText"/>
            </w:pPr>
            <w:r w:rsidRPr="00D3724F">
              <w:t>It encompasses working safely, applying knowledge of identifying building techniques, methods and materials used in electrote</w:t>
            </w:r>
            <w:r w:rsidRPr="00D3724F">
              <w:t>chnology work activities.</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3" w:name="O_417937"/>
      <w:bookmarkEnd w:id="3"/>
      <w:r w:rsidRPr="00D3724F">
        <w:t>Application of the Unit</w:t>
      </w:r>
    </w:p>
    <w:tbl>
      <w:tblPr>
        <w:tblW w:w="0" w:type="auto"/>
        <w:tblLayout w:type="fixed"/>
        <w:tblCellMar>
          <w:left w:w="62" w:type="dxa"/>
          <w:right w:w="62" w:type="dxa"/>
        </w:tblCellMar>
        <w:tblLook w:val="0000"/>
      </w:tblPr>
      <w:tblGrid>
        <w:gridCol w:w="2672"/>
        <w:gridCol w:w="5699"/>
      </w:tblGrid>
      <w:tr w:rsidTr="002434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2)</w:t>
            </w:r>
          </w:p>
        </w:tc>
      </w:tr>
      <w:tr w:rsidTr="002434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This unit shall apply to persons entering work in energy sector and may be used in school-based vocational programs.</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4" w:name="O_417944"/>
      <w:bookmarkEnd w:id="4"/>
      <w:r w:rsidRPr="00D3724F">
        <w:t>Licensing/Regulatory Information</w:t>
      </w:r>
    </w:p>
    <w:tbl>
      <w:tblPr>
        <w:tblW w:w="0" w:type="auto"/>
        <w:tblLayout w:type="fixed"/>
        <w:tblCellMar>
          <w:left w:w="62" w:type="dxa"/>
          <w:right w:w="62" w:type="dxa"/>
        </w:tblCellMar>
        <w:tblLook w:val="0000"/>
      </w:tblPr>
      <w:tblGrid>
        <w:gridCol w:w="2700"/>
        <w:gridCol w:w="5760"/>
      </w:tblGrid>
      <w:tr w:rsidTr="002434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 xml:space="preserve">3) </w:t>
            </w:r>
          </w:p>
        </w:tc>
      </w:tr>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The skills and knowledge described in this unit do not require a license to practice in the workplace. However practice in this unit is subject to regulations directly related to occupational healt</w:t>
            </w:r>
            <w:r w:rsidRPr="00D3724F">
              <w:t>h and safe and contracts of training such as new apprenticeships.</w:t>
            </w:r>
          </w:p>
          <w:p w:rsidR="00000000" w:rsidRPr="00D3724F" w:rsidP="00D3724F">
            <w:pPr>
              <w:pStyle w:val="BodyText"/>
            </w:pPr>
            <w:r w:rsidRPr="00D3724F">
              <w:t xml:space="preserve">Note: </w:t>
            </w:r>
          </w:p>
          <w:p w:rsidR="00000000" w:rsidRPr="00D3724F" w:rsidP="00D3724F">
            <w:pPr>
              <w:pStyle w:val="BodyText"/>
            </w:pPr>
            <w:r w:rsidRPr="00D3724F">
              <w:t>1. Compliance with permits may be required in various jurisdictions and typically relates to the operation of plant, machinery and equipment such as elevating work platforms, powder o</w:t>
            </w:r>
            <w:r w:rsidRPr="00D3724F">
              <w:t>perated fixing tools, and power operated tools, vehicles, road signage and traffic control, lifting equipment. Permits may also be required for some work environments such as confined spaces, working aloft, near live electrical apparatus and site rehabilit</w:t>
            </w:r>
            <w:r w:rsidRPr="00D3724F">
              <w:t>ation.</w:t>
            </w:r>
          </w:p>
          <w:p w:rsidR="00000000" w:rsidRPr="00D3724F" w:rsidP="00D3724F">
            <w:pPr>
              <w:pStyle w:val="BodyText"/>
            </w:pPr>
            <w:r w:rsidRPr="00D3724F">
              <w:t>2. Compliance may be required in various jurisdictions relating to currency in First Aid, confined space, lifting and risk safety measures.</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5" w:name="O_417945"/>
      <w:bookmarkEnd w:id="5"/>
      <w:r w:rsidRPr="00D3724F">
        <w:t>Pre-Requisites</w:t>
      </w:r>
    </w:p>
    <w:tbl>
      <w:tblPr>
        <w:tblW w:w="0" w:type="auto"/>
        <w:tblLayout w:type="fixed"/>
        <w:tblCellMar>
          <w:left w:w="62" w:type="dxa"/>
          <w:right w:w="62" w:type="dxa"/>
        </w:tblCellMar>
        <w:tblLook w:val="0000"/>
      </w:tblPr>
      <w:tblGrid>
        <w:gridCol w:w="2700"/>
        <w:gridCol w:w="1440"/>
        <w:gridCol w:w="4320"/>
      </w:tblGrid>
      <w:tr w:rsidTr="002434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 xml:space="preserve">4) </w:t>
            </w:r>
          </w:p>
        </w:tc>
      </w:tr>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4.1)</w:t>
            </w:r>
          </w:p>
        </w:tc>
      </w:tr>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Granting competency in this unit shall be made only after competency in the following unit(s) has/have been confirmed.</w:t>
            </w:r>
          </w:p>
        </w:tc>
      </w:tr>
      <w:tr w:rsidTr="0024345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UEENEEE101A</w:t>
            </w:r>
          </w:p>
        </w:tc>
        <w:tc>
          <w:tcPr>
            <w:tcW w:w="432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Apply Occupational Health and Safety regulations, codes and practices in the workplace</w:t>
            </w:r>
          </w:p>
        </w:tc>
      </w:tr>
    </w:tbl>
    <w:p w:rsidR="00000000" w:rsidRPr="00D3724F" w:rsidP="00D3724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4345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4.2)</w:t>
            </w:r>
            <w:r w:rsidRPr="00D3724F">
              <w:rPr>
                <w:rStyle w:val="SpecialBold"/>
              </w:rPr>
              <w:t xml:space="preserve"> </w:t>
            </w:r>
          </w:p>
        </w:tc>
      </w:tr>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Participants are best equipped to achieve competency in this unit if they have reading, writing and numeracy skills indicated by the following scales. Description of each scale is given in Volume 2, Part 3 ‘Literacy and Numeracy’</w:t>
            </w:r>
          </w:p>
        </w:tc>
      </w:tr>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Reading</w:t>
            </w:r>
          </w:p>
        </w:tc>
        <w:tc>
          <w:tcPr>
            <w:tcW w:w="81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3</w:t>
            </w:r>
          </w:p>
        </w:tc>
        <w:tc>
          <w:tcPr>
            <w:tcW w:w="99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Writing</w:t>
            </w: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3</w:t>
            </w:r>
          </w:p>
        </w:tc>
        <w:tc>
          <w:tcPr>
            <w:tcW w:w="12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Numeracy</w:t>
            </w:r>
          </w:p>
        </w:tc>
        <w:tc>
          <w:tcPr>
            <w:tcW w:w="72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3</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6" w:name="O_417941"/>
      <w:bookmarkEnd w:id="6"/>
      <w:r w:rsidRPr="00D3724F">
        <w:t>Employability Skills Information</w:t>
      </w:r>
    </w:p>
    <w:tbl>
      <w:tblPr>
        <w:tblW w:w="0" w:type="auto"/>
        <w:tblLayout w:type="fixed"/>
        <w:tblCellMar>
          <w:left w:w="62" w:type="dxa"/>
          <w:right w:w="62" w:type="dxa"/>
        </w:tblCellMar>
        <w:tblLook w:val="0000"/>
      </w:tblPr>
      <w:tblGrid>
        <w:gridCol w:w="2700"/>
        <w:gridCol w:w="5760"/>
      </w:tblGrid>
      <w:tr w:rsidTr="002434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 xml:space="preserve">5) </w:t>
            </w:r>
          </w:p>
        </w:tc>
      </w:tr>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This unit contains Employability Skills</w:t>
            </w:r>
          </w:p>
          <w:p w:rsidR="00000000" w:rsidRPr="00D3724F" w:rsidP="00D3724F">
            <w:pPr>
              <w:pStyle w:val="BodyText"/>
            </w:pPr>
            <w:r w:rsidRPr="00D3724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3724F">
              <w:t>requirements.</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7" w:name="O_417940"/>
      <w:bookmarkEnd w:id="7"/>
      <w:r w:rsidRPr="00D3724F">
        <w:t>Elements and Performance Criteria Pre-Content</w:t>
      </w:r>
    </w:p>
    <w:tbl>
      <w:tblPr>
        <w:tblW w:w="0" w:type="auto"/>
        <w:tblLayout w:type="fixed"/>
        <w:tblCellMar>
          <w:left w:w="62" w:type="dxa"/>
          <w:right w:w="62" w:type="dxa"/>
        </w:tblCellMar>
        <w:tblLook w:val="0000"/>
      </w:tblPr>
      <w:tblGrid>
        <w:gridCol w:w="2700"/>
        <w:gridCol w:w="5760"/>
      </w:tblGrid>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6)</w:t>
            </w:r>
            <w:r w:rsidRPr="00D3724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Performance Criteria describe the required performance needed to demonstrate achievement of the element. Assessment of performance is to be consistent with the Evidence Guide.</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8" w:name="O_417939"/>
      <w:bookmarkEnd w:id="8"/>
      <w:r w:rsidRPr="00D3724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4345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PERFORMANCE CRITER</w:t>
            </w:r>
            <w:r w:rsidRPr="00D3724F">
              <w:rPr>
                <w:rStyle w:val="SpecialBold"/>
              </w:rPr>
              <w:t>IA</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1</w:t>
            </w:r>
          </w:p>
        </w:tc>
        <w:tc>
          <w:tcPr>
            <w:tcW w:w="2296" w:type="dxa"/>
            <w:vMerge w:val="restart"/>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Prepare to identify building techniques, methods and materials.</w:t>
            </w: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1.1</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Instructions for identifying building techniques, methods and materials used in electrotechnology work are communicated and confirmed to ensure clear understanding.</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1.2</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OHS policies and procedures are communicated and confirmed to ensure they are understood as they apply to the carrying out of the work.</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1.3</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Tools, equipment and personnel protective equipment necessary for the work are identified, scheduled and checked to ensure they work correctly as intended and are safe to use in accordance with established procedures.</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1.4</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Appropriate personnel are consu</w:t>
            </w:r>
            <w:r w:rsidRPr="00D3724F">
              <w:t>lted to ensure the identification of building techniques, methods and materials used is coordinated effectively with others involved.</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1.5</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 xml:space="preserve">Resources and materials needed to do the work are confirmed, scheduled and obtained in accordance with established </w:t>
            </w:r>
            <w:r w:rsidRPr="00D3724F">
              <w:t>procedures.</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1.6</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Schedule for identifying building techniques, methods and materials used including practices for working safely are confirmed in accordance with instructions and requirements.</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2</w:t>
            </w:r>
          </w:p>
        </w:tc>
        <w:tc>
          <w:tcPr>
            <w:tcW w:w="2296" w:type="dxa"/>
            <w:vMerge w:val="restart"/>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Identify building techniques, methods and materials.</w:t>
            </w: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2.1</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OHS policies and procedures and safe work practices are followed to eliminate or minimise incidents.</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2.2</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Schedule to identify building techniques, methods and materials used is followed to ensure work is completed in an agreed time, to a quality standar</w:t>
            </w:r>
            <w:r w:rsidRPr="00D3724F">
              <w:t>d and with a minimum of waste.</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2.3</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Further instructions are sought from appropriate personnel in the event of unplanned happenings or conditions.</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2.4</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Ongoing checks of work quality are undertaken in accordance with instructions and requirements.</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3</w:t>
            </w:r>
          </w:p>
        </w:tc>
        <w:tc>
          <w:tcPr>
            <w:tcW w:w="2296" w:type="dxa"/>
            <w:vMerge w:val="restart"/>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Confirm building techniques, methods and materials used.</w:t>
            </w: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3.1</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Final checks are made to ensure the identification of building techniques, methods and materials used conforms with instructions and to requirements.</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3.2</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Appropriate personnel are notified of completion to identify techniques, methods and materials used.</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3.3</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Tools, equipment and any surplus resources and materials are, where appropriate, cleaned, checked and returned to storage in accordance with establi</w:t>
            </w:r>
            <w:r w:rsidRPr="00D3724F">
              <w:t>shed procedures.</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3.4</w:t>
            </w:r>
          </w:p>
        </w:tc>
        <w:tc>
          <w:tcPr>
            <w:tcW w:w="48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Work area is cleaned up and made safe and sustainable energy practices are followed.</w:t>
            </w:r>
          </w:p>
        </w:tc>
      </w:tr>
      <w:tr w:rsidTr="002434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3.5</w:t>
            </w:r>
          </w:p>
        </w:tc>
        <w:tc>
          <w:tcPr>
            <w:tcW w:w="486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Appropriate records are updated in accordance with instructions and established procedures.</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9" w:name="O_417947"/>
      <w:bookmarkEnd w:id="9"/>
      <w:r w:rsidRPr="00D3724F">
        <w:t>Required Skills and Knowledge</w:t>
      </w:r>
    </w:p>
    <w:tbl>
      <w:tblPr>
        <w:tblW w:w="0" w:type="auto"/>
        <w:tblLayout w:type="fixed"/>
        <w:tblCellMar>
          <w:left w:w="62" w:type="dxa"/>
          <w:right w:w="62" w:type="dxa"/>
        </w:tblCellMar>
        <w:tblLook w:val="0000"/>
      </w:tblPr>
      <w:tblGrid>
        <w:gridCol w:w="8460"/>
      </w:tblGrid>
      <w:tr w:rsidTr="002434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REQUIRED SKILLS AND KNOWLEDGE</w:t>
            </w:r>
          </w:p>
        </w:tc>
      </w:tr>
      <w:tr w:rsidTr="0024345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8)</w:t>
            </w:r>
            <w:r w:rsidRPr="00D3724F">
              <w:t xml:space="preserve"> This describes the essential skills and knowledge and their level, required for this unit.</w:t>
            </w:r>
          </w:p>
          <w:p w:rsidR="00000000" w:rsidRPr="00D3724F" w:rsidP="00D3724F">
            <w:pPr>
              <w:pStyle w:val="BodyText"/>
            </w:pPr>
            <w:r w:rsidRPr="00D3724F">
              <w:t>Evidence shall show that knowledge has been acquired of safe working practices and identifying building techniques, methods and ma</w:t>
            </w:r>
            <w:r w:rsidRPr="00D3724F">
              <w:t>terials used in energy sector work activities.</w:t>
            </w:r>
          </w:p>
          <w:p w:rsidR="00000000" w:rsidRPr="00D3724F" w:rsidP="00D3724F">
            <w:pPr>
              <w:pStyle w:val="BodyText"/>
            </w:pPr>
            <w:r w:rsidRPr="00D3724F">
              <w:t>All knowledge and skills detailed in this unit should be contextualised to current industry practices and technologies.</w:t>
            </w:r>
          </w:p>
          <w:p w:rsidR="00000000" w:rsidRPr="00D3724F" w:rsidP="00D3724F">
            <w:pPr>
              <w:pStyle w:val="BodyText"/>
            </w:pPr>
            <w:r w:rsidRPr="00D3724F">
              <w:rPr>
                <w:rStyle w:val="SpecialBold"/>
              </w:rPr>
              <w:t>KS01-EE147A</w:t>
            </w:r>
            <w:r w:rsidRPr="00D3724F">
              <w:rPr>
                <w:rStyle w:val="SpecialBold"/>
              </w:rPr>
              <w:tab/>
              <w:t xml:space="preserve">              Energy sector science and materials</w:t>
            </w:r>
          </w:p>
          <w:p w:rsidR="00000000" w:rsidRPr="00D3724F" w:rsidP="00D3724F">
            <w:pPr>
              <w:pStyle w:val="BodyText"/>
            </w:pPr>
            <w:r w:rsidRPr="00D3724F">
              <w:t>Evidence shall show an unde</w:t>
            </w:r>
            <w:r w:rsidRPr="00D3724F">
              <w:t>rstanding of electrotechnology science and materials to an extent indicated by the following aspects:</w:t>
            </w:r>
          </w:p>
          <w:p w:rsidR="00000000" w:rsidRPr="00D3724F" w:rsidP="00D3724F">
            <w:pPr>
              <w:pStyle w:val="BodyText"/>
            </w:pPr>
            <w:r w:rsidRPr="00D3724F">
              <w:t>T1</w:t>
            </w:r>
            <w:r w:rsidRPr="00D3724F">
              <w:tab/>
              <w:t>Trade calculations encompassing:</w:t>
            </w:r>
          </w:p>
          <w:p w:rsidR="00000000" w:rsidRPr="00D3724F" w:rsidP="00D3724F">
            <w:pPr>
              <w:pStyle w:val="ListBullet"/>
            </w:pPr>
            <w:r w:rsidRPr="00D3724F">
              <w:t>mathematical techniques</w:t>
            </w:r>
          </w:p>
          <w:p w:rsidR="00000000" w:rsidRPr="00D3724F" w:rsidP="00D3724F">
            <w:pPr>
              <w:pStyle w:val="ListBullet"/>
            </w:pPr>
            <w:r w:rsidRPr="00D3724F">
              <w:t>relevant calculations</w:t>
            </w:r>
          </w:p>
          <w:p w:rsidR="00000000" w:rsidRPr="00D3724F" w:rsidP="00D3724F">
            <w:pPr>
              <w:pStyle w:val="ListBullet"/>
            </w:pPr>
            <w:r w:rsidRPr="00D3724F">
              <w:t>linear measurement, areas, volumes, ratios</w:t>
            </w:r>
          </w:p>
          <w:p w:rsidR="00000000" w:rsidRPr="00D3724F" w:rsidP="00D3724F">
            <w:pPr>
              <w:pStyle w:val="BodyText"/>
            </w:pPr>
            <w:r w:rsidRPr="00D3724F">
              <w:t>T2</w:t>
            </w:r>
            <w:r w:rsidRPr="00D3724F">
              <w:tab/>
            </w:r>
            <w:r w:rsidRPr="00D3724F">
              <w:t>Engineering mechanics encompassing:</w:t>
            </w:r>
          </w:p>
          <w:p w:rsidR="00000000" w:rsidRPr="00D3724F" w:rsidP="00D3724F">
            <w:pPr>
              <w:pStyle w:val="ListBullet"/>
            </w:pPr>
            <w:r w:rsidRPr="00D3724F">
              <w:t>base physical quantities</w:t>
            </w:r>
          </w:p>
          <w:p w:rsidR="00000000" w:rsidRPr="00D3724F" w:rsidP="00D3724F">
            <w:pPr>
              <w:pStyle w:val="ListBullet"/>
            </w:pPr>
            <w:r w:rsidRPr="00D3724F">
              <w:t>concepts, principles, S.I. units, their applications in</w:t>
            </w:r>
          </w:p>
          <w:p w:rsidR="00000000" w:rsidRPr="00D3724F" w:rsidP="00D3724F">
            <w:pPr>
              <w:pStyle w:val="ListBullet"/>
            </w:pPr>
            <w:r w:rsidRPr="00D3724F">
              <w:t>engineering calculations in relation to physical quantities and</w:t>
            </w:r>
          </w:p>
          <w:p w:rsidR="00000000" w:rsidRPr="00D3724F" w:rsidP="00D3724F">
            <w:pPr>
              <w:pStyle w:val="ListBullet"/>
            </w:pPr>
            <w:r w:rsidRPr="00D3724F">
              <w:t>associated formulae</w:t>
            </w:r>
          </w:p>
          <w:p w:rsidR="00000000" w:rsidRPr="00D3724F" w:rsidP="00D3724F">
            <w:pPr>
              <w:pStyle w:val="ListBullet"/>
            </w:pPr>
            <w:r w:rsidRPr="00D3724F">
              <w:t>mass, velocity, acceleration, force, weight, density, a</w:t>
            </w:r>
            <w:r w:rsidRPr="00D3724F">
              <w:t>ngles</w:t>
            </w:r>
          </w:p>
          <w:p w:rsidR="00000000" w:rsidRPr="00D3724F" w:rsidP="00D3724F">
            <w:pPr>
              <w:pStyle w:val="ListBullet"/>
            </w:pPr>
            <w:r w:rsidRPr="00D3724F">
              <w:t>energy/work/power</w:t>
            </w:r>
          </w:p>
          <w:p w:rsidR="00000000" w:rsidRPr="00D3724F" w:rsidP="00D3724F">
            <w:pPr>
              <w:pStyle w:val="ListBullet"/>
            </w:pPr>
            <w:r w:rsidRPr="00D3724F">
              <w:t>moments/torque</w:t>
            </w:r>
          </w:p>
          <w:p w:rsidR="00000000" w:rsidRPr="00D3724F" w:rsidP="00D3724F">
            <w:pPr>
              <w:pStyle w:val="ListBullet"/>
            </w:pPr>
            <w:r w:rsidRPr="00D3724F">
              <w:t>centre of gravity</w:t>
            </w:r>
          </w:p>
          <w:p w:rsidR="00000000" w:rsidRPr="00D3724F" w:rsidP="00D3724F">
            <w:pPr>
              <w:pStyle w:val="ListBullet"/>
            </w:pPr>
            <w:r w:rsidRPr="00D3724F">
              <w:t>mechanical advantage</w:t>
            </w:r>
          </w:p>
          <w:p w:rsidR="00000000" w:rsidRPr="00D3724F" w:rsidP="00D3724F">
            <w:pPr>
              <w:pStyle w:val="ListBullet"/>
            </w:pPr>
            <w:r w:rsidRPr="00D3724F">
              <w:t>levers</w:t>
            </w:r>
          </w:p>
          <w:p w:rsidR="00000000" w:rsidRPr="00D3724F" w:rsidP="00D3724F">
            <w:pPr>
              <w:pStyle w:val="ListBullet"/>
            </w:pPr>
            <w:r w:rsidRPr="00D3724F">
              <w:t>pulley blocks</w:t>
            </w:r>
          </w:p>
          <w:p w:rsidR="00000000" w:rsidRPr="00D3724F" w:rsidP="00D3724F">
            <w:pPr>
              <w:pStyle w:val="ListBullet"/>
            </w:pPr>
            <w:r w:rsidRPr="00D3724F">
              <w:t>efficiency</w:t>
            </w:r>
          </w:p>
          <w:p w:rsidR="00000000" w:rsidRPr="00D3724F" w:rsidP="00D3724F">
            <w:pPr>
              <w:pStyle w:val="ListBullet"/>
            </w:pPr>
            <w:r w:rsidRPr="00D3724F">
              <w:t>friction</w:t>
            </w:r>
          </w:p>
          <w:p w:rsidR="00000000" w:rsidRPr="00D3724F" w:rsidP="00D3724F">
            <w:pPr>
              <w:pStyle w:val="ListBullet"/>
            </w:pPr>
            <w:r w:rsidRPr="00D3724F">
              <w:t>vectors</w:t>
            </w:r>
          </w:p>
          <w:p w:rsidR="00000000" w:rsidRPr="00D3724F" w:rsidP="00D3724F">
            <w:pPr>
              <w:pStyle w:val="ListBullet"/>
            </w:pPr>
            <w:r w:rsidRPr="00D3724F">
              <w:t>resolution of forces</w:t>
            </w:r>
          </w:p>
          <w:p w:rsidR="00000000" w:rsidRPr="00D3724F" w:rsidP="00D3724F">
            <w:pPr>
              <w:pStyle w:val="ListBullet"/>
            </w:pPr>
            <w:r w:rsidRPr="00D3724F">
              <w:t>forces in strung conductors</w:t>
            </w:r>
          </w:p>
          <w:p w:rsidR="00000000" w:rsidRPr="00D3724F" w:rsidP="00D3724F">
            <w:pPr>
              <w:pStyle w:val="ListBullet"/>
            </w:pPr>
            <w:r w:rsidRPr="00D3724F">
              <w:t>forces on poles and towers</w:t>
            </w:r>
          </w:p>
          <w:p w:rsidR="00000000" w:rsidRPr="00D3724F" w:rsidP="00D3724F">
            <w:pPr>
              <w:pStyle w:val="ListBullet"/>
            </w:pPr>
            <w:r w:rsidRPr="00D3724F">
              <w:t>determination of sag</w:t>
            </w:r>
          </w:p>
          <w:p w:rsidR="00000000" w:rsidRPr="00D3724F" w:rsidP="00D3724F">
            <w:pPr>
              <w:pStyle w:val="ListBullet"/>
            </w:pPr>
            <w:r w:rsidRPr="00D3724F">
              <w:t>pressure/stress</w:t>
            </w:r>
          </w:p>
          <w:p w:rsidR="00000000" w:rsidRPr="00D3724F" w:rsidP="00D3724F">
            <w:pPr>
              <w:pStyle w:val="ListBullet"/>
            </w:pPr>
            <w:r w:rsidRPr="00D3724F">
              <w:t>elementary fluid</w:t>
            </w:r>
            <w:r w:rsidRPr="00D3724F">
              <w:t xml:space="preserve"> mechanics</w:t>
            </w:r>
          </w:p>
          <w:p w:rsidR="00000000" w:rsidRPr="00D3724F" w:rsidP="00D3724F">
            <w:pPr>
              <w:pStyle w:val="BodyText"/>
            </w:pPr>
            <w:r w:rsidRPr="00D3724F">
              <w:t>T3</w:t>
            </w:r>
            <w:r w:rsidRPr="00D3724F">
              <w:tab/>
              <w:t>Engineering materials encompassing:</w:t>
            </w:r>
          </w:p>
          <w:p w:rsidR="00000000" w:rsidRPr="00D3724F" w:rsidP="00D3724F">
            <w:pPr>
              <w:pStyle w:val="ListBullet"/>
            </w:pPr>
            <w:r w:rsidRPr="00D3724F">
              <w:t>classification</w:t>
            </w:r>
          </w:p>
          <w:p w:rsidR="00000000" w:rsidRPr="00D3724F" w:rsidP="00D3724F">
            <w:pPr>
              <w:pStyle w:val="ListBullet"/>
            </w:pPr>
            <w:r w:rsidRPr="00D3724F">
              <w:t>ferrous and non-ferrous metals</w:t>
            </w:r>
          </w:p>
          <w:p w:rsidR="00000000" w:rsidRPr="00D3724F" w:rsidP="00D3724F">
            <w:pPr>
              <w:pStyle w:val="ListBullet"/>
            </w:pPr>
            <w:r w:rsidRPr="00D3724F">
              <w:t>steels, alloys,</w:t>
            </w:r>
          </w:p>
          <w:p w:rsidR="00000000" w:rsidRPr="00D3724F" w:rsidP="00D3724F">
            <w:pPr>
              <w:pStyle w:val="ListBullet"/>
            </w:pPr>
            <w:r w:rsidRPr="00D3724F">
              <w:t>properties</w:t>
            </w:r>
          </w:p>
          <w:p w:rsidR="00000000" w:rsidRPr="00D3724F" w:rsidP="00D3724F">
            <w:pPr>
              <w:pStyle w:val="ListBullet"/>
            </w:pPr>
            <w:r w:rsidRPr="00D3724F">
              <w:t>tensile strength</w:t>
            </w:r>
          </w:p>
          <w:p w:rsidR="00000000" w:rsidRPr="00D3724F" w:rsidP="00D3724F">
            <w:pPr>
              <w:pStyle w:val="ListBullet"/>
            </w:pPr>
            <w:r w:rsidRPr="00D3724F">
              <w:t>temperature and expansion in metals</w:t>
            </w:r>
          </w:p>
          <w:p w:rsidR="00000000" w:rsidRPr="00D3724F" w:rsidP="00D3724F">
            <w:pPr>
              <w:pStyle w:val="ListBullet"/>
            </w:pPr>
            <w:r w:rsidRPr="00D3724F">
              <w:t>stress and strain</w:t>
            </w:r>
          </w:p>
          <w:p w:rsidR="00000000" w:rsidRPr="00D3724F" w:rsidP="00D3724F">
            <w:pPr>
              <w:pStyle w:val="ListBullet"/>
            </w:pPr>
            <w:r w:rsidRPr="00D3724F">
              <w:t>ductility</w:t>
            </w:r>
          </w:p>
          <w:p w:rsidR="00000000" w:rsidRPr="00D3724F" w:rsidP="00D3724F">
            <w:pPr>
              <w:pStyle w:val="ListBullet"/>
            </w:pPr>
            <w:r w:rsidRPr="00D3724F">
              <w:t>applications</w:t>
            </w:r>
          </w:p>
          <w:p w:rsidR="00000000" w:rsidRPr="00D3724F" w:rsidP="00D3724F">
            <w:pPr>
              <w:pStyle w:val="ListBullet"/>
            </w:pPr>
            <w:r w:rsidRPr="00D3724F">
              <w:t>corrosion</w:t>
            </w:r>
          </w:p>
          <w:p w:rsidR="00000000" w:rsidRPr="00D3724F" w:rsidP="00D3724F">
            <w:pPr>
              <w:pStyle w:val="ListBullet"/>
            </w:pPr>
            <w:r w:rsidRPr="00D3724F">
              <w:t>galvanic corrosion</w:t>
            </w:r>
          </w:p>
          <w:p w:rsidR="00000000" w:rsidRPr="00D3724F" w:rsidP="00D3724F">
            <w:pPr>
              <w:pStyle w:val="ListBullet"/>
            </w:pPr>
            <w:r w:rsidRPr="00D3724F">
              <w:t>hardwoods and soft woods</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10" w:name="O_417942"/>
      <w:bookmarkEnd w:id="10"/>
      <w:r w:rsidRPr="00D3724F">
        <w:t>Evidence Guide</w:t>
      </w:r>
    </w:p>
    <w:tbl>
      <w:tblPr>
        <w:tblW w:w="0" w:type="auto"/>
        <w:tblLayout w:type="fixed"/>
        <w:tblCellMar>
          <w:left w:w="62" w:type="dxa"/>
          <w:right w:w="62" w:type="dxa"/>
        </w:tblCellMar>
        <w:tblLook w:val="0000"/>
      </w:tblPr>
      <w:tblGrid>
        <w:gridCol w:w="8460"/>
      </w:tblGrid>
      <w:tr w:rsidTr="002434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EVIDENCE GUIDE</w:t>
            </w:r>
          </w:p>
        </w:tc>
      </w:tr>
      <w:tr w:rsidTr="002434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9)</w:t>
            </w:r>
            <w:r w:rsidRPr="00D3724F">
              <w:t xml:space="preserve"> The evidence guide provides advice on assessment and must be read in conjunction with the Performance Criteria, Required Skills and Knowle</w:t>
            </w:r>
            <w:r w:rsidRPr="00D3724F">
              <w:t xml:space="preserve">dge, the Range Statement and the Assessment Guidelines for this Training Package. </w:t>
            </w:r>
          </w:p>
          <w:p w:rsidR="00000000" w:rsidRPr="00D3724F" w:rsidP="00D3724F">
            <w:pPr>
              <w:pStyle w:val="BodyText"/>
            </w:pPr>
            <w:r w:rsidRPr="00D3724F">
              <w:t xml:space="preserve">The Evidence Guide forms an integral part of this unit. It must be used in conjunction with all parts of the unit and performed in accordance with the Assessment Guidelines </w:t>
            </w:r>
            <w:r w:rsidRPr="00D3724F">
              <w:t>of this Training Package.</w:t>
            </w:r>
          </w:p>
        </w:tc>
      </w:tr>
    </w:tbl>
    <w:p w:rsidR="00000000" w:rsidRPr="00D3724F" w:rsidP="00D3724F">
      <w:pPr>
        <w:pStyle w:val="BodyText"/>
      </w:pPr>
    </w:p>
    <w:tbl>
      <w:tblPr>
        <w:tblW w:w="0" w:type="auto"/>
        <w:tblLayout w:type="fixed"/>
        <w:tblCellMar>
          <w:left w:w="62" w:type="dxa"/>
          <w:right w:w="62" w:type="dxa"/>
        </w:tblCellMar>
        <w:tblLook w:val="0000"/>
      </w:tblPr>
      <w:tblGrid>
        <w:gridCol w:w="1890"/>
        <w:gridCol w:w="6570"/>
      </w:tblGrid>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9.1)</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 xml:space="preserve">Longitudinal competency development approaches to assessment, such as Profiling, require data to be reliably gathered in a form that can be consistently interpreted over time. This approach is best </w:t>
            </w:r>
            <w:r w:rsidRPr="00D3724F">
              <w:t>utilised in Apprenticeship programs and reduces assessment intervention. It is the industry-preferred model for apprenticeships. However, where summative (or final) assessment is used it is to include the application of the competency in the normal work en</w:t>
            </w:r>
            <w:r w:rsidRPr="00D3724F">
              <w:t>vironment or, at a minimum, the application of the competency in a realistically simulated work environment. It is recognised that, in some circumstances, assessment in part or full can occur outside the workplace. However, it must be in accordance with in</w:t>
            </w:r>
            <w:r w:rsidRPr="00D3724F">
              <w:t>dustry and regulatory policy.</w:t>
            </w:r>
          </w:p>
          <w:p w:rsidR="00000000" w:rsidRPr="00D3724F" w:rsidP="00D3724F">
            <w:pPr>
              <w:pStyle w:val="BodyText"/>
            </w:pPr>
            <w:r w:rsidRPr="00D3724F">
              <w:t>Methods chosen for a particular assessment will be influenced by various factors. These include the extent of the assessment, the most effective locations for the assessment activities to take place, access to physical resourc</w:t>
            </w:r>
            <w:r w:rsidRPr="00D3724F">
              <w:t>es, additional safety measures that may be required and the critical nature of the competencies being assessed.</w:t>
            </w:r>
          </w:p>
          <w:p w:rsidR="00000000" w:rsidRPr="00D3724F" w:rsidP="00D3724F">
            <w:pPr>
              <w:pStyle w:val="BodyText"/>
            </w:pPr>
            <w:r w:rsidRPr="00D3724F">
              <w:t>The critical safety nature of working with electricity, electrical equipment, gas or any other hazardous substance/material carries risk in deeming a person competent. Sources of evidence need to be ‘rich’ in nature to minimise error in judgment.</w:t>
            </w:r>
          </w:p>
          <w:p w:rsidR="00000000" w:rsidRPr="00D3724F" w:rsidP="00D3724F">
            <w:pPr>
              <w:pStyle w:val="BodyText"/>
            </w:pPr>
            <w:r w:rsidRPr="00D3724F">
              <w:t>Activitie</w:t>
            </w:r>
            <w:r w:rsidRPr="00D3724F">
              <w:t>s associated with normal everyday work have a bearing on the decision as to how much and how detailed the data gathered will contribute to its ‘richness’. Some skills are more critical to safety and operational requirements while the same skills may be mor</w:t>
            </w:r>
            <w:r w:rsidRPr="00D3724F">
              <w:t>e or less frequently practised. These points are raised for the assessors to consider when choosing an assessment method and developing assessment instruments. Sample assessment instruments are included for Assessors in the Assessment Guidelines of this Tr</w:t>
            </w:r>
            <w:r w:rsidRPr="00D3724F">
              <w:t>aining Package.</w:t>
            </w:r>
          </w:p>
        </w:tc>
      </w:tr>
    </w:tbl>
    <w:p w:rsidR="00000000" w:rsidRPr="00D3724F" w:rsidP="00D3724F">
      <w:pPr>
        <w:pStyle w:val="BodyText"/>
      </w:pPr>
    </w:p>
    <w:tbl>
      <w:tblPr>
        <w:tblW w:w="0" w:type="auto"/>
        <w:tblLayout w:type="fixed"/>
        <w:tblCellMar>
          <w:left w:w="62" w:type="dxa"/>
          <w:right w:w="62" w:type="dxa"/>
        </w:tblCellMar>
        <w:tblLook w:val="0000"/>
      </w:tblPr>
      <w:tblGrid>
        <w:gridCol w:w="1890"/>
        <w:gridCol w:w="1530"/>
        <w:gridCol w:w="5040"/>
      </w:tblGrid>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9.2)</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Before the critical aspects of evidence are considered all prerequisites must be met.</w:t>
            </w:r>
          </w:p>
          <w:p w:rsidR="00000000" w:rsidRPr="00D3724F" w:rsidP="00D3724F">
            <w:pPr>
              <w:pStyle w:val="BodyText"/>
            </w:pPr>
            <w:r w:rsidRPr="00D3724F">
              <w:t>Evidence for competence in this unit shall be considered holistical</w:t>
            </w:r>
            <w:r w:rsidRPr="00D3724F">
              <w:t>ly.  Each element and associated performance criteria shall be demonstrated on at least two occasions in accordance with the ‘Assessment Guidelines – UEE11’.  Evidence shall also comprise:</w:t>
            </w:r>
          </w:p>
          <w:p w:rsidR="00000000" w:rsidRPr="00D3724F" w:rsidP="00D3724F">
            <w:pPr>
              <w:pStyle w:val="ListBullet"/>
            </w:pPr>
            <w:r w:rsidRPr="00D3724F">
              <w:t>A representative body of work performance demonstrated within the t</w:t>
            </w:r>
            <w:r w:rsidRPr="00D3724F">
              <w:t>imeframes typically expected of the discipline, work function and industrial environment. In particular this shall incorporate evidence that shows a candidate is able to:</w:t>
            </w:r>
          </w:p>
          <w:p w:rsidR="00000000" w:rsidRPr="00D3724F" w:rsidP="00D3724F">
            <w:pPr>
              <w:pStyle w:val="ListBullet2"/>
            </w:pPr>
            <w:r w:rsidRPr="00D3724F">
              <w:t>Implement Occupational Health and Safety workplace procedures and practices, includi</w:t>
            </w:r>
            <w:r w:rsidRPr="00D3724F">
              <w:t>ng the use of risk control measures as specified in the performance criteria and range statement</w:t>
            </w:r>
          </w:p>
          <w:p w:rsidR="00000000" w:rsidRPr="00D3724F" w:rsidP="00D3724F">
            <w:pPr>
              <w:pStyle w:val="ListBullet2"/>
            </w:pPr>
            <w:r w:rsidRPr="00D3724F">
              <w:t>Apply sustainable energy principles and practices as specified in the performance criteria and range statement</w:t>
            </w:r>
          </w:p>
          <w:p w:rsidR="00000000" w:rsidRPr="00D3724F" w:rsidP="00D3724F">
            <w:pPr>
              <w:pStyle w:val="ListBullet2"/>
            </w:pPr>
            <w:r w:rsidRPr="00D3724F">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D3724F" w:rsidP="00D3724F">
            <w:pPr>
              <w:pStyle w:val="ListBullet2"/>
            </w:pPr>
            <w:r w:rsidRPr="00D3724F">
              <w:t>Demo</w:t>
            </w:r>
            <w:r w:rsidRPr="00D3724F">
              <w:t>nstrate an appropriate level of skills enabling employment</w:t>
            </w:r>
          </w:p>
          <w:p w:rsidR="00000000" w:rsidRPr="00D3724F" w:rsidP="00D3724F">
            <w:pPr>
              <w:pStyle w:val="ListBullet2"/>
            </w:pPr>
            <w:r w:rsidRPr="00D3724F">
              <w:t>Conduct work observing the relevant Anti Discrimination legislation, regulations, polices and workplace procedures</w:t>
            </w:r>
          </w:p>
          <w:p w:rsidR="00000000" w:rsidRPr="00D3724F" w:rsidP="00D3724F">
            <w:pPr>
              <w:pStyle w:val="ListBullet"/>
            </w:pPr>
            <w:r w:rsidRPr="00D3724F">
              <w:t>Demonstrated consistent performance across a representative range of contexts from</w:t>
            </w:r>
            <w:r w:rsidRPr="00D3724F">
              <w:t xml:space="preserve"> the prescribed items below:</w:t>
            </w:r>
          </w:p>
          <w:p w:rsidR="00000000" w:rsidP="00D3724F">
            <w:pPr>
              <w:pStyle w:val="ListBullet2"/>
              <w:rPr>
                <w:lang w:val="en-NZ"/>
              </w:rPr>
            </w:pPr>
            <w:r w:rsidRPr="00D3724F">
              <w:t>Identify building techniques, methods and materials used in energy sector work activities as described in 8) and including:</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A</w:t>
            </w:r>
          </w:p>
        </w:tc>
        <w:tc>
          <w:tcPr>
            <w:tcW w:w="504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Understanding work instruction.</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B</w:t>
            </w:r>
          </w:p>
        </w:tc>
        <w:tc>
          <w:tcPr>
            <w:tcW w:w="504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Obtaining and checking tools and equipment.</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C</w:t>
            </w:r>
          </w:p>
        </w:tc>
        <w:tc>
          <w:tcPr>
            <w:tcW w:w="504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Following work schedules.</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D</w:t>
            </w:r>
          </w:p>
        </w:tc>
        <w:tc>
          <w:tcPr>
            <w:tcW w:w="504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Returning tools and surplus resources as required.</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E</w:t>
            </w:r>
          </w:p>
        </w:tc>
        <w:tc>
          <w:tcPr>
            <w:tcW w:w="504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Updating work records.</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F</w:t>
            </w:r>
          </w:p>
        </w:tc>
        <w:tc>
          <w:tcPr>
            <w:tcW w:w="504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t>Dealing with unplanned events by drawing on essential knowledge and skills to provide appropriate solutions incorporated in a holistic assessmen</w:t>
            </w:r>
            <w:r w:rsidRPr="00D3724F">
              <w:t>t with the above listed items.</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 xml:space="preserve">Note: </w:t>
            </w:r>
            <w:r w:rsidRPr="00D3724F">
              <w:br/>
              <w:t xml:space="preserve">Successful completion of relevant vendor training may be used to contribute to evidence on which competency is deemed. In these cases the alignment of outcomes of vendor training with performance criteria </w:t>
            </w:r>
            <w:r w:rsidRPr="00D3724F">
              <w:t>and critical aspects of evidence shall be clearly identified.</w:t>
            </w:r>
          </w:p>
        </w:tc>
      </w:tr>
    </w:tbl>
    <w:p w:rsidR="00000000" w:rsidRPr="00D3724F" w:rsidP="00D3724F">
      <w:pPr>
        <w:pStyle w:val="BodyText"/>
      </w:pPr>
    </w:p>
    <w:tbl>
      <w:tblPr>
        <w:tblW w:w="0" w:type="auto"/>
        <w:tblLayout w:type="fixed"/>
        <w:tblCellMar>
          <w:left w:w="62" w:type="dxa"/>
          <w:right w:w="62" w:type="dxa"/>
        </w:tblCellMar>
        <w:tblLook w:val="0000"/>
      </w:tblPr>
      <w:tblGrid>
        <w:gridCol w:w="1890"/>
        <w:gridCol w:w="6570"/>
      </w:tblGrid>
      <w:tr w:rsidTr="0024345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9.3)</w:t>
            </w:r>
          </w:p>
        </w:tc>
      </w:tr>
      <w:tr w:rsidTr="0024345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 xml:space="preserve">This unit should be assessed as it relates to normal work practice using procedures, information and resources typical of a workplace. </w:t>
            </w:r>
            <w:r w:rsidRPr="00D3724F">
              <w:t>This should include:</w:t>
            </w:r>
          </w:p>
          <w:p w:rsidR="00000000" w:rsidRPr="00D3724F" w:rsidP="00D3724F">
            <w:pPr>
              <w:pStyle w:val="ListBullet"/>
            </w:pPr>
            <w:r w:rsidRPr="00D3724F">
              <w:t>OHS policy and work procedures and instructions.</w:t>
            </w:r>
          </w:p>
          <w:p w:rsidR="00000000" w:rsidRPr="00D3724F" w:rsidP="00D3724F">
            <w:pPr>
              <w:pStyle w:val="ListBullet"/>
            </w:pPr>
            <w:r w:rsidRPr="00D3724F">
              <w:t>Suitable work environment, facilities, equipment and materials to undertake actual work as prescribed in this unit.</w:t>
            </w:r>
          </w:p>
          <w:p w:rsidR="00000000" w:rsidRPr="00D3724F" w:rsidP="00D3724F">
            <w:pPr>
              <w:pStyle w:val="BodyText"/>
            </w:pPr>
            <w:r w:rsidRPr="00D3724F">
              <w:t>These should be used in the formal learning/assessment environment.</w:t>
            </w:r>
          </w:p>
          <w:p w:rsidR="00000000" w:rsidRPr="00D3724F" w:rsidP="00D3724F">
            <w:pPr>
              <w:pStyle w:val="BodyText"/>
            </w:pPr>
            <w:r w:rsidRPr="00D3724F">
              <w:t>Note:</w:t>
            </w:r>
          </w:p>
          <w:p w:rsidR="00000000" w:rsidRPr="00D3724F" w:rsidP="00D3724F">
            <w:pPr>
              <w:pStyle w:val="BodyText"/>
            </w:pPr>
            <w:r w:rsidRPr="00D3724F">
              <w:t>Where simulation is considered a suitable strategy for assessment, conditions for assessment must be authentic and as far as possible reproduce and replicate the workplace and be consistent with the approved industry simulation policy.</w:t>
            </w:r>
          </w:p>
          <w:p w:rsidR="00000000" w:rsidRPr="00D3724F" w:rsidP="00D3724F">
            <w:pPr>
              <w:pStyle w:val="BodyText"/>
            </w:pPr>
            <w:r w:rsidRPr="00D3724F">
              <w:t xml:space="preserve">The resources </w:t>
            </w:r>
            <w:r w:rsidRPr="00D3724F">
              <w:t>used for assessment should reflect current industry practices in relation to identifying building techniques, methods and materials used in energy sector work activities.</w:t>
            </w:r>
          </w:p>
        </w:tc>
      </w:tr>
    </w:tbl>
    <w:p w:rsidR="00000000" w:rsidRPr="00D3724F" w:rsidP="00D3724F">
      <w:pPr>
        <w:pStyle w:val="BodyText"/>
      </w:pPr>
    </w:p>
    <w:tbl>
      <w:tblPr>
        <w:tblW w:w="0" w:type="auto"/>
        <w:tblLayout w:type="fixed"/>
        <w:tblCellMar>
          <w:left w:w="62" w:type="dxa"/>
          <w:right w:w="62" w:type="dxa"/>
        </w:tblCellMar>
        <w:tblLook w:val="0000"/>
      </w:tblPr>
      <w:tblGrid>
        <w:gridCol w:w="1890"/>
        <w:gridCol w:w="6570"/>
      </w:tblGrid>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9.4)</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 xml:space="preserve">This unit shall be assessed by methods given in Volume </w:t>
            </w:r>
            <w:r w:rsidRPr="00D3724F">
              <w:t>1, Part 3 ‘Assessment Guidelines’.</w:t>
            </w:r>
          </w:p>
          <w:p w:rsidR="00000000" w:rsidRPr="00D3724F" w:rsidP="00D3724F">
            <w:pPr>
              <w:pStyle w:val="BodyText"/>
            </w:pPr>
            <w:r w:rsidRPr="00D3724F">
              <w:t xml:space="preserve">Note: </w:t>
            </w:r>
          </w:p>
          <w:p w:rsidR="00000000" w:rsidRPr="00D3724F" w:rsidP="00D3724F">
            <w:pPr>
              <w:pStyle w:val="BodyText"/>
            </w:pPr>
            <w:r w:rsidRPr="00D3724F">
              <w:t>Competent performance with inherent safe working practices is expected in the Industry to which this unit applies. This requires that the specified essential knowledge and associated skills are assessed in a structured environment which is primarily intend</w:t>
            </w:r>
            <w:r w:rsidRPr="00D3724F">
              <w:t>ed for learning/assessment and incorporates all necessary equipment and facilities for learners to develop and demonstrate the essential knowledge and skills described in this unit.</w:t>
            </w:r>
          </w:p>
        </w:tc>
      </w:tr>
    </w:tbl>
    <w:p w:rsidR="00000000" w:rsidRPr="00D3724F" w:rsidP="00D3724F">
      <w:pPr>
        <w:pStyle w:val="BodyText"/>
      </w:pPr>
    </w:p>
    <w:tbl>
      <w:tblPr>
        <w:tblW w:w="0" w:type="auto"/>
        <w:tblLayout w:type="fixed"/>
        <w:tblCellMar>
          <w:left w:w="62" w:type="dxa"/>
          <w:right w:w="62" w:type="dxa"/>
        </w:tblCellMar>
        <w:tblLook w:val="0000"/>
      </w:tblPr>
      <w:tblGrid>
        <w:gridCol w:w="1890"/>
        <w:gridCol w:w="6570"/>
      </w:tblGrid>
      <w:tr w:rsidTr="00243453">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9.5)</w:t>
            </w:r>
          </w:p>
        </w:tc>
      </w:tr>
      <w:tr w:rsidTr="002434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There are</w:t>
            </w:r>
            <w:r w:rsidRPr="00D3724F">
              <w:t xml:space="preserve"> no concurrent assessment recommendations for this unit.</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11" w:name="O_417946"/>
      <w:bookmarkEnd w:id="11"/>
      <w:r w:rsidRPr="00D3724F">
        <w:t>Range Statement</w:t>
      </w:r>
    </w:p>
    <w:tbl>
      <w:tblPr>
        <w:tblW w:w="0" w:type="auto"/>
        <w:tblLayout w:type="fixed"/>
        <w:tblCellMar>
          <w:left w:w="62" w:type="dxa"/>
          <w:right w:w="62" w:type="dxa"/>
        </w:tblCellMar>
        <w:tblLook w:val="0000"/>
      </w:tblPr>
      <w:tblGrid>
        <w:gridCol w:w="8460"/>
      </w:tblGrid>
      <w:tr w:rsidTr="002434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RANGE STATEMENT</w:t>
            </w:r>
          </w:p>
        </w:tc>
      </w:tr>
      <w:tr w:rsidTr="002434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10)</w:t>
            </w:r>
            <w:r w:rsidRPr="00D3724F">
              <w:t xml:space="preserve"> This relates to the unit as a whole providing the range of contexts and conditions to which </w:t>
            </w:r>
            <w:r w:rsidRPr="00D3724F">
              <w:t>the performance criteria apply. It allows for different work environments and situations that will affect performance.</w:t>
            </w:r>
          </w:p>
          <w:p w:rsidR="00000000" w:rsidRPr="00D3724F" w:rsidP="00D3724F">
            <w:pPr>
              <w:pStyle w:val="BodyText"/>
            </w:pPr>
            <w:r w:rsidRPr="00D3724F">
              <w:t>This unit shall be demonstrated in relation to identifying building techniques, methods and materials used in energy sector work activiti</w:t>
            </w:r>
            <w:r w:rsidRPr="00D3724F">
              <w:t>es in any of the following disciplines:</w:t>
            </w:r>
          </w:p>
          <w:p w:rsidR="00000000" w:rsidRPr="00D3724F" w:rsidP="00D3724F">
            <w:pPr>
              <w:pStyle w:val="ListBullet3"/>
            </w:pPr>
            <w:r w:rsidRPr="00D3724F">
              <w:t>Appliances</w:t>
            </w:r>
          </w:p>
          <w:p w:rsidR="00000000" w:rsidRPr="00D3724F" w:rsidP="00D3724F">
            <w:pPr>
              <w:pStyle w:val="ListBullet3"/>
            </w:pPr>
            <w:r w:rsidRPr="00D3724F">
              <w:t>Business equipment</w:t>
            </w:r>
          </w:p>
          <w:p w:rsidR="00000000" w:rsidRPr="00D3724F" w:rsidP="00D3724F">
            <w:pPr>
              <w:pStyle w:val="ListBullet3"/>
            </w:pPr>
            <w:r w:rsidRPr="00D3724F">
              <w:t xml:space="preserve">Computers </w:t>
            </w:r>
          </w:p>
          <w:p w:rsidR="00000000" w:rsidRPr="00D3724F" w:rsidP="00D3724F">
            <w:pPr>
              <w:pStyle w:val="ListBullet3"/>
            </w:pPr>
            <w:r w:rsidRPr="00D3724F">
              <w:t>Data Communications</w:t>
            </w:r>
          </w:p>
          <w:p w:rsidR="00000000" w:rsidRPr="00D3724F" w:rsidP="00D3724F">
            <w:pPr>
              <w:pStyle w:val="ListBullet3"/>
            </w:pPr>
            <w:r w:rsidRPr="00D3724F">
              <w:t>Electrical</w:t>
            </w:r>
          </w:p>
          <w:p w:rsidR="00000000" w:rsidRPr="00D3724F" w:rsidP="00D3724F">
            <w:pPr>
              <w:pStyle w:val="ListBullet3"/>
            </w:pPr>
            <w:r w:rsidRPr="00D3724F">
              <w:t>Electrical Machines</w:t>
            </w:r>
          </w:p>
          <w:p w:rsidR="00000000" w:rsidRPr="00D3724F" w:rsidP="00D3724F">
            <w:pPr>
              <w:pStyle w:val="ListBullet3"/>
            </w:pPr>
            <w:r w:rsidRPr="00D3724F">
              <w:t>Electronics</w:t>
            </w:r>
          </w:p>
          <w:p w:rsidR="00000000" w:rsidRPr="00D3724F" w:rsidP="00D3724F">
            <w:pPr>
              <w:pStyle w:val="ListBullet3"/>
            </w:pPr>
            <w:r w:rsidRPr="00D3724F">
              <w:t>Fire protection</w:t>
            </w:r>
          </w:p>
          <w:p w:rsidR="00000000" w:rsidRPr="00D3724F" w:rsidP="00D3724F">
            <w:pPr>
              <w:pStyle w:val="ListBullet3"/>
            </w:pPr>
            <w:r w:rsidRPr="00D3724F">
              <w:t>Instrumentation</w:t>
            </w:r>
          </w:p>
          <w:p w:rsidR="00000000" w:rsidRPr="00D3724F" w:rsidP="00D3724F">
            <w:pPr>
              <w:pStyle w:val="ListBullet3"/>
            </w:pPr>
            <w:r w:rsidRPr="00D3724F">
              <w:t>Refrigeration and Air Conditioning</w:t>
            </w:r>
          </w:p>
          <w:p w:rsidR="00000000" w:rsidRPr="00D3724F" w:rsidP="00D3724F">
            <w:pPr>
              <w:pStyle w:val="ListBullet3"/>
            </w:pPr>
            <w:r w:rsidRPr="00D3724F">
              <w:t>Renewable / sustainable energy</w:t>
            </w:r>
          </w:p>
          <w:p w:rsidR="00000000" w:rsidRPr="00D3724F" w:rsidP="00D3724F">
            <w:pPr>
              <w:pStyle w:val="ListBullet3"/>
            </w:pPr>
            <w:r w:rsidRPr="00D3724F">
              <w:t>Security tech</w:t>
            </w:r>
            <w:r w:rsidRPr="00D3724F">
              <w:t>nology</w:t>
            </w:r>
          </w:p>
          <w:p w:rsidR="00000000" w:rsidRPr="00D3724F" w:rsidP="00D3724F">
            <w:pPr>
              <w:pStyle w:val="BodyText"/>
            </w:pPr>
            <w:r w:rsidRPr="00D3724F">
              <w:t>Generic terms used throughout this Vocational Standard shall be regarded as part of the Range Statement in which competency is demonstrated. The definition of these and other terms that apply are given in Volume 2, Part 2.1.</w:t>
            </w:r>
          </w:p>
        </w:tc>
      </w:tr>
    </w:tbl>
    <w:p w:rsidR="00000000" w:rsidRPr="00D3724F" w:rsidP="00D3724F">
      <w:pPr>
        <w:pStyle w:val="BodyText"/>
      </w:pPr>
    </w:p>
    <w:p w:rsidR="00000000" w:rsidRPr="00D3724F" w:rsidP="00D3724F">
      <w:pPr>
        <w:pStyle w:val="AllowPageBreak"/>
      </w:pPr>
    </w:p>
    <w:p w:rsidR="00000000" w:rsidRPr="00D3724F" w:rsidP="00D3724F">
      <w:pPr>
        <w:pStyle w:val="Heading1"/>
      </w:pPr>
      <w:bookmarkStart w:id="12" w:name="O_417949"/>
      <w:bookmarkEnd w:id="12"/>
      <w:r w:rsidRPr="00D3724F">
        <w:t>Unit Sector(s)</w:t>
      </w:r>
    </w:p>
    <w:p w:rsidR="00000000" w:rsidRPr="00D3724F" w:rsidP="00D3724F">
      <w:pPr>
        <w:pStyle w:val="BodyText"/>
      </w:pPr>
      <w:r w:rsidRPr="00D3724F">
        <w:t>Not applicable.</w:t>
      </w:r>
    </w:p>
    <w:p w:rsidR="00000000" w:rsidRPr="00D3724F" w:rsidP="00D3724F">
      <w:pPr>
        <w:pStyle w:val="AllowPageBreak"/>
      </w:pPr>
    </w:p>
    <w:p w:rsidR="00000000" w:rsidRPr="00D3724F" w:rsidP="00D3724F">
      <w:pPr>
        <w:pStyle w:val="Heading1"/>
      </w:pPr>
      <w:bookmarkStart w:id="13" w:name="O_417938"/>
      <w:bookmarkEnd w:id="13"/>
      <w:r w:rsidRPr="00D3724F">
        <w:t>Competency Field</w:t>
      </w:r>
    </w:p>
    <w:tbl>
      <w:tblPr>
        <w:tblW w:w="0" w:type="auto"/>
        <w:tblLayout w:type="fixed"/>
        <w:tblCellMar>
          <w:left w:w="62" w:type="dxa"/>
          <w:right w:w="62" w:type="dxa"/>
        </w:tblCellMar>
        <w:tblLook w:val="0000"/>
      </w:tblPr>
      <w:tblGrid>
        <w:gridCol w:w="2700"/>
        <w:gridCol w:w="5760"/>
      </w:tblGrid>
      <w:tr w:rsidTr="002434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3724F">
            <w:pPr>
              <w:pStyle w:val="BodyText"/>
              <w:rPr>
                <w:lang w:val="en-NZ"/>
              </w:rPr>
            </w:pPr>
            <w:r w:rsidRPr="00D3724F">
              <w:rPr>
                <w:rStyle w:val="SpecialBold"/>
              </w:rPr>
              <w:t xml:space="preserve">11) </w:t>
            </w:r>
          </w:p>
        </w:tc>
      </w:tr>
      <w:tr w:rsidTr="002434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724F" w:rsidP="00D3724F">
            <w:pPr>
              <w:pStyle w:val="BodyText"/>
            </w:pPr>
            <w:r w:rsidRPr="00D3724F">
              <w:t>Electrotechnology</w:t>
            </w:r>
          </w:p>
        </w:tc>
      </w:tr>
    </w:tbl>
    <w:p w:rsidR="00000000" w:rsidRPr="00D3724F" w:rsidP="00D3724F">
      <w:pPr>
        <w:pStyle w:val="BodyText"/>
      </w:pPr>
    </w:p>
    <w:p w:rsidR="00000000" w:rsidRPr="00D3724F" w:rsidP="00D3724F"/>
    <w:sectPr w:rsidSect="00D372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3453" w:rsidP="002434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453" w:rsidP="00D372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43453" w:rsidP="00D372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43453" w:rsidP="00D372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rsidRPr="00243453" w:rsidP="002434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453" w:rsidRPr="002D2AF8" w:rsidP="00D3724F">
    <w:pPr>
      <w:pStyle w:val="Header"/>
      <w:framePr w:wrap="around"/>
    </w:pPr>
    <w:r>
      <w:fldChar w:fldCharType="begin"/>
    </w:r>
    <w:r>
      <w:instrText xml:space="preserve"> TITLE   \* MERGEFORMAT </w:instrText>
    </w:r>
    <w:r>
      <w:fldChar w:fldCharType="separate"/>
    </w:r>
    <w:r>
      <w:t>UEENEEE147A Identify building techniques, methods and materials used in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43453" w:rsidP="00D372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C7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54B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01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2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24F"/>
    <w:pPr>
      <w:spacing w:before="360" w:after="60"/>
      <w:outlineLvl w:val="0"/>
    </w:pPr>
    <w:rPr>
      <w:sz w:val="32"/>
    </w:rPr>
  </w:style>
  <w:style w:type="paragraph" w:styleId="Heading2">
    <w:name w:val="heading 2"/>
    <w:basedOn w:val="HeadingBase"/>
    <w:next w:val="BodyText"/>
    <w:link w:val="Heading2Char"/>
    <w:qFormat/>
    <w:rsid w:val="00D3724F"/>
    <w:pPr>
      <w:keepLines/>
      <w:spacing w:before="240" w:after="120"/>
      <w:outlineLvl w:val="1"/>
    </w:pPr>
    <w:rPr>
      <w:sz w:val="28"/>
      <w:szCs w:val="40"/>
    </w:rPr>
  </w:style>
  <w:style w:type="paragraph" w:styleId="Heading3">
    <w:name w:val="heading 3"/>
    <w:basedOn w:val="HeadingBase"/>
    <w:next w:val="BodyText"/>
    <w:link w:val="Heading3Char"/>
    <w:qFormat/>
    <w:rsid w:val="00D3724F"/>
    <w:pPr>
      <w:spacing w:before="180" w:after="120"/>
      <w:outlineLvl w:val="2"/>
    </w:pPr>
    <w:rPr>
      <w:spacing w:val="-10"/>
      <w:kern w:val="32"/>
    </w:rPr>
  </w:style>
  <w:style w:type="paragraph" w:styleId="Heading4">
    <w:name w:val="heading 4"/>
    <w:basedOn w:val="HeadingBase"/>
    <w:next w:val="BodyText"/>
    <w:link w:val="Heading4Char"/>
    <w:qFormat/>
    <w:rsid w:val="00D3724F"/>
    <w:pPr>
      <w:spacing w:before="160" w:after="120"/>
      <w:outlineLvl w:val="3"/>
    </w:pPr>
    <w:rPr>
      <w:sz w:val="22"/>
    </w:rPr>
  </w:style>
  <w:style w:type="paragraph" w:styleId="Heading5">
    <w:name w:val="heading 5"/>
    <w:basedOn w:val="HeadingBase"/>
    <w:next w:val="Normal"/>
    <w:link w:val="Heading5Char"/>
    <w:qFormat/>
    <w:rsid w:val="00D3724F"/>
    <w:pPr>
      <w:spacing w:before="80"/>
      <w:outlineLvl w:val="4"/>
    </w:pPr>
    <w:rPr>
      <w:color w:val="918585"/>
      <w:sz w:val="20"/>
    </w:rPr>
  </w:style>
  <w:style w:type="paragraph" w:styleId="Heading6">
    <w:name w:val="heading 6"/>
    <w:basedOn w:val="HeadingBase"/>
    <w:next w:val="Normal"/>
    <w:link w:val="Heading6Char"/>
    <w:qFormat/>
    <w:rsid w:val="00D3724F"/>
    <w:pPr>
      <w:spacing w:before="60"/>
      <w:outlineLvl w:val="5"/>
    </w:pPr>
    <w:rPr>
      <w:color w:val="918585"/>
      <w:sz w:val="20"/>
    </w:rPr>
  </w:style>
  <w:style w:type="paragraph" w:styleId="Heading7">
    <w:name w:val="heading 7"/>
    <w:basedOn w:val="Normal"/>
    <w:next w:val="Normal"/>
    <w:link w:val="Heading7Char"/>
    <w:qFormat/>
    <w:rsid w:val="00D3724F"/>
    <w:pPr>
      <w:ind w:left="720"/>
      <w:outlineLvl w:val="6"/>
    </w:pPr>
    <w:rPr>
      <w:i/>
    </w:rPr>
  </w:style>
  <w:style w:type="paragraph" w:styleId="Heading8">
    <w:name w:val="heading 8"/>
    <w:basedOn w:val="Normal"/>
    <w:next w:val="Normal"/>
    <w:link w:val="Heading8Char"/>
    <w:qFormat/>
    <w:rsid w:val="00D3724F"/>
    <w:pPr>
      <w:ind w:left="720"/>
      <w:outlineLvl w:val="7"/>
    </w:pPr>
    <w:rPr>
      <w:i/>
    </w:rPr>
  </w:style>
  <w:style w:type="paragraph" w:styleId="Heading9">
    <w:name w:val="heading 9"/>
    <w:basedOn w:val="Normal"/>
    <w:next w:val="Normal"/>
    <w:link w:val="Heading9Char"/>
    <w:qFormat/>
    <w:rsid w:val="00D3724F"/>
    <w:pPr>
      <w:ind w:left="720"/>
      <w:outlineLvl w:val="8"/>
    </w:pPr>
    <w:rPr>
      <w:i/>
    </w:rPr>
  </w:style>
  <w:style w:type="character" w:default="1" w:styleId="DefaultParagraphFont">
    <w:name w:val="Default Paragraph Font"/>
    <w:uiPriority w:val="1"/>
    <w:unhideWhenUsed/>
    <w:rsid w:val="00D372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24F"/>
  </w:style>
  <w:style w:type="character" w:customStyle="1" w:styleId="Heading1Char">
    <w:name w:val="Heading 1 Char"/>
    <w:basedOn w:val="DefaultParagraphFont"/>
    <w:link w:val="Heading1"/>
    <w:rsid w:val="00D3724F"/>
    <w:rPr>
      <w:rFonts w:ascii="Times New Roman" w:eastAsia="Times New Roman" w:hAnsi="Times New Roman" w:cs="Times New Roman"/>
      <w:b/>
      <w:sz w:val="32"/>
      <w:szCs w:val="20"/>
      <w:lang w:eastAsia="en-US"/>
    </w:rPr>
  </w:style>
  <w:style w:type="paragraph" w:styleId="BodyText">
    <w:name w:val="Body Text"/>
    <w:basedOn w:val="Normal"/>
    <w:link w:val="BodyTextChar"/>
    <w:rsid w:val="00D372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24F"/>
    <w:rPr>
      <w:rFonts w:ascii="Times New Roman" w:eastAsia="Times New Roman" w:hAnsi="Times New Roman" w:cs="Times New Roman"/>
      <w:sz w:val="24"/>
      <w:lang w:eastAsia="en-US"/>
    </w:rPr>
  </w:style>
  <w:style w:type="paragraph" w:styleId="Footer">
    <w:name w:val="footer"/>
    <w:basedOn w:val="Normal"/>
    <w:link w:val="FooterChar"/>
    <w:rsid w:val="00D372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24F"/>
    <w:rPr>
      <w:rFonts w:ascii="Times New Roman" w:eastAsia="Times New Roman" w:hAnsi="Times New Roman" w:cs="Times New Roman"/>
      <w:sz w:val="16"/>
      <w:lang w:eastAsia="en-US"/>
    </w:rPr>
  </w:style>
  <w:style w:type="paragraph" w:styleId="ListBullet">
    <w:name w:val="List Bullet"/>
    <w:basedOn w:val="List"/>
    <w:rsid w:val="00D3724F"/>
    <w:pPr>
      <w:numPr>
        <w:numId w:val="14"/>
      </w:numPr>
      <w:tabs>
        <w:tab w:val="clear" w:pos="340"/>
      </w:tabs>
      <w:spacing w:before="40" w:after="40"/>
    </w:pPr>
  </w:style>
  <w:style w:type="character" w:customStyle="1" w:styleId="SpecialBold">
    <w:name w:val="Special Bold"/>
    <w:basedOn w:val="DefaultParagraphFont"/>
    <w:rsid w:val="00D3724F"/>
    <w:rPr>
      <w:b/>
      <w:spacing w:val="0"/>
    </w:rPr>
  </w:style>
  <w:style w:type="paragraph" w:styleId="ListBullet2">
    <w:name w:val="List Bullet 2"/>
    <w:basedOn w:val="List2"/>
    <w:rsid w:val="00D3724F"/>
    <w:pPr>
      <w:numPr>
        <w:numId w:val="15"/>
      </w:numPr>
      <w:tabs>
        <w:tab w:val="clear" w:pos="680"/>
      </w:tabs>
    </w:pPr>
  </w:style>
  <w:style w:type="paragraph" w:customStyle="1" w:styleId="SuperHeading">
    <w:name w:val="SuperHeading"/>
    <w:basedOn w:val="Normal"/>
    <w:rsid w:val="00D3724F"/>
    <w:pPr>
      <w:spacing w:before="240" w:after="120"/>
      <w:outlineLvl w:val="0"/>
    </w:pPr>
    <w:rPr>
      <w:rFonts w:ascii="Times New Roman" w:hAnsi="Times New Roman"/>
      <w:b/>
      <w:sz w:val="28"/>
    </w:rPr>
  </w:style>
  <w:style w:type="paragraph" w:customStyle="1" w:styleId="AllowPageBreak">
    <w:name w:val="AllowPageBreak"/>
    <w:rsid w:val="00D372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724F"/>
    <w:pPr>
      <w:numPr>
        <w:numId w:val="3"/>
      </w:numPr>
      <w:tabs>
        <w:tab w:val="clear" w:pos="1021"/>
      </w:tabs>
      <w:ind w:left="1037" w:hanging="357"/>
    </w:pPr>
  </w:style>
  <w:style w:type="character" w:customStyle="1" w:styleId="Heading2Char">
    <w:name w:val="Heading 2 Char"/>
    <w:basedOn w:val="DefaultParagraphFont"/>
    <w:link w:val="Heading2"/>
    <w:rsid w:val="00D372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2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2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2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2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2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2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24F"/>
    <w:rPr>
      <w:rFonts w:ascii="Courier New" w:eastAsia="Times New Roman" w:hAnsi="Courier New" w:cs="Times New Roman"/>
      <w:i/>
      <w:szCs w:val="20"/>
      <w:lang w:eastAsia="en-US"/>
    </w:rPr>
  </w:style>
  <w:style w:type="paragraph" w:customStyle="1" w:styleId="HeadingBase">
    <w:name w:val="Heading Base"/>
    <w:rsid w:val="00D372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24F"/>
    <w:pPr>
      <w:tabs>
        <w:tab w:val="right" w:leader="dot" w:pos="9072"/>
      </w:tabs>
      <w:ind w:left="567"/>
    </w:pPr>
    <w:rPr>
      <w:szCs w:val="22"/>
    </w:rPr>
  </w:style>
  <w:style w:type="paragraph" w:customStyle="1" w:styleId="TOCBase">
    <w:name w:val="TOC Base"/>
    <w:rsid w:val="00D372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24F"/>
    <w:pPr>
      <w:tabs>
        <w:tab w:val="right" w:leader="dot" w:pos="9072"/>
      </w:tabs>
      <w:spacing w:before="40" w:after="40"/>
      <w:ind w:left="284"/>
    </w:pPr>
    <w:rPr>
      <w:rFonts w:ascii="Times New Roman" w:hAnsi="Times New Roman"/>
    </w:rPr>
  </w:style>
  <w:style w:type="paragraph" w:styleId="TOC1">
    <w:name w:val="toc 1"/>
    <w:basedOn w:val="TOCBase"/>
    <w:next w:val="Normal"/>
    <w:rsid w:val="00D372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24F"/>
    <w:pPr>
      <w:spacing w:before="5040"/>
      <w:jc w:val="center"/>
    </w:pPr>
    <w:rPr>
      <w:sz w:val="48"/>
      <w:szCs w:val="72"/>
      <w:lang w:val="en-US"/>
    </w:rPr>
  </w:style>
  <w:style w:type="character" w:customStyle="1" w:styleId="TitleChar">
    <w:name w:val="Title Char"/>
    <w:basedOn w:val="DefaultParagraphFont"/>
    <w:link w:val="Title"/>
    <w:rsid w:val="00D372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24F"/>
    <w:pPr>
      <w:tabs>
        <w:tab w:val="left" w:pos="3600"/>
        <w:tab w:val="left" w:pos="3958"/>
      </w:tabs>
    </w:pPr>
  </w:style>
  <w:style w:type="paragraph" w:styleId="List">
    <w:name w:val="List"/>
    <w:basedOn w:val="BodyText"/>
    <w:next w:val="BodyText"/>
    <w:rsid w:val="00D3724F"/>
    <w:pPr>
      <w:tabs>
        <w:tab w:val="left" w:pos="340"/>
      </w:tabs>
      <w:spacing w:before="60" w:after="60"/>
      <w:ind w:left="340" w:hanging="340"/>
    </w:pPr>
  </w:style>
  <w:style w:type="paragraph" w:customStyle="1" w:styleId="Note">
    <w:name w:val="Note"/>
    <w:basedOn w:val="BodyText"/>
    <w:rsid w:val="00D372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24F"/>
    <w:pPr>
      <w:framePr w:wrap="auto" w:hAnchor="text" w:y="6049"/>
    </w:pPr>
    <w:rPr>
      <w:color w:val="000000"/>
      <w:sz w:val="40"/>
    </w:rPr>
  </w:style>
  <w:style w:type="paragraph" w:customStyle="1" w:styleId="TOCTitle">
    <w:name w:val="TOCTitle"/>
    <w:basedOn w:val="Heading1"/>
    <w:rsid w:val="00D3724F"/>
    <w:pPr>
      <w:spacing w:after="240"/>
      <w:jc w:val="center"/>
      <w:outlineLvl w:val="9"/>
    </w:pPr>
    <w:rPr>
      <w:caps/>
    </w:rPr>
  </w:style>
  <w:style w:type="paragraph" w:customStyle="1" w:styleId="Version">
    <w:name w:val="Version"/>
    <w:rsid w:val="00D372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24F"/>
    <w:pPr>
      <w:keepNext w:val="0"/>
      <w:tabs>
        <w:tab w:val="right" w:pos="4176"/>
      </w:tabs>
      <w:ind w:left="198" w:hanging="198"/>
    </w:pPr>
    <w:rPr>
      <w:rFonts w:ascii="Garamond" w:hAnsi="Garamond"/>
    </w:rPr>
  </w:style>
  <w:style w:type="paragraph" w:styleId="IndexHeading">
    <w:name w:val="index heading"/>
    <w:basedOn w:val="Normal"/>
    <w:next w:val="Index1"/>
    <w:semiHidden/>
    <w:rsid w:val="00D3724F"/>
    <w:pPr>
      <w:spacing w:before="120" w:after="120"/>
    </w:pPr>
    <w:rPr>
      <w:rFonts w:ascii="Arial" w:hAnsi="Arial"/>
      <w:b/>
      <w:color w:val="918585"/>
      <w:sz w:val="24"/>
    </w:rPr>
  </w:style>
  <w:style w:type="paragraph" w:styleId="Header">
    <w:name w:val="header"/>
    <w:basedOn w:val="Normal"/>
    <w:link w:val="HeaderChar"/>
    <w:rsid w:val="00D372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24F"/>
    <w:rPr>
      <w:rFonts w:ascii="Times New Roman" w:eastAsia="Times New Roman" w:hAnsi="Times New Roman" w:cs="Times New Roman"/>
      <w:sz w:val="16"/>
      <w:szCs w:val="20"/>
      <w:lang w:val="en-GB" w:eastAsia="en-US"/>
    </w:rPr>
  </w:style>
  <w:style w:type="paragraph" w:customStyle="1" w:styleId="Chapter">
    <w:name w:val="Chapter"/>
    <w:basedOn w:val="Normal"/>
    <w:rsid w:val="00D3724F"/>
    <w:pPr>
      <w:spacing w:before="240"/>
    </w:pPr>
    <w:rPr>
      <w:rFonts w:ascii="Times New Roman" w:hAnsi="Times New Roman"/>
      <w:smallCaps/>
      <w:spacing w:val="80"/>
      <w:sz w:val="28"/>
    </w:rPr>
  </w:style>
  <w:style w:type="paragraph" w:customStyle="1" w:styleId="InChapter">
    <w:name w:val="InChapter"/>
    <w:basedOn w:val="Heading3"/>
    <w:rsid w:val="00D3724F"/>
    <w:pPr>
      <w:spacing w:after="240"/>
      <w:outlineLvl w:val="9"/>
    </w:pPr>
    <w:rPr>
      <w:noProof/>
    </w:rPr>
  </w:style>
  <w:style w:type="paragraph" w:styleId="Index2">
    <w:name w:val="index 2"/>
    <w:basedOn w:val="Normal"/>
    <w:next w:val="Normal"/>
    <w:semiHidden/>
    <w:rsid w:val="00D3724F"/>
    <w:pPr>
      <w:tabs>
        <w:tab w:val="right" w:pos="4176"/>
      </w:tabs>
      <w:ind w:left="568" w:hanging="284"/>
    </w:pPr>
    <w:rPr>
      <w:rFonts w:ascii="Garamond" w:hAnsi="Garamond"/>
    </w:rPr>
  </w:style>
  <w:style w:type="paragraph" w:customStyle="1" w:styleId="Byline">
    <w:name w:val="Byline"/>
    <w:rsid w:val="00D372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24F"/>
    <w:pPr>
      <w:tabs>
        <w:tab w:val="clear" w:pos="3600"/>
        <w:tab w:val="clear" w:pos="3958"/>
      </w:tabs>
      <w:jc w:val="right"/>
    </w:pPr>
  </w:style>
  <w:style w:type="character" w:styleId="Emphasis">
    <w:name w:val="Emphasis"/>
    <w:basedOn w:val="DefaultParagraphFont"/>
    <w:qFormat/>
    <w:rsid w:val="00D3724F"/>
    <w:rPr>
      <w:i/>
    </w:rPr>
  </w:style>
  <w:style w:type="paragraph" w:styleId="Caption">
    <w:name w:val="caption"/>
    <w:basedOn w:val="BodyText"/>
    <w:next w:val="Normal"/>
    <w:qFormat/>
    <w:rsid w:val="00D3724F"/>
    <w:pPr>
      <w:framePr w:w="2268" w:hSpace="181" w:vSpace="181" w:wrap="around" w:vAnchor="text" w:hAnchor="page" w:x="1135" w:y="285" w:anchorLock="1"/>
    </w:pPr>
    <w:rPr>
      <w:i/>
    </w:rPr>
  </w:style>
  <w:style w:type="paragraph" w:customStyle="1" w:styleId="MiniTOCTitle">
    <w:name w:val="MiniTOCTitle"/>
    <w:basedOn w:val="Heading4"/>
    <w:rsid w:val="00D3724F"/>
    <w:pPr>
      <w:spacing w:before="240"/>
      <w:outlineLvl w:val="9"/>
    </w:pPr>
    <w:rPr>
      <w:noProof/>
      <w:sz w:val="24"/>
    </w:rPr>
  </w:style>
  <w:style w:type="paragraph" w:customStyle="1" w:styleId="MiniTOCItem">
    <w:name w:val="MiniTOCItem"/>
    <w:basedOn w:val="ListBullet"/>
    <w:rsid w:val="00D3724F"/>
    <w:pPr>
      <w:numPr>
        <w:numId w:val="0"/>
      </w:numPr>
      <w:tabs>
        <w:tab w:val="right" w:leader="dot" w:pos="6521"/>
      </w:tabs>
      <w:spacing w:before="0" w:after="0"/>
    </w:pPr>
  </w:style>
  <w:style w:type="paragraph" w:customStyle="1" w:styleId="TOFTitle">
    <w:name w:val="TOFTitle"/>
    <w:basedOn w:val="TOCTitle"/>
    <w:rsid w:val="00D3724F"/>
  </w:style>
  <w:style w:type="paragraph" w:styleId="TableofFigures">
    <w:name w:val="table of figures"/>
    <w:basedOn w:val="Normal"/>
    <w:next w:val="Normal"/>
    <w:semiHidden/>
    <w:rsid w:val="00D3724F"/>
    <w:pPr>
      <w:tabs>
        <w:tab w:val="right" w:leader="dot" w:pos="9072"/>
      </w:tabs>
      <w:ind w:left="970" w:hanging="403"/>
    </w:pPr>
    <w:rPr>
      <w:rFonts w:ascii="Times New Roman" w:hAnsi="Times New Roman"/>
      <w:b/>
    </w:rPr>
  </w:style>
  <w:style w:type="paragraph" w:styleId="ListNumber">
    <w:name w:val="List Number"/>
    <w:basedOn w:val="List"/>
    <w:rsid w:val="00D3724F"/>
    <w:pPr>
      <w:numPr>
        <w:numId w:val="12"/>
      </w:numPr>
    </w:pPr>
  </w:style>
  <w:style w:type="character" w:customStyle="1" w:styleId="WingdingSymbols">
    <w:name w:val="Wingding Symbols"/>
    <w:rsid w:val="00D3724F"/>
    <w:rPr>
      <w:rFonts w:ascii="Wingdings" w:hAnsi="Wingdings"/>
    </w:rPr>
  </w:style>
  <w:style w:type="paragraph" w:customStyle="1" w:styleId="TableHeading">
    <w:name w:val="Table Heading"/>
    <w:basedOn w:val="HeadingBase"/>
    <w:rsid w:val="00D3724F"/>
    <w:pPr>
      <w:keepLines/>
      <w:pBdr>
        <w:bottom w:val="single" w:sz="6" w:space="1" w:color="918585"/>
      </w:pBdr>
      <w:spacing w:before="240"/>
    </w:pPr>
  </w:style>
  <w:style w:type="character" w:customStyle="1" w:styleId="HotSpot">
    <w:name w:val="HotSpot"/>
    <w:rsid w:val="00D3724F"/>
    <w:rPr>
      <w:color w:val="0033CC"/>
      <w:u w:val="none"/>
    </w:rPr>
  </w:style>
  <w:style w:type="paragraph" w:customStyle="1" w:styleId="BodyTextRight">
    <w:name w:val="Body Text Right"/>
    <w:basedOn w:val="BodyText"/>
    <w:rsid w:val="00D3724F"/>
    <w:pPr>
      <w:spacing w:before="0" w:after="0"/>
      <w:jc w:val="right"/>
    </w:pPr>
  </w:style>
  <w:style w:type="paragraph" w:styleId="Index3">
    <w:name w:val="index 3"/>
    <w:basedOn w:val="ListNumber2"/>
    <w:next w:val="Normal"/>
    <w:semiHidden/>
    <w:rsid w:val="00D3724F"/>
    <w:pPr>
      <w:numPr>
        <w:numId w:val="0"/>
      </w:numPr>
      <w:tabs>
        <w:tab w:val="right" w:leader="dot" w:pos="4176"/>
      </w:tabs>
    </w:pPr>
  </w:style>
  <w:style w:type="paragraph" w:styleId="ListNumber2">
    <w:name w:val="List Number 2"/>
    <w:basedOn w:val="List2"/>
    <w:rsid w:val="00D3724F"/>
    <w:pPr>
      <w:numPr>
        <w:numId w:val="11"/>
      </w:numPr>
      <w:tabs>
        <w:tab w:val="clear" w:pos="1060"/>
      </w:tabs>
    </w:pPr>
  </w:style>
  <w:style w:type="paragraph" w:customStyle="1" w:styleId="MarginNote">
    <w:name w:val="Margin Note"/>
    <w:basedOn w:val="BodyText"/>
    <w:rsid w:val="00D372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2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2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24F"/>
    <w:rPr>
      <w:sz w:val="32"/>
    </w:rPr>
  </w:style>
  <w:style w:type="paragraph" w:customStyle="1" w:styleId="HeadingProcedure">
    <w:name w:val="Heading Procedure"/>
    <w:basedOn w:val="HeadingBase"/>
    <w:next w:val="Normal"/>
    <w:rsid w:val="00D3724F"/>
    <w:pPr>
      <w:tabs>
        <w:tab w:val="left" w:pos="0"/>
      </w:tabs>
      <w:spacing w:before="120" w:after="60"/>
    </w:pPr>
    <w:rPr>
      <w:i/>
      <w:color w:val="918585"/>
      <w:sz w:val="22"/>
    </w:rPr>
  </w:style>
  <w:style w:type="paragraph" w:customStyle="1" w:styleId="TableBodyText">
    <w:name w:val="Table Body Text"/>
    <w:basedOn w:val="BodyText"/>
    <w:rsid w:val="00D3724F"/>
    <w:pPr>
      <w:spacing w:before="60" w:after="60"/>
    </w:pPr>
  </w:style>
  <w:style w:type="paragraph" w:styleId="ListContinue">
    <w:name w:val="List Continue"/>
    <w:basedOn w:val="List"/>
    <w:rsid w:val="00D3724F"/>
    <w:pPr>
      <w:ind w:firstLine="0"/>
    </w:pPr>
  </w:style>
  <w:style w:type="paragraph" w:customStyle="1" w:styleId="ListNote">
    <w:name w:val="List Note"/>
    <w:basedOn w:val="List"/>
    <w:rsid w:val="00D3724F"/>
    <w:pPr>
      <w:pBdr>
        <w:top w:val="single" w:sz="6" w:space="2" w:color="918585"/>
        <w:bottom w:val="single" w:sz="6" w:space="2" w:color="918585"/>
      </w:pBdr>
      <w:tabs>
        <w:tab w:val="left" w:pos="1021"/>
      </w:tabs>
      <w:ind w:firstLine="0"/>
    </w:pPr>
  </w:style>
  <w:style w:type="paragraph" w:customStyle="1" w:styleId="Warning">
    <w:name w:val="Warning"/>
    <w:basedOn w:val="BodyText"/>
    <w:rsid w:val="00D3724F"/>
    <w:pPr>
      <w:shd w:val="clear" w:color="auto" w:fill="D9D9D9"/>
      <w:tabs>
        <w:tab w:val="left" w:pos="992"/>
      </w:tabs>
      <w:ind w:left="119" w:right="119"/>
    </w:pPr>
    <w:rPr>
      <w:sz w:val="20"/>
    </w:rPr>
  </w:style>
  <w:style w:type="paragraph" w:customStyle="1" w:styleId="MarginIcons">
    <w:name w:val="Margin Icons"/>
    <w:basedOn w:val="BodyText"/>
    <w:rsid w:val="00D372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24F"/>
    <w:rPr>
      <w:rFonts w:ascii="Courier New" w:hAnsi="Courier New"/>
    </w:rPr>
  </w:style>
  <w:style w:type="paragraph" w:customStyle="1" w:styleId="NoteBullet">
    <w:name w:val="Note Bullet"/>
    <w:basedOn w:val="Note"/>
    <w:rsid w:val="00D3724F"/>
    <w:pPr>
      <w:tabs>
        <w:tab w:val="clear" w:pos="680"/>
      </w:tabs>
      <w:spacing w:before="60" w:after="60"/>
    </w:pPr>
  </w:style>
  <w:style w:type="paragraph" w:customStyle="1" w:styleId="SubHeading2">
    <w:name w:val="SubHeading2"/>
    <w:basedOn w:val="HeadingBase"/>
    <w:rsid w:val="00D3724F"/>
    <w:pPr>
      <w:spacing w:before="240" w:after="60"/>
    </w:pPr>
    <w:rPr>
      <w:sz w:val="20"/>
    </w:rPr>
  </w:style>
  <w:style w:type="paragraph" w:customStyle="1" w:styleId="SubHeading1">
    <w:name w:val="SubHeading1"/>
    <w:basedOn w:val="HeadingBase"/>
    <w:rsid w:val="00D3724F"/>
    <w:pPr>
      <w:spacing w:before="240" w:after="60"/>
    </w:pPr>
    <w:rPr>
      <w:color w:val="918585"/>
      <w:sz w:val="22"/>
    </w:rPr>
  </w:style>
  <w:style w:type="paragraph" w:customStyle="1" w:styleId="SideHeading">
    <w:name w:val="Side Heading"/>
    <w:basedOn w:val="HeadingBase"/>
    <w:rsid w:val="00D372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24F"/>
    <w:pPr>
      <w:numPr>
        <w:numId w:val="13"/>
      </w:numPr>
    </w:pPr>
  </w:style>
  <w:style w:type="paragraph" w:styleId="PlainText">
    <w:name w:val="Plain Text"/>
    <w:basedOn w:val="Normal"/>
    <w:link w:val="PlainTextChar"/>
    <w:rsid w:val="00D3724F"/>
    <w:rPr>
      <w:sz w:val="20"/>
    </w:rPr>
  </w:style>
  <w:style w:type="character" w:customStyle="1" w:styleId="PlainTextChar">
    <w:name w:val="Plain Text Char"/>
    <w:basedOn w:val="DefaultParagraphFont"/>
    <w:link w:val="PlainText"/>
    <w:rsid w:val="00D3724F"/>
    <w:rPr>
      <w:rFonts w:ascii="Courier New" w:eastAsia="Times New Roman" w:hAnsi="Courier New" w:cs="Times New Roman"/>
      <w:sz w:val="20"/>
      <w:szCs w:val="20"/>
      <w:lang w:eastAsia="en-US"/>
    </w:rPr>
  </w:style>
  <w:style w:type="character" w:customStyle="1" w:styleId="MenuOption">
    <w:name w:val="Menu Option"/>
    <w:basedOn w:val="DefaultParagraphFont"/>
    <w:rsid w:val="00D3724F"/>
    <w:rPr>
      <w:b/>
      <w:smallCaps/>
    </w:rPr>
  </w:style>
  <w:style w:type="paragraph" w:customStyle="1" w:styleId="TableListNumber">
    <w:name w:val="Table List Number"/>
    <w:basedOn w:val="ListNumber"/>
    <w:rsid w:val="00D3724F"/>
    <w:pPr>
      <w:numPr>
        <w:numId w:val="0"/>
      </w:numPr>
    </w:pPr>
  </w:style>
  <w:style w:type="paragraph" w:styleId="TOC4">
    <w:name w:val="toc 4"/>
    <w:basedOn w:val="TOCBase"/>
    <w:next w:val="Normal"/>
    <w:semiHidden/>
    <w:rsid w:val="00D3724F"/>
    <w:pPr>
      <w:tabs>
        <w:tab w:val="right" w:leader="dot" w:pos="9071"/>
      </w:tabs>
      <w:ind w:left="1701"/>
    </w:pPr>
  </w:style>
  <w:style w:type="paragraph" w:customStyle="1" w:styleId="ListAlpha">
    <w:name w:val="List Alpha"/>
    <w:basedOn w:val="List"/>
    <w:rsid w:val="00D3724F"/>
    <w:pPr>
      <w:numPr>
        <w:numId w:val="10"/>
      </w:numPr>
    </w:pPr>
  </w:style>
  <w:style w:type="paragraph" w:customStyle="1" w:styleId="ListAlpha2">
    <w:name w:val="List Alpha 2"/>
    <w:basedOn w:val="List2"/>
    <w:rsid w:val="00D3724F"/>
    <w:pPr>
      <w:numPr>
        <w:numId w:val="9"/>
      </w:numPr>
    </w:pPr>
  </w:style>
  <w:style w:type="paragraph" w:styleId="List2">
    <w:name w:val="List 2"/>
    <w:basedOn w:val="BodyText"/>
    <w:rsid w:val="00D3724F"/>
    <w:pPr>
      <w:tabs>
        <w:tab w:val="left" w:pos="680"/>
      </w:tabs>
      <w:spacing w:before="60" w:after="60"/>
      <w:ind w:left="680" w:hanging="340"/>
    </w:pPr>
  </w:style>
  <w:style w:type="paragraph" w:styleId="List3">
    <w:name w:val="List 3"/>
    <w:basedOn w:val="BodyText"/>
    <w:rsid w:val="00D3724F"/>
    <w:pPr>
      <w:tabs>
        <w:tab w:val="left" w:pos="1021"/>
      </w:tabs>
      <w:spacing w:before="60" w:after="60"/>
      <w:ind w:left="1020" w:hanging="340"/>
    </w:pPr>
  </w:style>
  <w:style w:type="paragraph" w:styleId="List4">
    <w:name w:val="List 4"/>
    <w:basedOn w:val="BodyText"/>
    <w:rsid w:val="00D3724F"/>
    <w:pPr>
      <w:tabs>
        <w:tab w:val="left" w:pos="1361"/>
      </w:tabs>
      <w:spacing w:before="60" w:after="60"/>
      <w:ind w:left="1361" w:hanging="340"/>
    </w:pPr>
  </w:style>
  <w:style w:type="paragraph" w:styleId="List5">
    <w:name w:val="List 5"/>
    <w:basedOn w:val="BodyText"/>
    <w:rsid w:val="00D3724F"/>
    <w:pPr>
      <w:tabs>
        <w:tab w:val="left" w:pos="1701"/>
      </w:tabs>
      <w:spacing w:before="60" w:after="60"/>
      <w:ind w:left="1701" w:hanging="340"/>
    </w:pPr>
  </w:style>
  <w:style w:type="paragraph" w:styleId="ListBullet4">
    <w:name w:val="List Bullet 4"/>
    <w:basedOn w:val="List4"/>
    <w:rsid w:val="00D3724F"/>
    <w:pPr>
      <w:numPr>
        <w:numId w:val="4"/>
      </w:numPr>
    </w:pPr>
  </w:style>
  <w:style w:type="paragraph" w:styleId="ListBullet5">
    <w:name w:val="List Bullet 5"/>
    <w:basedOn w:val="List5"/>
    <w:rsid w:val="00D3724F"/>
    <w:pPr>
      <w:numPr>
        <w:numId w:val="5"/>
      </w:numPr>
    </w:pPr>
  </w:style>
  <w:style w:type="paragraph" w:styleId="ListContinue2">
    <w:name w:val="List Continue 2"/>
    <w:basedOn w:val="List2"/>
    <w:rsid w:val="00D3724F"/>
    <w:pPr>
      <w:ind w:firstLine="0"/>
    </w:pPr>
  </w:style>
  <w:style w:type="paragraph" w:styleId="ListContinue3">
    <w:name w:val="List Continue 3"/>
    <w:basedOn w:val="List3"/>
    <w:rsid w:val="00D3724F"/>
    <w:pPr>
      <w:ind w:left="1021" w:firstLine="0"/>
    </w:pPr>
  </w:style>
  <w:style w:type="paragraph" w:styleId="ListContinue4">
    <w:name w:val="List Continue 4"/>
    <w:basedOn w:val="List4"/>
    <w:rsid w:val="00D3724F"/>
    <w:pPr>
      <w:ind w:firstLine="0"/>
    </w:pPr>
  </w:style>
  <w:style w:type="paragraph" w:styleId="ListContinue5">
    <w:name w:val="List Continue 5"/>
    <w:basedOn w:val="List5"/>
    <w:rsid w:val="00D3724F"/>
    <w:pPr>
      <w:ind w:firstLine="0"/>
    </w:pPr>
  </w:style>
  <w:style w:type="paragraph" w:styleId="ListNumber3">
    <w:name w:val="List Number 3"/>
    <w:basedOn w:val="List3"/>
    <w:rsid w:val="00D3724F"/>
    <w:pPr>
      <w:numPr>
        <w:numId w:val="6"/>
      </w:numPr>
    </w:pPr>
  </w:style>
  <w:style w:type="paragraph" w:styleId="ListNumber4">
    <w:name w:val="List Number 4"/>
    <w:basedOn w:val="List4"/>
    <w:rsid w:val="00D3724F"/>
    <w:pPr>
      <w:numPr>
        <w:numId w:val="7"/>
      </w:numPr>
    </w:pPr>
  </w:style>
  <w:style w:type="paragraph" w:styleId="ListNumber5">
    <w:name w:val="List Number 5"/>
    <w:basedOn w:val="List5"/>
    <w:rsid w:val="00D3724F"/>
    <w:pPr>
      <w:numPr>
        <w:numId w:val="8"/>
      </w:numPr>
    </w:pPr>
  </w:style>
  <w:style w:type="paragraph" w:styleId="BlockText">
    <w:name w:val="Block Text"/>
    <w:basedOn w:val="Normal"/>
    <w:rsid w:val="00D3724F"/>
    <w:pPr>
      <w:spacing w:after="120"/>
      <w:ind w:left="1440" w:right="1440"/>
    </w:pPr>
  </w:style>
  <w:style w:type="character" w:customStyle="1" w:styleId="Subscript">
    <w:name w:val="Subscript"/>
    <w:basedOn w:val="DefaultParagraphFont"/>
    <w:rsid w:val="00D3724F"/>
    <w:rPr>
      <w:sz w:val="16"/>
      <w:vertAlign w:val="subscript"/>
    </w:rPr>
  </w:style>
  <w:style w:type="character" w:customStyle="1" w:styleId="Superscript">
    <w:name w:val="Superscript"/>
    <w:basedOn w:val="DefaultParagraphFont"/>
    <w:rsid w:val="00D3724F"/>
    <w:rPr>
      <w:sz w:val="16"/>
      <w:vertAlign w:val="superscript"/>
    </w:rPr>
  </w:style>
  <w:style w:type="character" w:customStyle="1" w:styleId="Symbols">
    <w:name w:val="Symbols"/>
    <w:basedOn w:val="DefaultParagraphFont"/>
    <w:rsid w:val="00D3724F"/>
    <w:rPr>
      <w:rFonts w:ascii="Symbol" w:hAnsi="Symbol"/>
    </w:rPr>
  </w:style>
  <w:style w:type="character" w:customStyle="1" w:styleId="MenuOptions">
    <w:name w:val="Menu Options"/>
    <w:basedOn w:val="DefaultParagraphFont"/>
    <w:rsid w:val="00D3724F"/>
    <w:rPr>
      <w:rFonts w:ascii="Arial Narrow" w:hAnsi="Arial Narrow"/>
      <w:smallCaps/>
    </w:rPr>
  </w:style>
  <w:style w:type="character" w:customStyle="1" w:styleId="Buttons">
    <w:name w:val="Buttons"/>
    <w:basedOn w:val="DefaultParagraphFont"/>
    <w:rsid w:val="00D3724F"/>
    <w:rPr>
      <w:b/>
    </w:rPr>
  </w:style>
  <w:style w:type="character" w:customStyle="1" w:styleId="Underlined">
    <w:name w:val="Underlined"/>
    <w:basedOn w:val="DefaultParagraphFont"/>
    <w:rsid w:val="00D3724F"/>
    <w:rPr>
      <w:u w:val="single"/>
    </w:rPr>
  </w:style>
  <w:style w:type="paragraph" w:customStyle="1" w:styleId="TableBodyTextRight">
    <w:name w:val="Table Body Text Right"/>
    <w:basedOn w:val="TableBodyText"/>
    <w:rsid w:val="00D3724F"/>
    <w:pPr>
      <w:widowControl w:val="0"/>
      <w:autoSpaceDE w:val="0"/>
      <w:autoSpaceDN w:val="0"/>
      <w:adjustRightInd w:val="0"/>
      <w:jc w:val="right"/>
    </w:pPr>
    <w:rPr>
      <w:rFonts w:cs="Arial"/>
      <w:szCs w:val="18"/>
    </w:rPr>
  </w:style>
  <w:style w:type="paragraph" w:customStyle="1" w:styleId="CopyrightText">
    <w:name w:val="Copyright Text"/>
    <w:basedOn w:val="BodyText"/>
    <w:rsid w:val="00D3724F"/>
    <w:rPr>
      <w:sz w:val="18"/>
    </w:rPr>
  </w:style>
  <w:style w:type="paragraph" w:customStyle="1" w:styleId="BodySmallRight">
    <w:name w:val="Body Small Right"/>
    <w:basedOn w:val="BodyTextRight"/>
    <w:rsid w:val="00D3724F"/>
    <w:rPr>
      <w:sz w:val="18"/>
      <w:szCs w:val="18"/>
    </w:rPr>
  </w:style>
  <w:style w:type="paragraph" w:customStyle="1" w:styleId="MarginEdition">
    <w:name w:val="Margin Edition"/>
    <w:basedOn w:val="MarginNote"/>
    <w:rsid w:val="00D3724F"/>
    <w:pPr>
      <w:spacing w:before="0" w:after="0"/>
    </w:pPr>
    <w:rPr>
      <w:rFonts w:ascii="Times New Roman" w:hAnsi="Times New Roman"/>
      <w:color w:val="999999"/>
    </w:rPr>
  </w:style>
  <w:style w:type="paragraph" w:customStyle="1" w:styleId="Spacer">
    <w:name w:val="Spacer"/>
    <w:basedOn w:val="Normal"/>
    <w:rsid w:val="00D3724F"/>
    <w:rPr>
      <w:sz w:val="2"/>
      <w:szCs w:val="2"/>
    </w:rPr>
  </w:style>
  <w:style w:type="character" w:customStyle="1" w:styleId="Small">
    <w:name w:val="Small"/>
    <w:basedOn w:val="DefaultParagraphFont"/>
    <w:rsid w:val="00D3724F"/>
    <w:rPr>
      <w:sz w:val="16"/>
    </w:rPr>
  </w:style>
  <w:style w:type="paragraph" w:customStyle="1" w:styleId="WideTable">
    <w:name w:val="Wide Table"/>
    <w:basedOn w:val="Normal"/>
    <w:rsid w:val="00D3724F"/>
    <w:pPr>
      <w:ind w:left="-1418"/>
    </w:pPr>
    <w:rPr>
      <w:sz w:val="2"/>
      <w:szCs w:val="2"/>
    </w:rPr>
  </w:style>
  <w:style w:type="character" w:styleId="PageNumber">
    <w:name w:val="page number"/>
    <w:basedOn w:val="DefaultParagraphFont"/>
    <w:rsid w:val="00D3724F"/>
  </w:style>
  <w:style w:type="paragraph" w:styleId="Quote">
    <w:name w:val="Quote"/>
    <w:basedOn w:val="Heading1"/>
    <w:link w:val="QuoteChar"/>
    <w:qFormat/>
    <w:rsid w:val="00D3724F"/>
    <w:rPr>
      <w:b w:val="0"/>
      <w:sz w:val="72"/>
      <w:szCs w:val="72"/>
      <w:lang w:val="en-NZ"/>
    </w:rPr>
  </w:style>
  <w:style w:type="character" w:customStyle="1" w:styleId="QuoteChar">
    <w:name w:val="Quote Char"/>
    <w:basedOn w:val="DefaultParagraphFont"/>
    <w:link w:val="Quote"/>
    <w:rsid w:val="00D372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24F"/>
    <w:pPr>
      <w:pageBreakBefore/>
    </w:pPr>
  </w:style>
  <w:style w:type="paragraph" w:customStyle="1" w:styleId="Border">
    <w:name w:val="Border"/>
    <w:basedOn w:val="Normal"/>
    <w:qFormat/>
    <w:rsid w:val="00D372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24F"/>
    <w:rPr>
      <w:b/>
      <w:bCs/>
      <w:i/>
      <w:iCs/>
      <w:color w:val="auto"/>
    </w:rPr>
  </w:style>
  <w:style w:type="paragraph" w:styleId="IntenseQuote">
    <w:name w:val="Intense Quote"/>
    <w:basedOn w:val="Normal"/>
    <w:next w:val="Normal"/>
    <w:link w:val="IntenseQuoteChar"/>
    <w:uiPriority w:val="30"/>
    <w:qFormat/>
    <w:rsid w:val="00D372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2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24F"/>
    <w:rPr>
      <w:smallCaps/>
      <w:color w:val="auto"/>
      <w:u w:val="single"/>
    </w:rPr>
  </w:style>
  <w:style w:type="character" w:styleId="IntenseReference">
    <w:name w:val="Intense Reference"/>
    <w:basedOn w:val="DefaultParagraphFont"/>
    <w:uiPriority w:val="32"/>
    <w:qFormat/>
    <w:rsid w:val="00D3724F"/>
    <w:rPr>
      <w:b/>
      <w:bCs/>
      <w:smallCaps/>
      <w:color w:val="auto"/>
      <w:spacing w:val="5"/>
      <w:u w:val="single"/>
    </w:rPr>
  </w:style>
  <w:style w:type="paragraph" w:customStyle="1" w:styleId="2ColumnHeading">
    <w:name w:val="2Column Heading"/>
    <w:basedOn w:val="BodyText"/>
    <w:qFormat/>
    <w:rsid w:val="00D3724F"/>
    <w:pPr>
      <w:spacing w:after="60"/>
      <w:ind w:left="-2268"/>
    </w:pPr>
    <w:rPr>
      <w:b/>
    </w:rPr>
  </w:style>
  <w:style w:type="paragraph" w:customStyle="1" w:styleId="Heading1TOC">
    <w:name w:val="Heading1 TOC"/>
    <w:basedOn w:val="Normal"/>
    <w:qFormat/>
    <w:rsid w:val="00D3724F"/>
    <w:pPr>
      <w:spacing w:before="240" w:after="120"/>
    </w:pPr>
    <w:rPr>
      <w:rFonts w:ascii="Times New Roman" w:hAnsi="Times New Roman"/>
      <w:b/>
      <w:sz w:val="32"/>
    </w:rPr>
  </w:style>
  <w:style w:type="paragraph" w:customStyle="1" w:styleId="Heading2TOC">
    <w:name w:val="Heading2 TOC"/>
    <w:basedOn w:val="Normal"/>
    <w:qFormat/>
    <w:rsid w:val="00D3724F"/>
    <w:pPr>
      <w:spacing w:before="240" w:after="60"/>
    </w:pPr>
    <w:rPr>
      <w:rFonts w:ascii="Times New Roman" w:hAnsi="Times New Roman"/>
      <w:b/>
      <w:sz w:val="28"/>
    </w:rPr>
  </w:style>
  <w:style w:type="character" w:customStyle="1" w:styleId="Underline">
    <w:name w:val="Underline"/>
    <w:basedOn w:val="DefaultParagraphFont"/>
    <w:qFormat/>
    <w:rsid w:val="00D3724F"/>
    <w:rPr>
      <w:u w:val="single"/>
    </w:rPr>
  </w:style>
  <w:style w:type="character" w:customStyle="1" w:styleId="BoldandItalics">
    <w:name w:val="Bold and Italics"/>
    <w:qFormat/>
    <w:rsid w:val="00D3724F"/>
    <w:rPr>
      <w:b/>
      <w:i/>
      <w:u w:val="none"/>
    </w:rPr>
  </w:style>
  <w:style w:type="paragraph" w:styleId="BalloonText">
    <w:name w:val="Balloon Text"/>
    <w:basedOn w:val="Normal"/>
    <w:link w:val="BalloonTextChar"/>
    <w:rsid w:val="00D3724F"/>
    <w:rPr>
      <w:rFonts w:ascii="Tahoma" w:hAnsi="Tahoma" w:cs="Tahoma"/>
      <w:sz w:val="16"/>
      <w:szCs w:val="16"/>
    </w:rPr>
  </w:style>
  <w:style w:type="character" w:customStyle="1" w:styleId="BalloonTextChar">
    <w:name w:val="Balloon Text Char"/>
    <w:basedOn w:val="DefaultParagraphFont"/>
    <w:link w:val="BalloonText"/>
    <w:rsid w:val="00D372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2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2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24F"/>
    <w:rPr>
      <w:b/>
      <w:color w:val="660033"/>
      <w:spacing w:val="0"/>
    </w:rPr>
  </w:style>
  <w:style w:type="paragraph" w:customStyle="1" w:styleId="Nameditemlist">
    <w:name w:val="Named item list"/>
    <w:basedOn w:val="BodyText"/>
    <w:qFormat/>
    <w:rsid w:val="00D372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1987</Words>
  <Characters>12133</Characters>
  <Application>Microsoft Office Word</Application>
  <DocSecurity>0</DocSecurity>
  <Lines>467</Lines>
  <Paragraphs>206</Paragraphs>
  <ScaleCrop>false</ScaleCrop>
  <Company>Author-it Software Corporation Ltd.</Company>
  <LinksUpToDate>false</LinksUpToDate>
  <CharactersWithSpaces>14002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UEENEEE147A Identify building techniques, methods and materials used in energy sector work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2012-10-11T21:56:00Z</dcterms:created>
  <dcterms:modified xsi:type="dcterms:W3CDTF">2012-10-11T21:56:00Z</dcterms:modified>
</cp:coreProperties>
</file>