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672" w:rsidP="007B0672">
      <w:pPr>
        <w:pStyle w:val="Title"/>
      </w:pPr>
      <w:bookmarkStart w:id="0" w:name="_GoBack"/>
      <w:bookmarkEnd w:id="0"/>
      <w:r>
        <w:fldChar w:fldCharType="begin"/>
      </w:r>
      <w:r>
        <w:instrText xml:space="preserve"> TITLE   \* MERGEFORMAT </w:instrText>
      </w:r>
      <w:r>
        <w:fldChar w:fldCharType="separate"/>
      </w:r>
      <w:r>
        <w:t>UEENEEE146A Identify effects of energy on machinery and materials in an energy sector environment</w:t>
      </w:r>
      <w:r>
        <w:fldChar w:fldCharType="end"/>
      </w:r>
    </w:p>
    <w:p w:rsidR="007B0672" w:rsidP="007B0672">
      <w:pPr>
        <w:pStyle w:val="Version"/>
        <w:sectPr w:rsidSect="00BD3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7B9" w:rsidP="00BD37B9">
      <w:pPr>
        <w:pStyle w:val="SuperHeading"/>
      </w:pPr>
      <w:r w:rsidRPr="00BD37B9">
        <w:t>UEENEEE146A Identify effects of energy on machinery and materials in an energy sector environment</w:t>
      </w:r>
    </w:p>
    <w:p w:rsidR="00000000" w:rsidRPr="00BD37B9" w:rsidP="00BD37B9">
      <w:pPr>
        <w:pStyle w:val="Heading1"/>
      </w:pPr>
      <w:bookmarkStart w:id="1" w:name="O_417924"/>
      <w:bookmarkEnd w:id="1"/>
      <w:r w:rsidRPr="00BD37B9">
        <w:t>Modification History</w:t>
      </w:r>
    </w:p>
    <w:p w:rsidR="00000000" w:rsidRPr="00BD37B9" w:rsidP="00BD37B9">
      <w:pPr>
        <w:pStyle w:val="BodyText"/>
      </w:pPr>
      <w:r w:rsidRPr="00BD37B9">
        <w:t>Not applicable.</w:t>
      </w:r>
    </w:p>
    <w:p w:rsidR="00000000" w:rsidRPr="00BD37B9" w:rsidP="00BD37B9">
      <w:pPr>
        <w:pStyle w:val="AllowPageBreak"/>
      </w:pPr>
    </w:p>
    <w:p w:rsidR="00000000" w:rsidRPr="00BD37B9" w:rsidP="00BD37B9">
      <w:pPr>
        <w:pStyle w:val="Heading1"/>
      </w:pPr>
      <w:bookmarkStart w:id="2" w:name="O_417922"/>
      <w:bookmarkEnd w:id="2"/>
      <w:r w:rsidRPr="00BD37B9">
        <w:t>Unit Descriptor</w:t>
      </w:r>
    </w:p>
    <w:tbl>
      <w:tblPr>
        <w:tblW w:w="0" w:type="auto"/>
        <w:tblLayout w:type="fixed"/>
        <w:tblCellMar>
          <w:left w:w="62" w:type="dxa"/>
          <w:right w:w="62" w:type="dxa"/>
        </w:tblCellMar>
        <w:tblLook w:val="0000"/>
      </w:tblPr>
      <w:tblGrid>
        <w:gridCol w:w="2700"/>
        <w:gridCol w:w="5760"/>
      </w:tblGrid>
      <w:tr w:rsidTr="007B06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1)</w:t>
            </w:r>
            <w:r w:rsidRPr="00BD37B9">
              <w:t xml:space="preserve"> </w:t>
            </w:r>
            <w:r w:rsidRPr="00BD37B9">
              <w:rPr>
                <w:rStyle w:val="SpecialBold"/>
              </w:rPr>
              <w:t>Scope:</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37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1.1) Descriptor</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 xml:space="preserve">This unit covers effects of energy on machinery and/or materials used in an energy sector environment are identified and completed in an agreed </w:t>
            </w:r>
            <w:r w:rsidRPr="00BD37B9">
              <w:t>time, to a quality standard and using appropriate technology mediums, where required. It encompasses working safely, applying knowledge of identifying the effects of energy on machinery and materials in an electrotechnology environment.</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3" w:name="O_417907"/>
      <w:bookmarkEnd w:id="3"/>
      <w:r w:rsidRPr="00BD37B9">
        <w:t>Application of the Unit</w:t>
      </w:r>
    </w:p>
    <w:tbl>
      <w:tblPr>
        <w:tblW w:w="0" w:type="auto"/>
        <w:tblLayout w:type="fixed"/>
        <w:tblCellMar>
          <w:left w:w="62" w:type="dxa"/>
          <w:right w:w="62" w:type="dxa"/>
        </w:tblCellMar>
        <w:tblLook w:val="0000"/>
      </w:tblPr>
      <w:tblGrid>
        <w:gridCol w:w="2672"/>
        <w:gridCol w:w="5699"/>
      </w:tblGrid>
      <w:tr w:rsidTr="007B067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2)</w:t>
            </w:r>
          </w:p>
        </w:tc>
      </w:tr>
      <w:tr w:rsidTr="007B067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This unit shall apply to persons entering work in energy sector and may be used in school-based vocational programs.</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4" w:name="O_417914"/>
      <w:bookmarkEnd w:id="4"/>
      <w:r w:rsidRPr="00BD37B9">
        <w:t>Licensing/Regulatory Information</w:t>
      </w:r>
    </w:p>
    <w:tbl>
      <w:tblPr>
        <w:tblW w:w="0" w:type="auto"/>
        <w:tblLayout w:type="fixed"/>
        <w:tblCellMar>
          <w:left w:w="62" w:type="dxa"/>
          <w:right w:w="62" w:type="dxa"/>
        </w:tblCellMar>
        <w:tblLook w:val="0000"/>
      </w:tblPr>
      <w:tblGrid>
        <w:gridCol w:w="2700"/>
        <w:gridCol w:w="5760"/>
      </w:tblGrid>
      <w:tr w:rsidTr="007B06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 xml:space="preserve">3) </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The skills and knowledge described in this unit do not require a license to practice in the workplace. However practice in this unit is subject to regulations directly related to occupational health and safe and contracts of training such as new apprentice</w:t>
            </w:r>
            <w:r w:rsidRPr="00BD37B9">
              <w:t>ships.</w:t>
            </w:r>
          </w:p>
          <w:p w:rsidR="00000000" w:rsidRPr="00BD37B9" w:rsidP="00BD37B9">
            <w:pPr>
              <w:pStyle w:val="BodyText"/>
            </w:pPr>
            <w:r w:rsidRPr="00BD37B9">
              <w:t xml:space="preserve">Note: </w:t>
            </w:r>
          </w:p>
          <w:p w:rsidR="00000000" w:rsidRPr="00BD37B9" w:rsidP="00BD37B9">
            <w:pPr>
              <w:pStyle w:val="BodyText"/>
            </w:pPr>
            <w:r w:rsidRPr="00BD37B9">
              <w:t>1. Compliance with permits may be required in various jurisdictions and typically relates to the operation of plant, machinery and equipment such as elevating work platforms, powder operated fixing tools, and power operated tools, vehicles, r</w:t>
            </w:r>
            <w:r w:rsidRPr="00BD37B9">
              <w:t>oad signage and traffic control, lifting equipment. Permits may also be required for some work environments such as confined spaces, working aloft, near live electrical apparatus and site rehabilitation.</w:t>
            </w:r>
          </w:p>
          <w:p w:rsidR="00000000" w:rsidRPr="00BD37B9" w:rsidP="00BD37B9">
            <w:pPr>
              <w:pStyle w:val="BodyText"/>
            </w:pPr>
            <w:r w:rsidRPr="00BD37B9">
              <w:t>2. Compliance may be required in various jurisdictio</w:t>
            </w:r>
            <w:r w:rsidRPr="00BD37B9">
              <w:t>ns relating to currency in First Aid, confined space, lifting and risk safety measures.</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5" w:name="O_417917"/>
      <w:bookmarkEnd w:id="5"/>
      <w:r w:rsidRPr="00BD37B9">
        <w:t>Pre-Requisites</w:t>
      </w:r>
    </w:p>
    <w:tbl>
      <w:tblPr>
        <w:tblW w:w="0" w:type="auto"/>
        <w:tblLayout w:type="fixed"/>
        <w:tblCellMar>
          <w:left w:w="62" w:type="dxa"/>
          <w:right w:w="62" w:type="dxa"/>
        </w:tblCellMar>
        <w:tblLook w:val="0000"/>
      </w:tblPr>
      <w:tblGrid>
        <w:gridCol w:w="2700"/>
        <w:gridCol w:w="5760"/>
      </w:tblGrid>
      <w:tr w:rsidTr="007B06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 xml:space="preserve">4) </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4.1)</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There are no prerequisite competencies for this unit.</w:t>
            </w:r>
          </w:p>
        </w:tc>
      </w:tr>
    </w:tbl>
    <w:p w:rsidR="00000000" w:rsidRPr="00BD37B9" w:rsidP="00BD37B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B067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 xml:space="preserve">4.2) </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Participants are best equipped to achieve competency in this unit if they have reading, writing and numeracy skills indicated by the following scales. Description of each scale is given in Volume 2, Part 3 ‘Literacy and Numeracy’</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Reading</w:t>
            </w:r>
          </w:p>
        </w:tc>
        <w:tc>
          <w:tcPr>
            <w:tcW w:w="81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3</w:t>
            </w:r>
          </w:p>
        </w:tc>
        <w:tc>
          <w:tcPr>
            <w:tcW w:w="99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Writing</w:t>
            </w:r>
          </w:p>
        </w:tc>
        <w:tc>
          <w:tcPr>
            <w:tcW w:w="90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3</w:t>
            </w:r>
          </w:p>
        </w:tc>
        <w:tc>
          <w:tcPr>
            <w:tcW w:w="12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Numeracy</w:t>
            </w:r>
          </w:p>
        </w:tc>
        <w:tc>
          <w:tcPr>
            <w:tcW w:w="72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3</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6" w:name="O_417911"/>
      <w:bookmarkEnd w:id="6"/>
      <w:r w:rsidRPr="00BD37B9">
        <w:t>Employability Skills Information</w:t>
      </w:r>
    </w:p>
    <w:tbl>
      <w:tblPr>
        <w:tblW w:w="0" w:type="auto"/>
        <w:tblLayout w:type="fixed"/>
        <w:tblCellMar>
          <w:left w:w="62" w:type="dxa"/>
          <w:right w:w="62" w:type="dxa"/>
        </w:tblCellMar>
        <w:tblLook w:val="0000"/>
      </w:tblPr>
      <w:tblGrid>
        <w:gridCol w:w="2700"/>
        <w:gridCol w:w="5760"/>
      </w:tblGrid>
      <w:tr w:rsidTr="007B0672">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 xml:space="preserve">5) </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This unit contains Employability Skills</w:t>
            </w:r>
          </w:p>
          <w:p w:rsidR="00000000" w:rsidRPr="00BD37B9" w:rsidP="00BD37B9">
            <w:pPr>
              <w:pStyle w:val="BodyText"/>
            </w:pPr>
            <w:r w:rsidRPr="00BD37B9">
              <w:t>The required outcomes described in this unit of competency contain ap</w:t>
            </w:r>
            <w:r w:rsidRPr="00BD37B9">
              <w:t xml:space="preserve">plicable facets of Employability Skills. The Employability Skills Summary of the </w:t>
            </w:r>
            <w:r w:rsidRPr="00BD37B9">
              <w:t>qualification in which this unit of competency is packaged will assist in identifying Employability Skill requirements.</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7" w:name="O_417910"/>
      <w:bookmarkEnd w:id="7"/>
      <w:r w:rsidRPr="00BD37B9">
        <w:t>Elements and Performance Criteria Pr</w:t>
      </w:r>
      <w:r w:rsidRPr="00BD37B9">
        <w:t>e-Content</w:t>
      </w:r>
    </w:p>
    <w:tbl>
      <w:tblPr>
        <w:tblW w:w="0" w:type="auto"/>
        <w:tblLayout w:type="fixed"/>
        <w:tblCellMar>
          <w:left w:w="62" w:type="dxa"/>
          <w:right w:w="62" w:type="dxa"/>
        </w:tblCellMar>
        <w:tblLook w:val="0000"/>
      </w:tblPr>
      <w:tblGrid>
        <w:gridCol w:w="2700"/>
        <w:gridCol w:w="5760"/>
      </w:tblGrid>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6)</w:t>
            </w:r>
            <w:r w:rsidRPr="00BD37B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Performance Criteria describe the required performance needed to demonstrate achievement of the element. Assessment of performance is to be consistent with the Evidence Gui</w:t>
            </w:r>
            <w:r w:rsidRPr="00BD37B9">
              <w:t>de.</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8" w:name="O_417909"/>
      <w:bookmarkEnd w:id="8"/>
      <w:r w:rsidRPr="00BD37B9">
        <w:t>Elements and Performance Criteria</w:t>
      </w:r>
    </w:p>
    <w:tbl>
      <w:tblPr>
        <w:tblW w:w="0" w:type="auto"/>
        <w:tblLayout w:type="fixed"/>
        <w:tblCellMar>
          <w:left w:w="62" w:type="dxa"/>
          <w:right w:w="62" w:type="dxa"/>
        </w:tblCellMar>
        <w:tblLook w:val="0000"/>
      </w:tblPr>
      <w:tblGrid>
        <w:gridCol w:w="404"/>
        <w:gridCol w:w="2296"/>
        <w:gridCol w:w="899"/>
        <w:gridCol w:w="4850"/>
        <w:gridCol w:w="15"/>
      </w:tblGrid>
      <w:tr w:rsidTr="007B067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ELEMENT</w:t>
            </w:r>
          </w:p>
        </w:tc>
        <w:tc>
          <w:tcPr>
            <w:tcW w:w="5764" w:type="dxa"/>
            <w:gridSpan w:val="3"/>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PERFORMANCE CRITERIA</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1</w:t>
            </w:r>
          </w:p>
        </w:tc>
        <w:tc>
          <w:tcPr>
            <w:tcW w:w="2296" w:type="dxa"/>
            <w:vMerge w:val="restart"/>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Prepare to identify effects of energy on machinery and materials.</w:t>
            </w: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1.1</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Instructions for identifying effects of energy on machinery or materials are communicated and confirmed to ensure clear understanding.</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1.2</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OHS policies and procedures are communicated and confirmed to ensure they are understood as they apply to the carr</w:t>
            </w:r>
            <w:r w:rsidRPr="00BD37B9">
              <w:t>ying out of the work.</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1.3</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Tools, equipment and personnel protective equipment necessary for the work are identified, scheduled and checked to ensure they work correctly as intended and are safe to use in accordance with established procedures.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1.4</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Appropriate personnel are consulted to ensure effects of energy on machinery or materials are identified and coordinated effectively with others involved.</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1.5</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Resources and materials needed to do the work are confirmed, scheduled and obtained in accorda</w:t>
            </w:r>
            <w:r w:rsidRPr="00BD37B9">
              <w:t>nce with established procedures.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1.6</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Schedule for identifying effects of energy on machinery or materials including practices for working safely are confirmed in accordance with instructions and requirements.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2</w:t>
            </w:r>
          </w:p>
        </w:tc>
        <w:tc>
          <w:tcPr>
            <w:tcW w:w="2296" w:type="dxa"/>
            <w:vMerge w:val="restart"/>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Identify effects of energy on machinery and materials.</w:t>
            </w: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2.1</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OHS policies and procedures and safe work practices are followed to eliminate or minimise incidents.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2.2</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 xml:space="preserve">Schedule for identifying effects of energy on machinery or materials work is followed to </w:t>
            </w:r>
            <w:r w:rsidRPr="00BD37B9">
              <w:t>ensure work is completed in an agreed time, to a quality standard and with a minimum of waste.</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2.3</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Further instructions are sought from appropriate personnel in the event of unplanned happenings or conditions.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2.4</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Ongoing checks of work quality are undertaken in accordance with instructions and requirements.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3</w:t>
            </w:r>
          </w:p>
        </w:tc>
        <w:tc>
          <w:tcPr>
            <w:tcW w:w="2296" w:type="dxa"/>
            <w:vMerge w:val="restart"/>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Check results of the effects of energy on machinery and materials.</w:t>
            </w: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3.1</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Final checks are made to ensure the effects of energy on machinery or materials as ide</w:t>
            </w:r>
            <w:r w:rsidRPr="00BD37B9">
              <w:t>ntified conforms with instructions and to requirements.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3.2</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Appropriate personnel are notified of completion of the computations.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3.3</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Tools, equipment and any surplus resources and materials are, where appropriate, cleaned, checked and returned to storage in accordance with established procedures.</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3.4</w:t>
            </w:r>
          </w:p>
        </w:tc>
        <w:tc>
          <w:tcPr>
            <w:tcW w:w="485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Work area is cleaned up and made safe and sustainable energy practices are followed.</w:t>
            </w:r>
          </w:p>
        </w:tc>
      </w:tr>
      <w:tr w:rsidTr="007B0672">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3.5</w:t>
            </w:r>
          </w:p>
        </w:tc>
        <w:tc>
          <w:tcPr>
            <w:tcW w:w="485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Appropriate records are updated in accordance with instructions and established procedures.</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9" w:name="O_417920"/>
      <w:bookmarkEnd w:id="9"/>
      <w:r w:rsidRPr="00BD37B9">
        <w:t>Required Skills and Knowledge</w:t>
      </w:r>
    </w:p>
    <w:tbl>
      <w:tblPr>
        <w:tblW w:w="0" w:type="auto"/>
        <w:tblLayout w:type="fixed"/>
        <w:tblCellMar>
          <w:left w:w="62" w:type="dxa"/>
          <w:right w:w="62" w:type="dxa"/>
        </w:tblCellMar>
        <w:tblLook w:val="0000"/>
      </w:tblPr>
      <w:tblGrid>
        <w:gridCol w:w="8460"/>
      </w:tblGrid>
      <w:tr w:rsidTr="007B06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REQUIRED SKILLS AND KNOWLEDGE</w:t>
            </w:r>
          </w:p>
        </w:tc>
      </w:tr>
      <w:tr w:rsidTr="007B067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8)</w:t>
            </w:r>
            <w:r w:rsidRPr="00BD37B9">
              <w:t xml:space="preserve"> This describes the essential skills and knowledge and their level, required for this unit.</w:t>
            </w:r>
          </w:p>
          <w:p w:rsidR="00000000" w:rsidRPr="00BD37B9" w:rsidP="00BD37B9">
            <w:pPr>
              <w:pStyle w:val="BodyText"/>
            </w:pPr>
            <w:r w:rsidRPr="00BD37B9">
              <w:t>Evidence shall show that knowledge has been acquired of safe working practices and identifying effects of energy on machinery and materials in an energy sector envi</w:t>
            </w:r>
            <w:r w:rsidRPr="00BD37B9">
              <w:t>ronment.</w:t>
            </w:r>
          </w:p>
          <w:p w:rsidR="00000000" w:rsidRPr="00BD37B9" w:rsidP="00BD37B9">
            <w:pPr>
              <w:pStyle w:val="BodyText"/>
            </w:pPr>
            <w:r w:rsidRPr="00BD37B9">
              <w:t>All knowledge and skills detailed in this unit should be contextualised to current industry practices and technologies.</w:t>
            </w:r>
          </w:p>
          <w:p w:rsidR="00000000" w:rsidRPr="00BD37B9" w:rsidP="00BD37B9">
            <w:pPr>
              <w:pStyle w:val="BodyText"/>
            </w:pPr>
            <w:r w:rsidRPr="00BD37B9">
              <w:rPr>
                <w:rStyle w:val="SpecialBold"/>
              </w:rPr>
              <w:t>KS01-EE146A</w:t>
            </w:r>
            <w:r w:rsidRPr="00BD37B9">
              <w:rPr>
                <w:rStyle w:val="SpecialBold"/>
              </w:rPr>
              <w:tab/>
              <w:t xml:space="preserve">              Applied physics concepts</w:t>
            </w:r>
          </w:p>
          <w:p w:rsidR="00000000" w:rsidRPr="00BD37B9" w:rsidP="00BD37B9">
            <w:pPr>
              <w:pStyle w:val="BodyText"/>
            </w:pPr>
            <w:r w:rsidRPr="00BD37B9">
              <w:t>Evidence shall show an understanding of applied physics concepts to an exten</w:t>
            </w:r>
            <w:r w:rsidRPr="00BD37B9">
              <w:t>t indicated by the following aspects:</w:t>
            </w:r>
          </w:p>
          <w:p w:rsidR="00000000" w:rsidRPr="00BD37B9" w:rsidP="00BD37B9">
            <w:pPr>
              <w:pStyle w:val="BodyText"/>
            </w:pPr>
            <w:r w:rsidRPr="00BD37B9">
              <w:t>T1</w:t>
            </w:r>
            <w:r w:rsidRPr="00BD37B9">
              <w:tab/>
              <w:t>Motion in two dimensions encompassing:</w:t>
            </w:r>
          </w:p>
          <w:p w:rsidR="00000000" w:rsidRPr="00BD37B9" w:rsidP="00BD37B9">
            <w:pPr>
              <w:pStyle w:val="ListBullet"/>
            </w:pPr>
            <w:r w:rsidRPr="00BD37B9">
              <w:t>vertical and horizontal components of velocity</w:t>
            </w:r>
          </w:p>
          <w:p w:rsidR="00000000" w:rsidRPr="00BD37B9" w:rsidP="00BD37B9">
            <w:pPr>
              <w:pStyle w:val="ListBullet"/>
            </w:pPr>
            <w:r w:rsidRPr="00BD37B9">
              <w:t>determination of the vertical component of velocity</w:t>
            </w:r>
          </w:p>
          <w:p w:rsidR="00000000" w:rsidRPr="00BD37B9" w:rsidP="00BD37B9">
            <w:pPr>
              <w:pStyle w:val="ListBullet"/>
            </w:pPr>
            <w:r w:rsidRPr="00BD37B9">
              <w:t>resolution of velocity into components</w:t>
            </w:r>
          </w:p>
          <w:p w:rsidR="00000000" w:rsidRPr="00BD37B9" w:rsidP="00BD37B9">
            <w:pPr>
              <w:pStyle w:val="ListBullet"/>
            </w:pPr>
            <w:r w:rsidRPr="00BD37B9">
              <w:t>time of flight, range, effect of air resistance</w:t>
            </w:r>
          </w:p>
          <w:p w:rsidR="00000000" w:rsidRPr="00BD37B9" w:rsidP="00BD37B9">
            <w:pPr>
              <w:pStyle w:val="ListBullet"/>
            </w:pPr>
            <w:r w:rsidRPr="00BD37B9">
              <w:t>centripetal acceleration, force causing the centripetal acceleration</w:t>
            </w:r>
          </w:p>
          <w:p w:rsidR="00000000" w:rsidRPr="00BD37B9" w:rsidP="00BD37B9">
            <w:pPr>
              <w:pStyle w:val="ListBullet"/>
            </w:pPr>
            <w:r w:rsidRPr="00BD37B9">
              <w:t>Newton’s law of universal gravitation</w:t>
            </w:r>
          </w:p>
          <w:p w:rsidR="00000000" w:rsidRPr="00BD37B9" w:rsidP="00BD37B9">
            <w:pPr>
              <w:pStyle w:val="ListBullet"/>
            </w:pPr>
            <w:r w:rsidRPr="00BD37B9">
              <w:t>satellites in circular orbits</w:t>
            </w:r>
          </w:p>
          <w:p w:rsidR="00000000" w:rsidRPr="00BD37B9" w:rsidP="00BD37B9">
            <w:pPr>
              <w:pStyle w:val="ListBullet"/>
            </w:pPr>
            <w:r w:rsidRPr="00BD37B9">
              <w:t xml:space="preserve">Momentum in two dimensions </w:t>
            </w:r>
          </w:p>
          <w:p w:rsidR="00000000" w:rsidRPr="00BD37B9" w:rsidP="00BD37B9">
            <w:pPr>
              <w:pStyle w:val="ListContinue"/>
            </w:pPr>
            <w:r w:rsidRPr="00BD37B9">
              <w:t>Note:</w:t>
            </w:r>
          </w:p>
          <w:p w:rsidR="00000000" w:rsidRPr="00BD37B9" w:rsidP="00BD37B9">
            <w:pPr>
              <w:pStyle w:val="ListContinue"/>
            </w:pPr>
            <w:r w:rsidRPr="00BD37B9">
              <w:t>Examples are: vector form of Newton’</w:t>
            </w:r>
            <w:r w:rsidRPr="00BD37B9">
              <w:t>s second law of motion, Newton’s second law of motion in terms of momentum, law of conservation of momentum</w:t>
            </w:r>
          </w:p>
          <w:p w:rsidR="00000000" w:rsidRPr="00BD37B9" w:rsidP="00BD37B9">
            <w:pPr>
              <w:pStyle w:val="BodyText"/>
            </w:pPr>
            <w:r w:rsidRPr="00BD37B9">
              <w:t>T2</w:t>
            </w:r>
            <w:r w:rsidRPr="00BD37B9">
              <w:tab/>
              <w:t>Electricity and magnetism encompassing:</w:t>
            </w:r>
          </w:p>
          <w:p w:rsidR="00000000" w:rsidRPr="00BD37B9" w:rsidP="00BD37B9">
            <w:pPr>
              <w:pStyle w:val="ListBullet"/>
            </w:pPr>
            <w:r w:rsidRPr="00BD37B9">
              <w:t>Electric fields</w:t>
            </w:r>
          </w:p>
          <w:p w:rsidR="00000000" w:rsidRPr="00BD37B9" w:rsidP="00BD37B9">
            <w:pPr>
              <w:pStyle w:val="ListContinue"/>
            </w:pPr>
            <w:r w:rsidRPr="00BD37B9">
              <w:t>Note:</w:t>
            </w:r>
          </w:p>
          <w:p w:rsidR="00000000" w:rsidRPr="00BD37B9" w:rsidP="00BD37B9">
            <w:pPr>
              <w:pStyle w:val="ListContinue"/>
            </w:pPr>
            <w:r w:rsidRPr="00BD37B9">
              <w:t>Examples are: Coulomb’s law, principle of superposition, electric field, pictorial</w:t>
            </w:r>
            <w:r w:rsidRPr="00BD37B9">
              <w:t xml:space="preserve"> representation of electric fields, superposition of electric fields, electric field due to one or two charged plates, electric fields and conductors, electric field inside a hollow conductor, electric fields near sharp points</w:t>
            </w:r>
          </w:p>
          <w:p w:rsidR="00000000" w:rsidRPr="00BD37B9" w:rsidP="00BD37B9">
            <w:pPr>
              <w:pStyle w:val="ListBullet"/>
            </w:pPr>
            <w:r w:rsidRPr="00BD37B9">
              <w:t>The motion of charges particl</w:t>
            </w:r>
            <w:r w:rsidRPr="00BD37B9">
              <w:t>es in electric fields</w:t>
            </w:r>
          </w:p>
          <w:p w:rsidR="00000000" w:rsidRPr="00BD37B9" w:rsidP="00BD37B9">
            <w:pPr>
              <w:pStyle w:val="ListContinue"/>
            </w:pPr>
            <w:r w:rsidRPr="00BD37B9">
              <w:t>Note:</w:t>
            </w:r>
          </w:p>
          <w:p w:rsidR="00000000" w:rsidRPr="00BD37B9" w:rsidP="00BD37B9">
            <w:pPr>
              <w:pStyle w:val="ListContinue"/>
            </w:pPr>
            <w:r w:rsidRPr="00BD37B9">
              <w:t>Examples are: electric, potential difference, acceleration in a constant electric field, motion of a charged particle in a constant electric field</w:t>
            </w:r>
          </w:p>
          <w:p w:rsidR="00000000" w:rsidRPr="00BD37B9" w:rsidP="00BD37B9">
            <w:pPr>
              <w:pStyle w:val="ListBullet"/>
            </w:pPr>
            <w:r w:rsidRPr="00BD37B9">
              <w:t>Magnetic fields</w:t>
            </w:r>
          </w:p>
          <w:p w:rsidR="00000000" w:rsidRPr="00BD37B9" w:rsidP="00BD37B9">
            <w:pPr>
              <w:pStyle w:val="ListContinue"/>
            </w:pPr>
            <w:r w:rsidRPr="00BD37B9">
              <w:t>Note:</w:t>
            </w:r>
          </w:p>
          <w:p w:rsidR="00000000" w:rsidRPr="00BD37B9" w:rsidP="00BD37B9">
            <w:pPr>
              <w:pStyle w:val="ListContinue"/>
            </w:pPr>
            <w:r w:rsidRPr="00BD37B9">
              <w:t>Examples are: magnetic fields and their pictorial representation, magnetic force on a current-carrying conductor</w:t>
            </w:r>
          </w:p>
          <w:p w:rsidR="00000000" w:rsidRPr="00BD37B9" w:rsidP="00BD37B9">
            <w:pPr>
              <w:pStyle w:val="ListBullet"/>
            </w:pPr>
            <w:r w:rsidRPr="00BD37B9">
              <w:t>The motion of charges particles in magnetic fields</w:t>
            </w:r>
          </w:p>
          <w:p w:rsidR="00000000" w:rsidRPr="00BD37B9" w:rsidP="00BD37B9">
            <w:pPr>
              <w:pStyle w:val="ListContinue"/>
            </w:pPr>
            <w:r w:rsidRPr="00BD37B9">
              <w:t>Note:</w:t>
            </w:r>
          </w:p>
          <w:p w:rsidR="00000000" w:rsidRPr="00BD37B9" w:rsidP="00BD37B9">
            <w:pPr>
              <w:pStyle w:val="ListContinue"/>
            </w:pPr>
            <w:r w:rsidRPr="00BD37B9">
              <w:t>Examples are: force on a charged particle in a magnetic field, motion of a charged pa</w:t>
            </w:r>
            <w:r w:rsidRPr="00BD37B9">
              <w:t>rticle at right angles to a magnetic field</w:t>
            </w:r>
          </w:p>
          <w:p w:rsidR="00000000" w:rsidRPr="00BD37B9" w:rsidP="00BD37B9">
            <w:pPr>
              <w:pStyle w:val="BodyText"/>
            </w:pPr>
            <w:r w:rsidRPr="00BD37B9">
              <w:t>T3</w:t>
            </w:r>
            <w:r w:rsidRPr="00BD37B9">
              <w:tab/>
              <w:t>Light and matter</w:t>
            </w:r>
          </w:p>
          <w:p w:rsidR="00000000" w:rsidRPr="00BD37B9" w:rsidP="00BD37B9">
            <w:pPr>
              <w:pStyle w:val="ListBullet"/>
            </w:pPr>
            <w:r w:rsidRPr="00BD37B9">
              <w:t>Electromagnetic waves</w:t>
            </w:r>
          </w:p>
          <w:p w:rsidR="00000000" w:rsidRPr="00BD37B9" w:rsidP="00BD37B9">
            <w:pPr>
              <w:pStyle w:val="ListContinue"/>
            </w:pPr>
            <w:r w:rsidRPr="00BD37B9">
              <w:t>Note:</w:t>
            </w:r>
          </w:p>
          <w:p w:rsidR="00000000" w:rsidRPr="00BD37B9" w:rsidP="00BD37B9">
            <w:pPr>
              <w:pStyle w:val="ListContinue"/>
            </w:pPr>
            <w:r w:rsidRPr="00BD37B9">
              <w:t>Examples are: characteristics of electromagnetic waves, speed, frequency and wavelength</w:t>
            </w:r>
          </w:p>
          <w:p w:rsidR="00000000" w:rsidRPr="00BD37B9" w:rsidP="00BD37B9">
            <w:pPr>
              <w:pStyle w:val="ListContinue"/>
            </w:pPr>
            <w:r w:rsidRPr="00BD37B9">
              <w:t>The interference of light</w:t>
            </w:r>
          </w:p>
          <w:p w:rsidR="00000000" w:rsidRPr="00BD37B9" w:rsidP="00BD37B9">
            <w:pPr>
              <w:pStyle w:val="ListContinue"/>
            </w:pPr>
            <w:r w:rsidRPr="00BD37B9">
              <w:t>Note:</w:t>
            </w:r>
          </w:p>
          <w:p w:rsidR="00000000" w:rsidRPr="00BD37B9" w:rsidP="00BD37B9">
            <w:pPr>
              <w:pStyle w:val="ListContinue"/>
            </w:pPr>
            <w:r w:rsidRPr="00BD37B9">
              <w:t>Examples are: coherent wave sources, interfe</w:t>
            </w:r>
            <w:r w:rsidRPr="00BD37B9">
              <w:t>rence, two-source interference, diffraction, two-slit interference, transmission diffraction gratings, speckle</w:t>
            </w:r>
          </w:p>
          <w:p w:rsidR="00000000" w:rsidRPr="00BD37B9" w:rsidP="00BD37B9">
            <w:pPr>
              <w:pStyle w:val="ListBullet"/>
            </w:pPr>
            <w:r w:rsidRPr="00BD37B9">
              <w:t>Photons</w:t>
            </w:r>
          </w:p>
          <w:p w:rsidR="00000000" w:rsidRPr="00BD37B9" w:rsidP="00BD37B9">
            <w:pPr>
              <w:pStyle w:val="ListContinue"/>
            </w:pPr>
            <w:r w:rsidRPr="00BD37B9">
              <w:t>Note:</w:t>
            </w:r>
          </w:p>
          <w:p w:rsidR="00000000" w:rsidRPr="00BD37B9" w:rsidP="00BD37B9">
            <w:pPr>
              <w:pStyle w:val="ListContinue"/>
            </w:pPr>
            <w:r w:rsidRPr="00BD37B9">
              <w:t>Examples are: photons, the photoelectric effect, x-rays</w:t>
            </w:r>
          </w:p>
          <w:p w:rsidR="00000000" w:rsidRPr="00BD37B9" w:rsidP="00BD37B9">
            <w:pPr>
              <w:pStyle w:val="ListBullet"/>
            </w:pPr>
            <w:r w:rsidRPr="00BD37B9">
              <w:t>Wave behaviour of particles</w:t>
            </w:r>
          </w:p>
          <w:p w:rsidR="00000000" w:rsidRPr="00BD37B9" w:rsidP="00BD37B9">
            <w:pPr>
              <w:pStyle w:val="ListContinue"/>
            </w:pPr>
            <w:r w:rsidRPr="00BD37B9">
              <w:t>Note:</w:t>
            </w:r>
          </w:p>
          <w:p w:rsidR="00000000" w:rsidRPr="00BD37B9" w:rsidP="00BD37B9">
            <w:pPr>
              <w:pStyle w:val="ListContinue"/>
            </w:pPr>
            <w:r w:rsidRPr="00BD37B9">
              <w:t>Examples are: wave behaviour of particles, experimental evidence for wave behaviour of particles</w:t>
            </w:r>
          </w:p>
          <w:p w:rsidR="00000000" w:rsidRPr="00BD37B9" w:rsidP="00BD37B9">
            <w:pPr>
              <w:pStyle w:val="BodyText"/>
            </w:pPr>
            <w:r w:rsidRPr="00BD37B9">
              <w:t>T4</w:t>
            </w:r>
            <w:r w:rsidRPr="00BD37B9">
              <w:tab/>
              <w:t>Atoms and nuclei</w:t>
            </w:r>
          </w:p>
          <w:p w:rsidR="00000000" w:rsidRPr="00BD37B9" w:rsidP="00BD37B9">
            <w:pPr>
              <w:pStyle w:val="ListBullet"/>
            </w:pPr>
            <w:r w:rsidRPr="00BD37B9">
              <w:t>The structure of the atom</w:t>
            </w:r>
          </w:p>
          <w:p w:rsidR="00000000" w:rsidRPr="00BD37B9" w:rsidP="00BD37B9">
            <w:pPr>
              <w:pStyle w:val="ListContinue"/>
            </w:pPr>
            <w:r w:rsidRPr="00BD37B9">
              <w:t>Note:</w:t>
            </w:r>
          </w:p>
          <w:p w:rsidR="00000000" w:rsidRPr="00BD37B9" w:rsidP="00BD37B9">
            <w:pPr>
              <w:pStyle w:val="ListContinue"/>
            </w:pPr>
            <w:r w:rsidRPr="00BD37B9">
              <w:t>Examples are: line emission spectrum, energy levels in atoms, spectrum of atomic hydrogen, ionization ener</w:t>
            </w:r>
            <w:r w:rsidRPr="00BD37B9">
              <w:t>gy, continuous spectrum, line absorption spectrum, fluorescence, stimulated emission</w:t>
            </w:r>
          </w:p>
          <w:p w:rsidR="00000000" w:rsidRPr="00BD37B9" w:rsidP="00BD37B9">
            <w:pPr>
              <w:pStyle w:val="ListBullet"/>
            </w:pPr>
            <w:r w:rsidRPr="00BD37B9">
              <w:t>The structure of the nucleus</w:t>
            </w:r>
          </w:p>
          <w:p w:rsidR="00000000" w:rsidRPr="00BD37B9" w:rsidP="00BD37B9">
            <w:pPr>
              <w:pStyle w:val="ListContinue"/>
            </w:pPr>
            <w:r w:rsidRPr="00BD37B9">
              <w:t>Note:</w:t>
            </w:r>
          </w:p>
          <w:p w:rsidR="00000000" w:rsidRPr="00BD37B9" w:rsidP="00BD37B9">
            <w:pPr>
              <w:pStyle w:val="ListContinue"/>
            </w:pPr>
            <w:r w:rsidRPr="00BD37B9">
              <w:t>Examples are: composition of nuclei, the nucleon force, isotopes, mass defect and binding energy, conservation laws in nuclear reaction</w:t>
            </w:r>
            <w:r w:rsidRPr="00BD37B9">
              <w:t>s</w:t>
            </w:r>
          </w:p>
          <w:p w:rsidR="00000000" w:rsidRPr="00BD37B9" w:rsidP="00BD37B9">
            <w:pPr>
              <w:pStyle w:val="ListBullet"/>
            </w:pPr>
            <w:r w:rsidRPr="00BD37B9">
              <w:t>Radioactivity</w:t>
            </w:r>
          </w:p>
          <w:p w:rsidR="00000000" w:rsidRPr="00BD37B9" w:rsidP="00BD37B9">
            <w:pPr>
              <w:pStyle w:val="ListContinue"/>
            </w:pPr>
            <w:r w:rsidRPr="00BD37B9">
              <w:t>Note:</w:t>
            </w:r>
          </w:p>
          <w:p w:rsidR="00000000" w:rsidRPr="00BD37B9" w:rsidP="00BD37B9">
            <w:pPr>
              <w:pStyle w:val="ListContinue"/>
            </w:pPr>
            <w:r w:rsidRPr="00BD37B9">
              <w:t>Examples are: stable and unstable nuclei, types of decay of unstable nuclei, alpha decay, beta minus decay, beta plus decay, half-life and activity</w:t>
            </w:r>
          </w:p>
          <w:p w:rsidR="00000000" w:rsidRPr="00BD37B9" w:rsidP="00BD37B9">
            <w:pPr>
              <w:pStyle w:val="ListBullet"/>
            </w:pPr>
            <w:r w:rsidRPr="00BD37B9">
              <w:t>Nuclear fission and fusion</w:t>
            </w:r>
          </w:p>
          <w:p w:rsidR="00000000" w:rsidRPr="00BD37B9" w:rsidP="00BD37B9">
            <w:pPr>
              <w:pStyle w:val="ListContinue"/>
            </w:pPr>
            <w:r w:rsidRPr="00BD37B9">
              <w:t>Note:</w:t>
            </w:r>
          </w:p>
          <w:p w:rsidR="00000000" w:rsidRPr="00BD37B9" w:rsidP="00BD37B9">
            <w:pPr>
              <w:pStyle w:val="ListContinue"/>
            </w:pPr>
            <w:r w:rsidRPr="00BD37B9">
              <w:t>Examples are: spontaneous and induced nuclear fissi</w:t>
            </w:r>
            <w:r w:rsidRPr="00BD37B9">
              <w:t>on, chain reaction</w:t>
            </w:r>
          </w:p>
          <w:p w:rsidR="00000000" w:rsidRPr="00BD37B9" w:rsidP="00BD37B9">
            <w:pPr>
              <w:pStyle w:val="BodyText"/>
            </w:pPr>
            <w:r w:rsidRPr="00BD37B9">
              <w:t>T5</w:t>
            </w:r>
            <w:r w:rsidRPr="00BD37B9">
              <w:tab/>
              <w:t>Skills</w:t>
            </w:r>
          </w:p>
          <w:p w:rsidR="00000000" w:rsidRPr="00BD37B9" w:rsidP="00BD37B9">
            <w:pPr>
              <w:pStyle w:val="ListBullet"/>
            </w:pPr>
            <w:r w:rsidRPr="00BD37B9">
              <w:t>Experimental skills</w:t>
            </w:r>
          </w:p>
          <w:p w:rsidR="00000000" w:rsidRPr="00BD37B9" w:rsidP="00BD37B9">
            <w:pPr>
              <w:pStyle w:val="ListContinue"/>
            </w:pPr>
            <w:r w:rsidRPr="00BD37B9">
              <w:t>Note:</w:t>
            </w:r>
          </w:p>
          <w:p w:rsidR="00000000" w:rsidRPr="00BD37B9" w:rsidP="00BD37B9">
            <w:pPr>
              <w:pStyle w:val="ListContinue"/>
            </w:pPr>
            <w:r w:rsidRPr="00BD37B9">
              <w:t>Examples are: purpose and variables, procedure, observation, presentation, interpretation</w:t>
            </w:r>
          </w:p>
          <w:p w:rsidR="00000000" w:rsidRPr="00BD37B9" w:rsidP="00BD37B9">
            <w:pPr>
              <w:pStyle w:val="ListBullet"/>
            </w:pPr>
            <w:r w:rsidRPr="00BD37B9">
              <w:t>Investigation design skills</w:t>
            </w:r>
          </w:p>
          <w:p w:rsidR="00000000" w:rsidRPr="00BD37B9" w:rsidP="00BD37B9">
            <w:pPr>
              <w:pStyle w:val="ListContinue"/>
            </w:pPr>
            <w:r w:rsidRPr="00BD37B9">
              <w:t>Note:</w:t>
            </w:r>
          </w:p>
          <w:p w:rsidR="00000000" w:rsidRPr="00BD37B9" w:rsidP="00BD37B9">
            <w:pPr>
              <w:pStyle w:val="ListContinue"/>
            </w:pPr>
            <w:r w:rsidRPr="00BD37B9">
              <w:t>Examples are: designing and investigation, evaluating and investigation</w:t>
            </w:r>
          </w:p>
          <w:p w:rsidR="00000000" w:rsidRPr="00BD37B9" w:rsidP="00BD37B9">
            <w:pPr>
              <w:pStyle w:val="ListBullet"/>
            </w:pPr>
            <w:r w:rsidRPr="00BD37B9">
              <w:t>Information skills</w:t>
            </w:r>
          </w:p>
          <w:p w:rsidR="00000000" w:rsidRPr="00BD37B9" w:rsidP="00BD37B9">
            <w:pPr>
              <w:pStyle w:val="ListContinue"/>
            </w:pPr>
            <w:r w:rsidRPr="00BD37B9">
              <w:t>Note:</w:t>
            </w:r>
          </w:p>
          <w:p w:rsidR="00000000" w:rsidRPr="00BD37B9" w:rsidP="00BD37B9">
            <w:pPr>
              <w:pStyle w:val="ListContinue"/>
            </w:pPr>
            <w:r w:rsidRPr="00BD37B9">
              <w:t>Examples are: planning an information search, searching for information, evaluating information</w:t>
            </w:r>
          </w:p>
          <w:p w:rsidR="00000000" w:rsidRPr="00BD37B9" w:rsidP="00BD37B9">
            <w:pPr>
              <w:pStyle w:val="ListBullet"/>
            </w:pPr>
            <w:r w:rsidRPr="00BD37B9">
              <w:t>Communication skills</w:t>
            </w:r>
          </w:p>
          <w:p w:rsidR="00000000" w:rsidRPr="00BD37B9" w:rsidP="00BD37B9">
            <w:pPr>
              <w:pStyle w:val="ListContinue"/>
            </w:pPr>
            <w:r w:rsidRPr="00BD37B9">
              <w:t>Note:</w:t>
            </w:r>
          </w:p>
          <w:p w:rsidR="00000000" w:rsidRPr="00BD37B9" w:rsidP="00BD37B9">
            <w:pPr>
              <w:pStyle w:val="ListContinue"/>
            </w:pPr>
            <w:r w:rsidRPr="00BD37B9">
              <w:t>Examples are: oral communication, written communication, evaluation of oral and written communications</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10" w:name="O_417912"/>
      <w:bookmarkEnd w:id="10"/>
      <w:r w:rsidRPr="00BD37B9">
        <w:t>Evidence Guide</w:t>
      </w:r>
    </w:p>
    <w:tbl>
      <w:tblPr>
        <w:tblW w:w="0" w:type="auto"/>
        <w:tblLayout w:type="fixed"/>
        <w:tblCellMar>
          <w:left w:w="62" w:type="dxa"/>
          <w:right w:w="62" w:type="dxa"/>
        </w:tblCellMar>
        <w:tblLook w:val="0000"/>
      </w:tblPr>
      <w:tblGrid>
        <w:gridCol w:w="8460"/>
      </w:tblGrid>
      <w:tr w:rsidTr="007B06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EVIDENCE GUIDE</w:t>
            </w:r>
          </w:p>
        </w:tc>
      </w:tr>
      <w:tr w:rsidTr="007B06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9)</w:t>
            </w:r>
            <w:r w:rsidRPr="00BD37B9">
              <w:t xml:space="preserve"> The evidence guide provides advice on assessment and must be read in conjunction with the Performance Criteria, Required Skills and Knowledge, the Range Statement and the Assessment Guidelines for this Trai</w:t>
            </w:r>
            <w:r w:rsidRPr="00BD37B9">
              <w:t xml:space="preserve">ning Package. </w:t>
            </w:r>
          </w:p>
          <w:p w:rsidR="00000000" w:rsidRPr="00BD37B9" w:rsidP="00BD37B9">
            <w:pPr>
              <w:pStyle w:val="BodyText"/>
            </w:pPr>
            <w:r w:rsidRPr="00BD37B9">
              <w:t>The Evidence Guide forms an integral part of this unit. It must be used in conjunction with all parts of the unit and performed in accordance with the Assessment Guidelines of this Training Package.</w:t>
            </w:r>
          </w:p>
        </w:tc>
      </w:tr>
    </w:tbl>
    <w:p w:rsidR="00000000" w:rsidRPr="00BD37B9" w:rsidP="00BD37B9">
      <w:pPr>
        <w:pStyle w:val="BodyText"/>
      </w:pPr>
    </w:p>
    <w:tbl>
      <w:tblPr>
        <w:tblW w:w="0" w:type="auto"/>
        <w:tblLayout w:type="fixed"/>
        <w:tblCellMar>
          <w:left w:w="62" w:type="dxa"/>
          <w:right w:w="62" w:type="dxa"/>
        </w:tblCellMar>
        <w:tblLook w:val="0000"/>
      </w:tblPr>
      <w:tblGrid>
        <w:gridCol w:w="1890"/>
        <w:gridCol w:w="6570"/>
      </w:tblGrid>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9.1)</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Longitudinal competency development approaches to assessment, such as Profiling, require data to be reliably gathered in a form that can be consistently interpreted over time. This approach is best utilised in Apprenticeship programs and reduces assessment</w:t>
            </w:r>
            <w:r w:rsidRPr="00BD37B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D37B9">
              <w:t>ncy in a realistically simulated work environment. It is recognised that, in some circumstances, assessment in part or full can occur outside the workplace. However, it must be in accordance with industry and regulatory policy.</w:t>
            </w:r>
          </w:p>
          <w:p w:rsidR="00000000" w:rsidRPr="00BD37B9" w:rsidP="00BD37B9">
            <w:pPr>
              <w:pStyle w:val="BodyText"/>
            </w:pPr>
            <w:r w:rsidRPr="00BD37B9">
              <w:t>Methods chosen for a particu</w:t>
            </w:r>
            <w:r w:rsidRPr="00BD37B9">
              <w:t>lar assessment will be influenced by various factors. These include the extent of the assessment, the most effective locations for the assessment activities to take place, access to physical resources, additional safety measures that may be required and th</w:t>
            </w:r>
            <w:r w:rsidRPr="00BD37B9">
              <w:t>e critical nature of the competencies being assessed.</w:t>
            </w:r>
          </w:p>
          <w:p w:rsidR="00000000" w:rsidRPr="00BD37B9" w:rsidP="00BD37B9">
            <w:pPr>
              <w:pStyle w:val="BodyText"/>
            </w:pPr>
            <w:r w:rsidRPr="00BD37B9">
              <w:t>The critical safety nature of working with electricity, electrical equipment, gas or any other hazardous substance/material carries risk in deeming a person competent. Sources of evidence need to be ‘ri</w:t>
            </w:r>
            <w:r w:rsidRPr="00BD37B9">
              <w:t>ch’ in nature to minimise error in judgment.</w:t>
            </w:r>
          </w:p>
          <w:p w:rsidR="00000000" w:rsidRPr="00BD37B9" w:rsidP="00BD37B9">
            <w:pPr>
              <w:pStyle w:val="BodyText"/>
            </w:pPr>
            <w:r w:rsidRPr="00BD37B9">
              <w:t>Activities associated with normal everyday work have a bearing on the decision as to how much and how detailed the data gathered will contribute to its ‘richness’. Some skills are more critical to safety and ope</w:t>
            </w:r>
            <w:r w:rsidRPr="00BD37B9">
              <w:t>rational requirements while the same skills may be more or less frequently practised. These points are raised for the assessors to consider when choosing an assessment method and developing assessment instruments. Sample assessment instruments are included</w:t>
            </w:r>
            <w:r w:rsidRPr="00BD37B9">
              <w:t xml:space="preserve"> for Assessors in the Assessment Guidelines of this Training Package.</w:t>
            </w:r>
          </w:p>
        </w:tc>
      </w:tr>
    </w:tbl>
    <w:p w:rsidR="00000000" w:rsidRPr="00BD37B9" w:rsidP="00BD37B9">
      <w:pPr>
        <w:pStyle w:val="BodyText"/>
      </w:pPr>
    </w:p>
    <w:tbl>
      <w:tblPr>
        <w:tblW w:w="0" w:type="auto"/>
        <w:tblLayout w:type="fixed"/>
        <w:tblCellMar>
          <w:left w:w="62" w:type="dxa"/>
          <w:right w:w="62" w:type="dxa"/>
        </w:tblCellMar>
        <w:tblLook w:val="0000"/>
      </w:tblPr>
      <w:tblGrid>
        <w:gridCol w:w="1890"/>
        <w:gridCol w:w="1530"/>
        <w:gridCol w:w="5040"/>
      </w:tblGrid>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9.2)</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Before the critical aspects of evidence are considered all prerequisites must be met.</w:t>
            </w:r>
          </w:p>
          <w:p w:rsidR="00000000" w:rsidRPr="00BD37B9" w:rsidP="00BD37B9">
            <w:pPr>
              <w:pStyle w:val="BodyText"/>
            </w:pPr>
            <w:r w:rsidRPr="00BD37B9">
              <w:t xml:space="preserve">Evidence for </w:t>
            </w:r>
            <w:r w:rsidRPr="00BD37B9">
              <w:t>competence in this unit shall be considered holistically.  Each element and associated performance criteria shall be demonstrated on at least two occasions in accordance with the ‘Assessment Guidelines – UEE11’.  Evidence shall also comprise:</w:t>
            </w:r>
          </w:p>
          <w:p w:rsidR="00000000" w:rsidRPr="00BD37B9" w:rsidP="00BD37B9">
            <w:pPr>
              <w:pStyle w:val="ListBullet"/>
            </w:pPr>
            <w:r w:rsidRPr="00BD37B9">
              <w:t>A representat</w:t>
            </w:r>
            <w:r w:rsidRPr="00BD37B9">
              <w:t>ive body of work performance demonstrated within the timeframes typically expected of the discipline, work function and industrial environment. In particular this shall incorporate evidence that shows a candidate is able to:</w:t>
            </w:r>
          </w:p>
          <w:p w:rsidR="00000000" w:rsidRPr="00BD37B9" w:rsidP="00BD37B9">
            <w:pPr>
              <w:pStyle w:val="ListBullet2"/>
            </w:pPr>
            <w:r w:rsidRPr="00BD37B9">
              <w:t>Implement Occupational Health and Safety workplace procedures and practices, including the use of risk control measures as specified in the performance criteria and range statement</w:t>
            </w:r>
          </w:p>
          <w:p w:rsidR="00000000" w:rsidRPr="00BD37B9" w:rsidP="00BD37B9">
            <w:pPr>
              <w:pStyle w:val="ListBullet2"/>
            </w:pPr>
            <w:r w:rsidRPr="00BD37B9">
              <w:t>Apply sustainable energy principles and practices as specified in the perfo</w:t>
            </w:r>
            <w:r w:rsidRPr="00BD37B9">
              <w:t>rmance criteria and range statement</w:t>
            </w:r>
          </w:p>
          <w:p w:rsidR="00000000" w:rsidRPr="00BD37B9" w:rsidP="00BD37B9">
            <w:pPr>
              <w:pStyle w:val="ListBullet2"/>
            </w:pPr>
            <w:r w:rsidRPr="00BD37B9">
              <w:t>Demonstrate an understanding of the essential knowledge and associated skills as described in this unit.  It may be required by some jurisdictions that RTOs provide a percentile graded result for the purpose of regulator</w:t>
            </w:r>
            <w:r w:rsidRPr="00BD37B9">
              <w:t xml:space="preserve">y or licensing requirements.   </w:t>
            </w:r>
          </w:p>
          <w:p w:rsidR="00000000" w:rsidRPr="00BD37B9" w:rsidP="00BD37B9">
            <w:pPr>
              <w:pStyle w:val="ListBullet2"/>
            </w:pPr>
            <w:r w:rsidRPr="00BD37B9">
              <w:t>Demonstrate an appropriate level of skills enabling employment</w:t>
            </w:r>
          </w:p>
          <w:p w:rsidR="00000000" w:rsidRPr="00BD37B9" w:rsidP="00BD37B9">
            <w:pPr>
              <w:pStyle w:val="ListBullet2"/>
            </w:pPr>
            <w:r w:rsidRPr="00BD37B9">
              <w:t>Conduct work observing the relevant Anti Discrimination legislation, regulations, polices and workplace procedures</w:t>
            </w:r>
          </w:p>
          <w:p w:rsidR="00000000" w:rsidRPr="00BD37B9" w:rsidP="00BD37B9">
            <w:pPr>
              <w:pStyle w:val="ListBullet"/>
            </w:pPr>
            <w:r w:rsidRPr="00BD37B9">
              <w:t>Demonstrated consistent performance across a r</w:t>
            </w:r>
            <w:r w:rsidRPr="00BD37B9">
              <w:t>epresentative range of contexts from the prescribed items below:</w:t>
            </w:r>
          </w:p>
          <w:p w:rsidR="00000000" w:rsidP="00BD37B9">
            <w:pPr>
              <w:pStyle w:val="ListBullet2"/>
              <w:rPr>
                <w:lang w:val="en-NZ"/>
              </w:rPr>
            </w:pPr>
            <w:r w:rsidRPr="00BD37B9">
              <w:t>Identify effects of energy on machinery and materials in an energy sector environment as described in 8) and including:</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A</w:t>
            </w:r>
          </w:p>
        </w:tc>
        <w:tc>
          <w:tcPr>
            <w:tcW w:w="504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Understanding work instruction.</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B</w:t>
            </w:r>
          </w:p>
        </w:tc>
        <w:tc>
          <w:tcPr>
            <w:tcW w:w="504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Obtaining and checking tools and equipment.</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C</w:t>
            </w:r>
          </w:p>
        </w:tc>
        <w:tc>
          <w:tcPr>
            <w:tcW w:w="504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Following work schedules.</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D</w:t>
            </w:r>
          </w:p>
        </w:tc>
        <w:tc>
          <w:tcPr>
            <w:tcW w:w="504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Identifying the effects of energy appropriately.</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E</w:t>
            </w:r>
          </w:p>
        </w:tc>
        <w:tc>
          <w:tcPr>
            <w:tcW w:w="504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Returning tools and surplus resources as required.</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F</w:t>
            </w:r>
          </w:p>
        </w:tc>
        <w:tc>
          <w:tcPr>
            <w:tcW w:w="504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Updating work records.</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G</w:t>
            </w:r>
          </w:p>
        </w:tc>
        <w:tc>
          <w:tcPr>
            <w:tcW w:w="504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t>Dealing with unplanned events by drawing on essential knowledge and skills to provide appropriate solutions incorporated in a holistic assessment with the above listed items.</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 xml:space="preserve">Note: </w:t>
            </w:r>
            <w:r w:rsidRPr="00BD37B9">
              <w:br/>
              <w:t>Successful completion of relevant vendor training may be used to contrib</w:t>
            </w:r>
            <w:r w:rsidRPr="00BD37B9">
              <w:t>ute to evidence on which competency is deemed. In these cases the alignment of outcomes of vendor training with performance criteria and critical aspects of evidence shall be clearly identified.</w:t>
            </w:r>
          </w:p>
        </w:tc>
      </w:tr>
    </w:tbl>
    <w:p w:rsidR="00000000" w:rsidRPr="00BD37B9" w:rsidP="00BD37B9">
      <w:pPr>
        <w:pStyle w:val="BodyText"/>
      </w:pPr>
    </w:p>
    <w:tbl>
      <w:tblPr>
        <w:tblW w:w="0" w:type="auto"/>
        <w:tblLayout w:type="fixed"/>
        <w:tblCellMar>
          <w:left w:w="62" w:type="dxa"/>
          <w:right w:w="62" w:type="dxa"/>
        </w:tblCellMar>
        <w:tblLook w:val="0000"/>
      </w:tblPr>
      <w:tblGrid>
        <w:gridCol w:w="1890"/>
        <w:gridCol w:w="6570"/>
      </w:tblGrid>
      <w:tr w:rsidTr="007B067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9.3)</w:t>
            </w:r>
          </w:p>
        </w:tc>
      </w:tr>
      <w:tr w:rsidTr="007B067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This unit should be assessed as it relates to normal work practice using procedures, information and resources typical of a workplace. This should include:</w:t>
            </w:r>
          </w:p>
          <w:p w:rsidR="00000000" w:rsidRPr="00BD37B9" w:rsidP="00BD37B9">
            <w:pPr>
              <w:pStyle w:val="ListBullet"/>
            </w:pPr>
            <w:r w:rsidRPr="00BD37B9">
              <w:t>OHS policy and work procedures and instructions.</w:t>
            </w:r>
          </w:p>
          <w:p w:rsidR="00000000" w:rsidRPr="00BD37B9" w:rsidP="00BD37B9">
            <w:pPr>
              <w:pStyle w:val="ListBullet"/>
            </w:pPr>
            <w:r w:rsidRPr="00BD37B9">
              <w:t>Suitable work environment, facilities, equipment an</w:t>
            </w:r>
            <w:r w:rsidRPr="00BD37B9">
              <w:t>d materials to undertake actual work as prescribed in this unit.</w:t>
            </w:r>
          </w:p>
          <w:p w:rsidR="00000000" w:rsidRPr="00BD37B9" w:rsidP="00BD37B9">
            <w:pPr>
              <w:pStyle w:val="BodyText"/>
            </w:pPr>
            <w:r w:rsidRPr="00BD37B9">
              <w:t>These should be used in the formal learning/assessment environment.</w:t>
            </w:r>
          </w:p>
          <w:p w:rsidR="00000000" w:rsidRPr="00BD37B9" w:rsidP="00BD37B9">
            <w:pPr>
              <w:pStyle w:val="BodyText"/>
            </w:pPr>
            <w:r w:rsidRPr="00BD37B9">
              <w:t>Note:</w:t>
            </w:r>
          </w:p>
          <w:p w:rsidR="00000000" w:rsidRPr="00BD37B9" w:rsidP="00BD37B9">
            <w:pPr>
              <w:pStyle w:val="BodyText"/>
            </w:pPr>
            <w:r w:rsidRPr="00BD37B9">
              <w:t>Where simulation is considered a suitable strategy for assessment, conditions for assessment must be authentic and as</w:t>
            </w:r>
            <w:r w:rsidRPr="00BD37B9">
              <w:t xml:space="preserve"> far as possible reproduce and replicate the workplace and be consistent with the approved industry simulation policy.</w:t>
            </w:r>
          </w:p>
          <w:p w:rsidR="00000000" w:rsidRPr="00BD37B9" w:rsidP="00BD37B9">
            <w:pPr>
              <w:pStyle w:val="BodyText"/>
            </w:pPr>
            <w:r w:rsidRPr="00BD37B9">
              <w:t>The resources used for assessment should reflect current industry practices in relation to identifying effects of energy on machinery and</w:t>
            </w:r>
            <w:r w:rsidRPr="00BD37B9">
              <w:t xml:space="preserve"> materials in an energy sector environment.</w:t>
            </w:r>
          </w:p>
        </w:tc>
      </w:tr>
    </w:tbl>
    <w:p w:rsidR="00000000" w:rsidRPr="00BD37B9" w:rsidP="00BD37B9">
      <w:pPr>
        <w:pStyle w:val="BodyText"/>
      </w:pPr>
    </w:p>
    <w:tbl>
      <w:tblPr>
        <w:tblW w:w="0" w:type="auto"/>
        <w:tblLayout w:type="fixed"/>
        <w:tblCellMar>
          <w:left w:w="62" w:type="dxa"/>
          <w:right w:w="62" w:type="dxa"/>
        </w:tblCellMar>
        <w:tblLook w:val="0000"/>
      </w:tblPr>
      <w:tblGrid>
        <w:gridCol w:w="1890"/>
        <w:gridCol w:w="6570"/>
      </w:tblGrid>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9.4)</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This unit shall be assessed by methods given in Volume 1, Part 3 ‘Assessment Guidelines’.</w:t>
            </w:r>
          </w:p>
          <w:p w:rsidR="00000000" w:rsidRPr="00BD37B9" w:rsidP="00BD37B9">
            <w:pPr>
              <w:pStyle w:val="BodyText"/>
            </w:pPr>
            <w:r w:rsidRPr="00BD37B9">
              <w:t xml:space="preserve">Note: </w:t>
            </w:r>
          </w:p>
          <w:p w:rsidR="00000000" w:rsidRPr="00BD37B9" w:rsidP="00BD37B9">
            <w:pPr>
              <w:pStyle w:val="BodyText"/>
            </w:pPr>
            <w:r w:rsidRPr="00BD37B9">
              <w:t>Competent performance with inherent safe working practices is expected in the Industry to which this unit applies. This requires that the specified essential knowledge and associated skills are assessed in a structured environment which is primarily intend</w:t>
            </w:r>
            <w:r w:rsidRPr="00BD37B9">
              <w:t>ed for learning/assessment and incorporates all necessary equipment and facilities for learners to develop and demonstrate the essential knowledge and skills described in this unit.</w:t>
            </w:r>
          </w:p>
        </w:tc>
      </w:tr>
    </w:tbl>
    <w:p w:rsidR="00000000" w:rsidRPr="00BD37B9" w:rsidP="00BD37B9">
      <w:pPr>
        <w:pStyle w:val="BodyText"/>
      </w:pPr>
    </w:p>
    <w:tbl>
      <w:tblPr>
        <w:tblW w:w="0" w:type="auto"/>
        <w:tblLayout w:type="fixed"/>
        <w:tblCellMar>
          <w:left w:w="62" w:type="dxa"/>
          <w:right w:w="62" w:type="dxa"/>
        </w:tblCellMar>
        <w:tblLook w:val="0000"/>
      </w:tblPr>
      <w:tblGrid>
        <w:gridCol w:w="1890"/>
        <w:gridCol w:w="6570"/>
      </w:tblGrid>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9.5)</w:t>
            </w:r>
          </w:p>
        </w:tc>
      </w:tr>
      <w:tr w:rsidTr="007B067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There are</w:t>
            </w:r>
            <w:r w:rsidRPr="00BD37B9">
              <w:t xml:space="preserve"> no concurrent assessment recommendations for this unit.</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11" w:name="O_417919"/>
      <w:bookmarkEnd w:id="11"/>
      <w:r w:rsidRPr="00BD37B9">
        <w:t>Range Statement</w:t>
      </w:r>
    </w:p>
    <w:tbl>
      <w:tblPr>
        <w:tblW w:w="0" w:type="auto"/>
        <w:tblLayout w:type="fixed"/>
        <w:tblCellMar>
          <w:left w:w="62" w:type="dxa"/>
          <w:right w:w="62" w:type="dxa"/>
        </w:tblCellMar>
        <w:tblLook w:val="0000"/>
      </w:tblPr>
      <w:tblGrid>
        <w:gridCol w:w="8460"/>
      </w:tblGrid>
      <w:tr w:rsidTr="007B06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RANGE STATEMENT</w:t>
            </w:r>
          </w:p>
        </w:tc>
      </w:tr>
      <w:tr w:rsidTr="007B06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10)</w:t>
            </w:r>
            <w:r w:rsidRPr="00BD37B9">
              <w:t xml:space="preserve"> This relates to the unit as a whole providing the range of contexts and conditions to which </w:t>
            </w:r>
            <w:r w:rsidRPr="00BD37B9">
              <w:t>the performance criteria apply. It allows for different work environments and situations that will affect performance.</w:t>
            </w:r>
          </w:p>
          <w:p w:rsidR="00000000" w:rsidRPr="00BD37B9" w:rsidP="00BD37B9">
            <w:pPr>
              <w:pStyle w:val="BodyText"/>
            </w:pPr>
            <w:r w:rsidRPr="00BD37B9">
              <w:t xml:space="preserve">This unit shall be demonstrated in relation to identifying effects of energy on machinery and materials in energy sector environments in </w:t>
            </w:r>
            <w:r w:rsidRPr="00BD37B9">
              <w:t>any of the following disciplines:</w:t>
            </w:r>
          </w:p>
          <w:p w:rsidR="00000000" w:rsidRPr="00BD37B9" w:rsidP="00BD37B9">
            <w:pPr>
              <w:pStyle w:val="ListBullet3"/>
            </w:pPr>
            <w:r w:rsidRPr="00BD37B9">
              <w:t>Appliances</w:t>
            </w:r>
          </w:p>
          <w:p w:rsidR="00000000" w:rsidRPr="00BD37B9" w:rsidP="00BD37B9">
            <w:pPr>
              <w:pStyle w:val="ListBullet3"/>
            </w:pPr>
            <w:r w:rsidRPr="00BD37B9">
              <w:t>Business equipment</w:t>
            </w:r>
          </w:p>
          <w:p w:rsidR="00000000" w:rsidRPr="00BD37B9" w:rsidP="00BD37B9">
            <w:pPr>
              <w:pStyle w:val="ListBullet3"/>
            </w:pPr>
            <w:r w:rsidRPr="00BD37B9">
              <w:t xml:space="preserve">Computers </w:t>
            </w:r>
          </w:p>
          <w:p w:rsidR="00000000" w:rsidRPr="00BD37B9" w:rsidP="00BD37B9">
            <w:pPr>
              <w:pStyle w:val="ListBullet3"/>
            </w:pPr>
            <w:r w:rsidRPr="00BD37B9">
              <w:t>Data Communications</w:t>
            </w:r>
          </w:p>
          <w:p w:rsidR="00000000" w:rsidRPr="00BD37B9" w:rsidP="00BD37B9">
            <w:pPr>
              <w:pStyle w:val="ListBullet3"/>
            </w:pPr>
            <w:r w:rsidRPr="00BD37B9">
              <w:t>Electrical</w:t>
            </w:r>
          </w:p>
          <w:p w:rsidR="00000000" w:rsidRPr="00BD37B9" w:rsidP="00BD37B9">
            <w:pPr>
              <w:pStyle w:val="ListBullet3"/>
            </w:pPr>
            <w:r w:rsidRPr="00BD37B9">
              <w:t>Electrical Machines</w:t>
            </w:r>
          </w:p>
          <w:p w:rsidR="00000000" w:rsidRPr="00BD37B9" w:rsidP="00BD37B9">
            <w:pPr>
              <w:pStyle w:val="ListBullet3"/>
            </w:pPr>
            <w:r w:rsidRPr="00BD37B9">
              <w:t>Electronics</w:t>
            </w:r>
          </w:p>
          <w:p w:rsidR="00000000" w:rsidRPr="00BD37B9" w:rsidP="00BD37B9">
            <w:pPr>
              <w:pStyle w:val="ListBullet3"/>
            </w:pPr>
            <w:r w:rsidRPr="00BD37B9">
              <w:t>Fire protection</w:t>
            </w:r>
          </w:p>
          <w:p w:rsidR="00000000" w:rsidRPr="00BD37B9" w:rsidP="00BD37B9">
            <w:pPr>
              <w:pStyle w:val="ListBullet3"/>
            </w:pPr>
            <w:r w:rsidRPr="00BD37B9">
              <w:t>Instrumentation</w:t>
            </w:r>
          </w:p>
          <w:p w:rsidR="00000000" w:rsidRPr="00BD37B9" w:rsidP="00BD37B9">
            <w:pPr>
              <w:pStyle w:val="ListBullet3"/>
            </w:pPr>
            <w:r w:rsidRPr="00BD37B9">
              <w:t>Refrigeration and Air Conditioning</w:t>
            </w:r>
          </w:p>
          <w:p w:rsidR="00000000" w:rsidRPr="00BD37B9" w:rsidP="00BD37B9">
            <w:pPr>
              <w:pStyle w:val="ListBullet3"/>
            </w:pPr>
            <w:r w:rsidRPr="00BD37B9">
              <w:t>Renewable / sustainable energy</w:t>
            </w:r>
          </w:p>
          <w:p w:rsidR="00000000" w:rsidRPr="00BD37B9" w:rsidP="00BD37B9">
            <w:pPr>
              <w:pStyle w:val="ListBullet3"/>
            </w:pPr>
            <w:r w:rsidRPr="00BD37B9">
              <w:t>Security technology</w:t>
            </w:r>
          </w:p>
          <w:p w:rsidR="00000000" w:rsidRPr="00BD37B9" w:rsidP="00BD37B9">
            <w:pPr>
              <w:pStyle w:val="BodyText"/>
            </w:pPr>
            <w:r w:rsidRPr="00BD37B9">
              <w:t>Generic terms used throughout this Vocational Standard shall be regarded as part of the Range Statement in which competency is demonstrated. The definition of these and other terms that apply are given in Volume 2, Part 2.1.</w:t>
            </w:r>
          </w:p>
        </w:tc>
      </w:tr>
    </w:tbl>
    <w:p w:rsidR="00000000" w:rsidRPr="00BD37B9" w:rsidP="00BD37B9">
      <w:pPr>
        <w:pStyle w:val="BodyText"/>
      </w:pPr>
    </w:p>
    <w:p w:rsidR="00000000" w:rsidRPr="00BD37B9" w:rsidP="00BD37B9">
      <w:pPr>
        <w:pStyle w:val="AllowPageBreak"/>
      </w:pPr>
    </w:p>
    <w:p w:rsidR="00000000" w:rsidRPr="00BD37B9" w:rsidP="00BD37B9">
      <w:pPr>
        <w:pStyle w:val="Heading1"/>
      </w:pPr>
      <w:bookmarkStart w:id="12" w:name="O_417923"/>
      <w:bookmarkEnd w:id="12"/>
      <w:r w:rsidRPr="00BD37B9">
        <w:t>Unit Sector(s)</w:t>
      </w:r>
    </w:p>
    <w:p w:rsidR="00000000" w:rsidRPr="00BD37B9" w:rsidP="00BD37B9">
      <w:pPr>
        <w:pStyle w:val="BodyText"/>
      </w:pPr>
      <w:r w:rsidRPr="00BD37B9">
        <w:t>Not applicable.</w:t>
      </w:r>
    </w:p>
    <w:p w:rsidR="00000000" w:rsidRPr="00BD37B9" w:rsidP="00BD37B9">
      <w:pPr>
        <w:pStyle w:val="AllowPageBreak"/>
      </w:pPr>
    </w:p>
    <w:p w:rsidR="00000000" w:rsidRPr="00BD37B9" w:rsidP="00BD37B9">
      <w:pPr>
        <w:pStyle w:val="Heading1"/>
      </w:pPr>
      <w:bookmarkStart w:id="13" w:name="O_417908"/>
      <w:bookmarkEnd w:id="13"/>
      <w:r w:rsidRPr="00BD37B9">
        <w:t>Competency Field</w:t>
      </w:r>
    </w:p>
    <w:tbl>
      <w:tblPr>
        <w:tblW w:w="0" w:type="auto"/>
        <w:tblLayout w:type="fixed"/>
        <w:tblCellMar>
          <w:left w:w="62" w:type="dxa"/>
          <w:right w:w="62" w:type="dxa"/>
        </w:tblCellMar>
        <w:tblLook w:val="0000"/>
      </w:tblPr>
      <w:tblGrid>
        <w:gridCol w:w="2700"/>
        <w:gridCol w:w="5760"/>
      </w:tblGrid>
      <w:tr w:rsidTr="007B06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D37B9">
            <w:pPr>
              <w:pStyle w:val="BodyText"/>
              <w:rPr>
                <w:lang w:val="en-NZ"/>
              </w:rPr>
            </w:pPr>
            <w:r w:rsidRPr="00BD37B9">
              <w:rPr>
                <w:rStyle w:val="SpecialBold"/>
              </w:rPr>
              <w:t xml:space="preserve">11) </w:t>
            </w:r>
          </w:p>
        </w:tc>
      </w:tr>
      <w:tr w:rsidTr="007B06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37B9" w:rsidP="00BD37B9">
            <w:pPr>
              <w:pStyle w:val="BodyText"/>
            </w:pPr>
            <w:r w:rsidRPr="00BD37B9">
              <w:t>Electrotechnology</w:t>
            </w:r>
          </w:p>
        </w:tc>
      </w:tr>
    </w:tbl>
    <w:p w:rsidR="00000000" w:rsidRPr="00BD37B9" w:rsidP="00BD37B9">
      <w:pPr>
        <w:pStyle w:val="BodyText"/>
      </w:pPr>
    </w:p>
    <w:p w:rsidR="00000000" w:rsidRPr="00BD37B9" w:rsidP="00BD37B9"/>
    <w:sectPr w:rsidSect="00BD3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672" w:rsidP="007B06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672" w:rsidP="00BD37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B0672" w:rsidP="00BD37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0672" w:rsidP="00BD37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B9" w:rsidRPr="007B0672" w:rsidP="007B06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672" w:rsidRPr="002D2AF8" w:rsidP="00BD37B9">
    <w:pPr>
      <w:pStyle w:val="Header"/>
      <w:framePr w:wrap="around"/>
    </w:pPr>
    <w:r>
      <w:fldChar w:fldCharType="begin"/>
    </w:r>
    <w:r>
      <w:instrText xml:space="preserve"> TITLE   \* MERGEFORMAT </w:instrText>
    </w:r>
    <w:r>
      <w:fldChar w:fldCharType="separate"/>
    </w:r>
    <w:r>
      <w:t>UEENEEE146A Identify effects of energy on machinery and materials in an energy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B0672" w:rsidP="00BD3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144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CE1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325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7B9"/>
    <w:pPr>
      <w:spacing w:before="360" w:after="60"/>
      <w:outlineLvl w:val="0"/>
    </w:pPr>
    <w:rPr>
      <w:sz w:val="32"/>
    </w:rPr>
  </w:style>
  <w:style w:type="paragraph" w:styleId="Heading2">
    <w:name w:val="heading 2"/>
    <w:basedOn w:val="HeadingBase"/>
    <w:next w:val="BodyText"/>
    <w:link w:val="Heading2Char"/>
    <w:qFormat/>
    <w:rsid w:val="00BD37B9"/>
    <w:pPr>
      <w:keepLines/>
      <w:spacing w:before="240" w:after="120"/>
      <w:outlineLvl w:val="1"/>
    </w:pPr>
    <w:rPr>
      <w:sz w:val="28"/>
      <w:szCs w:val="40"/>
    </w:rPr>
  </w:style>
  <w:style w:type="paragraph" w:styleId="Heading3">
    <w:name w:val="heading 3"/>
    <w:basedOn w:val="HeadingBase"/>
    <w:next w:val="BodyText"/>
    <w:link w:val="Heading3Char"/>
    <w:qFormat/>
    <w:rsid w:val="00BD37B9"/>
    <w:pPr>
      <w:spacing w:before="180" w:after="120"/>
      <w:outlineLvl w:val="2"/>
    </w:pPr>
    <w:rPr>
      <w:spacing w:val="-10"/>
      <w:kern w:val="32"/>
    </w:rPr>
  </w:style>
  <w:style w:type="paragraph" w:styleId="Heading4">
    <w:name w:val="heading 4"/>
    <w:basedOn w:val="HeadingBase"/>
    <w:next w:val="BodyText"/>
    <w:link w:val="Heading4Char"/>
    <w:qFormat/>
    <w:rsid w:val="00BD37B9"/>
    <w:pPr>
      <w:spacing w:before="160" w:after="120"/>
      <w:outlineLvl w:val="3"/>
    </w:pPr>
    <w:rPr>
      <w:sz w:val="22"/>
    </w:rPr>
  </w:style>
  <w:style w:type="paragraph" w:styleId="Heading5">
    <w:name w:val="heading 5"/>
    <w:basedOn w:val="HeadingBase"/>
    <w:next w:val="Normal"/>
    <w:link w:val="Heading5Char"/>
    <w:qFormat/>
    <w:rsid w:val="00BD37B9"/>
    <w:pPr>
      <w:spacing w:before="80"/>
      <w:outlineLvl w:val="4"/>
    </w:pPr>
    <w:rPr>
      <w:color w:val="918585"/>
      <w:sz w:val="20"/>
    </w:rPr>
  </w:style>
  <w:style w:type="paragraph" w:styleId="Heading6">
    <w:name w:val="heading 6"/>
    <w:basedOn w:val="HeadingBase"/>
    <w:next w:val="Normal"/>
    <w:link w:val="Heading6Char"/>
    <w:qFormat/>
    <w:rsid w:val="00BD37B9"/>
    <w:pPr>
      <w:spacing w:before="60"/>
      <w:outlineLvl w:val="5"/>
    </w:pPr>
    <w:rPr>
      <w:color w:val="918585"/>
      <w:sz w:val="20"/>
    </w:rPr>
  </w:style>
  <w:style w:type="paragraph" w:styleId="Heading7">
    <w:name w:val="heading 7"/>
    <w:basedOn w:val="Normal"/>
    <w:next w:val="Normal"/>
    <w:link w:val="Heading7Char"/>
    <w:qFormat/>
    <w:rsid w:val="00BD37B9"/>
    <w:pPr>
      <w:ind w:left="720"/>
      <w:outlineLvl w:val="6"/>
    </w:pPr>
    <w:rPr>
      <w:i/>
    </w:rPr>
  </w:style>
  <w:style w:type="paragraph" w:styleId="Heading8">
    <w:name w:val="heading 8"/>
    <w:basedOn w:val="Normal"/>
    <w:next w:val="Normal"/>
    <w:link w:val="Heading8Char"/>
    <w:qFormat/>
    <w:rsid w:val="00BD37B9"/>
    <w:pPr>
      <w:ind w:left="720"/>
      <w:outlineLvl w:val="7"/>
    </w:pPr>
    <w:rPr>
      <w:i/>
    </w:rPr>
  </w:style>
  <w:style w:type="paragraph" w:styleId="Heading9">
    <w:name w:val="heading 9"/>
    <w:basedOn w:val="Normal"/>
    <w:next w:val="Normal"/>
    <w:link w:val="Heading9Char"/>
    <w:qFormat/>
    <w:rsid w:val="00BD37B9"/>
    <w:pPr>
      <w:ind w:left="720"/>
      <w:outlineLvl w:val="8"/>
    </w:pPr>
    <w:rPr>
      <w:i/>
    </w:rPr>
  </w:style>
  <w:style w:type="character" w:default="1" w:styleId="DefaultParagraphFont">
    <w:name w:val="Default Paragraph Font"/>
    <w:uiPriority w:val="1"/>
    <w:unhideWhenUsed/>
    <w:rsid w:val="00BD3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7B9"/>
  </w:style>
  <w:style w:type="character" w:customStyle="1" w:styleId="Heading1Char">
    <w:name w:val="Heading 1 Char"/>
    <w:basedOn w:val="DefaultParagraphFont"/>
    <w:link w:val="Heading1"/>
    <w:rsid w:val="00BD37B9"/>
    <w:rPr>
      <w:rFonts w:ascii="Times New Roman" w:eastAsia="Times New Roman" w:hAnsi="Times New Roman" w:cs="Times New Roman"/>
      <w:b/>
      <w:sz w:val="32"/>
      <w:szCs w:val="20"/>
      <w:lang w:eastAsia="en-US"/>
    </w:rPr>
  </w:style>
  <w:style w:type="paragraph" w:styleId="BodyText">
    <w:name w:val="Body Text"/>
    <w:basedOn w:val="Normal"/>
    <w:link w:val="BodyTextChar"/>
    <w:rsid w:val="00BD3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7B9"/>
    <w:rPr>
      <w:rFonts w:ascii="Times New Roman" w:eastAsia="Times New Roman" w:hAnsi="Times New Roman" w:cs="Times New Roman"/>
      <w:sz w:val="24"/>
      <w:lang w:eastAsia="en-US"/>
    </w:rPr>
  </w:style>
  <w:style w:type="paragraph" w:styleId="Footer">
    <w:name w:val="footer"/>
    <w:basedOn w:val="Normal"/>
    <w:link w:val="FooterChar"/>
    <w:rsid w:val="00BD3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7B9"/>
    <w:rPr>
      <w:rFonts w:ascii="Times New Roman" w:eastAsia="Times New Roman" w:hAnsi="Times New Roman" w:cs="Times New Roman"/>
      <w:sz w:val="16"/>
      <w:lang w:eastAsia="en-US"/>
    </w:rPr>
  </w:style>
  <w:style w:type="paragraph" w:styleId="ListBullet">
    <w:name w:val="List Bullet"/>
    <w:basedOn w:val="List"/>
    <w:rsid w:val="00BD37B9"/>
    <w:pPr>
      <w:numPr>
        <w:numId w:val="14"/>
      </w:numPr>
      <w:tabs>
        <w:tab w:val="clear" w:pos="340"/>
      </w:tabs>
      <w:spacing w:before="40" w:after="40"/>
    </w:pPr>
  </w:style>
  <w:style w:type="character" w:customStyle="1" w:styleId="SpecialBold">
    <w:name w:val="Special Bold"/>
    <w:basedOn w:val="DefaultParagraphFont"/>
    <w:rsid w:val="00BD37B9"/>
    <w:rPr>
      <w:b/>
      <w:spacing w:val="0"/>
    </w:rPr>
  </w:style>
  <w:style w:type="paragraph" w:styleId="ListBullet2">
    <w:name w:val="List Bullet 2"/>
    <w:basedOn w:val="List2"/>
    <w:rsid w:val="00BD37B9"/>
    <w:pPr>
      <w:numPr>
        <w:numId w:val="15"/>
      </w:numPr>
      <w:tabs>
        <w:tab w:val="clear" w:pos="680"/>
      </w:tabs>
    </w:pPr>
  </w:style>
  <w:style w:type="paragraph" w:customStyle="1" w:styleId="SuperHeading">
    <w:name w:val="SuperHeading"/>
    <w:basedOn w:val="Normal"/>
    <w:rsid w:val="00BD37B9"/>
    <w:pPr>
      <w:spacing w:before="240" w:after="120"/>
      <w:outlineLvl w:val="0"/>
    </w:pPr>
    <w:rPr>
      <w:rFonts w:ascii="Times New Roman" w:hAnsi="Times New Roman"/>
      <w:b/>
      <w:sz w:val="28"/>
    </w:rPr>
  </w:style>
  <w:style w:type="paragraph" w:customStyle="1" w:styleId="AllowPageBreak">
    <w:name w:val="AllowPageBreak"/>
    <w:rsid w:val="00BD37B9"/>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BD37B9"/>
    <w:pPr>
      <w:ind w:firstLine="0"/>
    </w:pPr>
  </w:style>
  <w:style w:type="paragraph" w:styleId="ListBullet3">
    <w:name w:val="List Bullet 3"/>
    <w:basedOn w:val="List3"/>
    <w:rsid w:val="00BD37B9"/>
    <w:pPr>
      <w:numPr>
        <w:numId w:val="3"/>
      </w:numPr>
      <w:tabs>
        <w:tab w:val="clear" w:pos="1021"/>
      </w:tabs>
      <w:ind w:left="1037" w:hanging="357"/>
    </w:pPr>
  </w:style>
  <w:style w:type="character" w:customStyle="1" w:styleId="Heading2Char">
    <w:name w:val="Heading 2 Char"/>
    <w:basedOn w:val="DefaultParagraphFont"/>
    <w:link w:val="Heading2"/>
    <w:rsid w:val="00BD3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7B9"/>
    <w:rPr>
      <w:rFonts w:ascii="Courier New" w:eastAsia="Times New Roman" w:hAnsi="Courier New" w:cs="Times New Roman"/>
      <w:i/>
      <w:szCs w:val="20"/>
      <w:lang w:eastAsia="en-US"/>
    </w:rPr>
  </w:style>
  <w:style w:type="paragraph" w:customStyle="1" w:styleId="HeadingBase">
    <w:name w:val="Heading Base"/>
    <w:rsid w:val="00BD3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7B9"/>
    <w:pPr>
      <w:tabs>
        <w:tab w:val="right" w:leader="dot" w:pos="9072"/>
      </w:tabs>
      <w:ind w:left="567"/>
    </w:pPr>
    <w:rPr>
      <w:szCs w:val="22"/>
    </w:rPr>
  </w:style>
  <w:style w:type="paragraph" w:customStyle="1" w:styleId="TOCBase">
    <w:name w:val="TOC Base"/>
    <w:rsid w:val="00BD3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7B9"/>
    <w:pPr>
      <w:tabs>
        <w:tab w:val="right" w:leader="dot" w:pos="9072"/>
      </w:tabs>
      <w:spacing w:before="40" w:after="40"/>
      <w:ind w:left="284"/>
    </w:pPr>
    <w:rPr>
      <w:rFonts w:ascii="Times New Roman" w:hAnsi="Times New Roman"/>
    </w:rPr>
  </w:style>
  <w:style w:type="paragraph" w:styleId="TOC1">
    <w:name w:val="toc 1"/>
    <w:basedOn w:val="TOCBase"/>
    <w:next w:val="Normal"/>
    <w:rsid w:val="00BD37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7B9"/>
    <w:pPr>
      <w:spacing w:before="5040"/>
      <w:jc w:val="center"/>
    </w:pPr>
    <w:rPr>
      <w:sz w:val="48"/>
      <w:szCs w:val="72"/>
      <w:lang w:val="en-US"/>
    </w:rPr>
  </w:style>
  <w:style w:type="character" w:customStyle="1" w:styleId="TitleChar">
    <w:name w:val="Title Char"/>
    <w:basedOn w:val="DefaultParagraphFont"/>
    <w:link w:val="Title"/>
    <w:rsid w:val="00BD3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7B9"/>
    <w:pPr>
      <w:tabs>
        <w:tab w:val="left" w:pos="3600"/>
        <w:tab w:val="left" w:pos="3958"/>
      </w:tabs>
    </w:pPr>
  </w:style>
  <w:style w:type="paragraph" w:styleId="List">
    <w:name w:val="List"/>
    <w:basedOn w:val="BodyText"/>
    <w:next w:val="BodyText"/>
    <w:rsid w:val="00BD37B9"/>
    <w:pPr>
      <w:tabs>
        <w:tab w:val="left" w:pos="340"/>
      </w:tabs>
      <w:spacing w:before="60" w:after="60"/>
      <w:ind w:left="340" w:hanging="340"/>
    </w:pPr>
  </w:style>
  <w:style w:type="paragraph" w:customStyle="1" w:styleId="Note">
    <w:name w:val="Note"/>
    <w:basedOn w:val="BodyText"/>
    <w:rsid w:val="00BD3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7B9"/>
    <w:pPr>
      <w:framePr w:wrap="auto" w:hAnchor="text" w:y="6049"/>
    </w:pPr>
    <w:rPr>
      <w:color w:val="000000"/>
      <w:sz w:val="40"/>
    </w:rPr>
  </w:style>
  <w:style w:type="paragraph" w:customStyle="1" w:styleId="TOCTitle">
    <w:name w:val="TOCTitle"/>
    <w:basedOn w:val="Heading1"/>
    <w:rsid w:val="00BD37B9"/>
    <w:pPr>
      <w:spacing w:after="240"/>
      <w:jc w:val="center"/>
      <w:outlineLvl w:val="9"/>
    </w:pPr>
    <w:rPr>
      <w:caps/>
    </w:rPr>
  </w:style>
  <w:style w:type="paragraph" w:customStyle="1" w:styleId="Version">
    <w:name w:val="Version"/>
    <w:rsid w:val="00BD3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7B9"/>
    <w:pPr>
      <w:keepNext w:val="0"/>
      <w:tabs>
        <w:tab w:val="right" w:pos="4176"/>
      </w:tabs>
      <w:ind w:left="198" w:hanging="198"/>
    </w:pPr>
    <w:rPr>
      <w:rFonts w:ascii="Garamond" w:hAnsi="Garamond"/>
    </w:rPr>
  </w:style>
  <w:style w:type="paragraph" w:styleId="IndexHeading">
    <w:name w:val="index heading"/>
    <w:basedOn w:val="Normal"/>
    <w:next w:val="Index1"/>
    <w:semiHidden/>
    <w:rsid w:val="00BD37B9"/>
    <w:pPr>
      <w:spacing w:before="120" w:after="120"/>
    </w:pPr>
    <w:rPr>
      <w:rFonts w:ascii="Arial" w:hAnsi="Arial"/>
      <w:b/>
      <w:color w:val="918585"/>
      <w:sz w:val="24"/>
    </w:rPr>
  </w:style>
  <w:style w:type="paragraph" w:styleId="Header">
    <w:name w:val="header"/>
    <w:basedOn w:val="Normal"/>
    <w:link w:val="HeaderChar"/>
    <w:rsid w:val="00BD3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7B9"/>
    <w:rPr>
      <w:rFonts w:ascii="Times New Roman" w:eastAsia="Times New Roman" w:hAnsi="Times New Roman" w:cs="Times New Roman"/>
      <w:sz w:val="16"/>
      <w:szCs w:val="20"/>
      <w:lang w:val="en-GB" w:eastAsia="en-US"/>
    </w:rPr>
  </w:style>
  <w:style w:type="paragraph" w:customStyle="1" w:styleId="Chapter">
    <w:name w:val="Chapter"/>
    <w:basedOn w:val="Normal"/>
    <w:rsid w:val="00BD37B9"/>
    <w:pPr>
      <w:spacing w:before="240"/>
    </w:pPr>
    <w:rPr>
      <w:rFonts w:ascii="Times New Roman" w:hAnsi="Times New Roman"/>
      <w:smallCaps/>
      <w:spacing w:val="80"/>
      <w:sz w:val="28"/>
    </w:rPr>
  </w:style>
  <w:style w:type="paragraph" w:customStyle="1" w:styleId="InChapter">
    <w:name w:val="InChapter"/>
    <w:basedOn w:val="Heading3"/>
    <w:rsid w:val="00BD37B9"/>
    <w:pPr>
      <w:spacing w:after="240"/>
      <w:outlineLvl w:val="9"/>
    </w:pPr>
    <w:rPr>
      <w:noProof/>
    </w:rPr>
  </w:style>
  <w:style w:type="paragraph" w:styleId="Index2">
    <w:name w:val="index 2"/>
    <w:basedOn w:val="Normal"/>
    <w:next w:val="Normal"/>
    <w:semiHidden/>
    <w:rsid w:val="00BD37B9"/>
    <w:pPr>
      <w:tabs>
        <w:tab w:val="right" w:pos="4176"/>
      </w:tabs>
      <w:ind w:left="568" w:hanging="284"/>
    </w:pPr>
    <w:rPr>
      <w:rFonts w:ascii="Garamond" w:hAnsi="Garamond"/>
    </w:rPr>
  </w:style>
  <w:style w:type="paragraph" w:customStyle="1" w:styleId="Byline">
    <w:name w:val="Byline"/>
    <w:rsid w:val="00BD3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7B9"/>
    <w:pPr>
      <w:tabs>
        <w:tab w:val="clear" w:pos="3600"/>
        <w:tab w:val="clear" w:pos="3958"/>
      </w:tabs>
      <w:jc w:val="right"/>
    </w:pPr>
  </w:style>
  <w:style w:type="character" w:styleId="Emphasis">
    <w:name w:val="Emphasis"/>
    <w:basedOn w:val="DefaultParagraphFont"/>
    <w:qFormat/>
    <w:rsid w:val="00BD37B9"/>
    <w:rPr>
      <w:i/>
    </w:rPr>
  </w:style>
  <w:style w:type="paragraph" w:styleId="Caption">
    <w:name w:val="caption"/>
    <w:basedOn w:val="BodyText"/>
    <w:next w:val="Normal"/>
    <w:qFormat/>
    <w:rsid w:val="00BD37B9"/>
    <w:pPr>
      <w:framePr w:w="2268" w:hSpace="181" w:vSpace="181" w:wrap="around" w:vAnchor="text" w:hAnchor="page" w:x="1135" w:y="285" w:anchorLock="1"/>
    </w:pPr>
    <w:rPr>
      <w:i/>
    </w:rPr>
  </w:style>
  <w:style w:type="paragraph" w:customStyle="1" w:styleId="MiniTOCTitle">
    <w:name w:val="MiniTOCTitle"/>
    <w:basedOn w:val="Heading4"/>
    <w:rsid w:val="00BD37B9"/>
    <w:pPr>
      <w:spacing w:before="240"/>
      <w:outlineLvl w:val="9"/>
    </w:pPr>
    <w:rPr>
      <w:noProof/>
      <w:sz w:val="24"/>
    </w:rPr>
  </w:style>
  <w:style w:type="paragraph" w:customStyle="1" w:styleId="MiniTOCItem">
    <w:name w:val="MiniTOCItem"/>
    <w:basedOn w:val="ListBullet"/>
    <w:rsid w:val="00BD37B9"/>
    <w:pPr>
      <w:numPr>
        <w:numId w:val="0"/>
      </w:numPr>
      <w:tabs>
        <w:tab w:val="right" w:leader="dot" w:pos="6521"/>
      </w:tabs>
      <w:spacing w:before="0" w:after="0"/>
    </w:pPr>
  </w:style>
  <w:style w:type="paragraph" w:customStyle="1" w:styleId="TOFTitle">
    <w:name w:val="TOFTitle"/>
    <w:basedOn w:val="TOCTitle"/>
    <w:rsid w:val="00BD37B9"/>
  </w:style>
  <w:style w:type="paragraph" w:styleId="TableofFigures">
    <w:name w:val="table of figures"/>
    <w:basedOn w:val="Normal"/>
    <w:next w:val="Normal"/>
    <w:semiHidden/>
    <w:rsid w:val="00BD37B9"/>
    <w:pPr>
      <w:tabs>
        <w:tab w:val="right" w:leader="dot" w:pos="9072"/>
      </w:tabs>
      <w:ind w:left="970" w:hanging="403"/>
    </w:pPr>
    <w:rPr>
      <w:rFonts w:ascii="Times New Roman" w:hAnsi="Times New Roman"/>
      <w:b/>
    </w:rPr>
  </w:style>
  <w:style w:type="paragraph" w:styleId="ListNumber">
    <w:name w:val="List Number"/>
    <w:basedOn w:val="List"/>
    <w:rsid w:val="00BD37B9"/>
    <w:pPr>
      <w:numPr>
        <w:numId w:val="12"/>
      </w:numPr>
    </w:pPr>
  </w:style>
  <w:style w:type="character" w:customStyle="1" w:styleId="WingdingSymbols">
    <w:name w:val="Wingding Symbols"/>
    <w:rsid w:val="00BD37B9"/>
    <w:rPr>
      <w:rFonts w:ascii="Wingdings" w:hAnsi="Wingdings"/>
    </w:rPr>
  </w:style>
  <w:style w:type="paragraph" w:customStyle="1" w:styleId="TableHeading">
    <w:name w:val="Table Heading"/>
    <w:basedOn w:val="HeadingBase"/>
    <w:rsid w:val="00BD37B9"/>
    <w:pPr>
      <w:keepLines/>
      <w:pBdr>
        <w:bottom w:val="single" w:sz="6" w:space="1" w:color="918585"/>
      </w:pBdr>
      <w:spacing w:before="240"/>
    </w:pPr>
  </w:style>
  <w:style w:type="character" w:customStyle="1" w:styleId="HotSpot">
    <w:name w:val="HotSpot"/>
    <w:rsid w:val="00BD37B9"/>
    <w:rPr>
      <w:color w:val="0033CC"/>
      <w:u w:val="none"/>
    </w:rPr>
  </w:style>
  <w:style w:type="paragraph" w:customStyle="1" w:styleId="BodyTextRight">
    <w:name w:val="Body Text Right"/>
    <w:basedOn w:val="BodyText"/>
    <w:rsid w:val="00BD37B9"/>
    <w:pPr>
      <w:spacing w:before="0" w:after="0"/>
      <w:jc w:val="right"/>
    </w:pPr>
  </w:style>
  <w:style w:type="paragraph" w:styleId="Index3">
    <w:name w:val="index 3"/>
    <w:basedOn w:val="ListNumber2"/>
    <w:next w:val="Normal"/>
    <w:semiHidden/>
    <w:rsid w:val="00BD37B9"/>
    <w:pPr>
      <w:numPr>
        <w:numId w:val="0"/>
      </w:numPr>
      <w:tabs>
        <w:tab w:val="right" w:leader="dot" w:pos="4176"/>
      </w:tabs>
    </w:pPr>
  </w:style>
  <w:style w:type="paragraph" w:styleId="ListNumber2">
    <w:name w:val="List Number 2"/>
    <w:basedOn w:val="List2"/>
    <w:rsid w:val="00BD37B9"/>
    <w:pPr>
      <w:numPr>
        <w:numId w:val="11"/>
      </w:numPr>
      <w:tabs>
        <w:tab w:val="clear" w:pos="1060"/>
      </w:tabs>
    </w:pPr>
  </w:style>
  <w:style w:type="paragraph" w:customStyle="1" w:styleId="MarginNote">
    <w:name w:val="Margin Note"/>
    <w:basedOn w:val="BodyText"/>
    <w:rsid w:val="00BD3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7B9"/>
    <w:rPr>
      <w:sz w:val="32"/>
    </w:rPr>
  </w:style>
  <w:style w:type="paragraph" w:customStyle="1" w:styleId="HeadingProcedure">
    <w:name w:val="Heading Procedure"/>
    <w:basedOn w:val="HeadingBase"/>
    <w:next w:val="Normal"/>
    <w:rsid w:val="00BD37B9"/>
    <w:pPr>
      <w:tabs>
        <w:tab w:val="left" w:pos="0"/>
      </w:tabs>
      <w:spacing w:before="120" w:after="60"/>
    </w:pPr>
    <w:rPr>
      <w:i/>
      <w:color w:val="918585"/>
      <w:sz w:val="22"/>
    </w:rPr>
  </w:style>
  <w:style w:type="paragraph" w:customStyle="1" w:styleId="TableBodyText">
    <w:name w:val="Table Body Text"/>
    <w:basedOn w:val="BodyText"/>
    <w:rsid w:val="00BD37B9"/>
    <w:pPr>
      <w:spacing w:before="60" w:after="60"/>
    </w:pPr>
  </w:style>
  <w:style w:type="paragraph" w:customStyle="1" w:styleId="ListNote">
    <w:name w:val="List Note"/>
    <w:basedOn w:val="List"/>
    <w:rsid w:val="00BD37B9"/>
    <w:pPr>
      <w:pBdr>
        <w:top w:val="single" w:sz="6" w:space="2" w:color="918585"/>
        <w:bottom w:val="single" w:sz="6" w:space="2" w:color="918585"/>
      </w:pBdr>
      <w:tabs>
        <w:tab w:val="left" w:pos="1021"/>
      </w:tabs>
      <w:ind w:firstLine="0"/>
    </w:pPr>
  </w:style>
  <w:style w:type="paragraph" w:customStyle="1" w:styleId="Warning">
    <w:name w:val="Warning"/>
    <w:basedOn w:val="BodyText"/>
    <w:rsid w:val="00BD37B9"/>
    <w:pPr>
      <w:shd w:val="clear" w:color="auto" w:fill="D9D9D9"/>
      <w:tabs>
        <w:tab w:val="left" w:pos="992"/>
      </w:tabs>
      <w:ind w:left="119" w:right="119"/>
    </w:pPr>
    <w:rPr>
      <w:sz w:val="20"/>
    </w:rPr>
  </w:style>
  <w:style w:type="paragraph" w:customStyle="1" w:styleId="MarginIcons">
    <w:name w:val="Margin Icons"/>
    <w:basedOn w:val="BodyText"/>
    <w:rsid w:val="00BD3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7B9"/>
    <w:rPr>
      <w:rFonts w:ascii="Courier New" w:hAnsi="Courier New"/>
    </w:rPr>
  </w:style>
  <w:style w:type="paragraph" w:customStyle="1" w:styleId="NoteBullet">
    <w:name w:val="Note Bullet"/>
    <w:basedOn w:val="Note"/>
    <w:rsid w:val="00BD37B9"/>
    <w:pPr>
      <w:tabs>
        <w:tab w:val="clear" w:pos="680"/>
      </w:tabs>
      <w:spacing w:before="60" w:after="60"/>
    </w:pPr>
  </w:style>
  <w:style w:type="paragraph" w:customStyle="1" w:styleId="SubHeading2">
    <w:name w:val="SubHeading2"/>
    <w:basedOn w:val="HeadingBase"/>
    <w:rsid w:val="00BD37B9"/>
    <w:pPr>
      <w:spacing w:before="240" w:after="60"/>
    </w:pPr>
    <w:rPr>
      <w:sz w:val="20"/>
    </w:rPr>
  </w:style>
  <w:style w:type="paragraph" w:customStyle="1" w:styleId="SubHeading1">
    <w:name w:val="SubHeading1"/>
    <w:basedOn w:val="HeadingBase"/>
    <w:rsid w:val="00BD37B9"/>
    <w:pPr>
      <w:spacing w:before="240" w:after="60"/>
    </w:pPr>
    <w:rPr>
      <w:color w:val="918585"/>
      <w:sz w:val="22"/>
    </w:rPr>
  </w:style>
  <w:style w:type="paragraph" w:customStyle="1" w:styleId="SideHeading">
    <w:name w:val="Side Heading"/>
    <w:basedOn w:val="HeadingBase"/>
    <w:rsid w:val="00BD3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7B9"/>
    <w:pPr>
      <w:numPr>
        <w:numId w:val="13"/>
      </w:numPr>
    </w:pPr>
  </w:style>
  <w:style w:type="paragraph" w:styleId="PlainText">
    <w:name w:val="Plain Text"/>
    <w:basedOn w:val="Normal"/>
    <w:link w:val="PlainTextChar"/>
    <w:rsid w:val="00BD37B9"/>
    <w:rPr>
      <w:sz w:val="20"/>
    </w:rPr>
  </w:style>
  <w:style w:type="character" w:customStyle="1" w:styleId="PlainTextChar">
    <w:name w:val="Plain Text Char"/>
    <w:basedOn w:val="DefaultParagraphFont"/>
    <w:link w:val="PlainText"/>
    <w:rsid w:val="00BD37B9"/>
    <w:rPr>
      <w:rFonts w:ascii="Courier New" w:eastAsia="Times New Roman" w:hAnsi="Courier New" w:cs="Times New Roman"/>
      <w:sz w:val="20"/>
      <w:szCs w:val="20"/>
      <w:lang w:eastAsia="en-US"/>
    </w:rPr>
  </w:style>
  <w:style w:type="character" w:customStyle="1" w:styleId="MenuOption">
    <w:name w:val="Menu Option"/>
    <w:basedOn w:val="DefaultParagraphFont"/>
    <w:rsid w:val="00BD37B9"/>
    <w:rPr>
      <w:b/>
      <w:smallCaps/>
    </w:rPr>
  </w:style>
  <w:style w:type="paragraph" w:customStyle="1" w:styleId="TableListNumber">
    <w:name w:val="Table List Number"/>
    <w:basedOn w:val="ListNumber"/>
    <w:rsid w:val="00BD37B9"/>
    <w:pPr>
      <w:numPr>
        <w:numId w:val="0"/>
      </w:numPr>
    </w:pPr>
  </w:style>
  <w:style w:type="paragraph" w:styleId="TOC4">
    <w:name w:val="toc 4"/>
    <w:basedOn w:val="TOCBase"/>
    <w:next w:val="Normal"/>
    <w:semiHidden/>
    <w:rsid w:val="00BD37B9"/>
    <w:pPr>
      <w:tabs>
        <w:tab w:val="right" w:leader="dot" w:pos="9071"/>
      </w:tabs>
      <w:ind w:left="1701"/>
    </w:pPr>
  </w:style>
  <w:style w:type="paragraph" w:customStyle="1" w:styleId="ListAlpha">
    <w:name w:val="List Alpha"/>
    <w:basedOn w:val="List"/>
    <w:rsid w:val="00BD37B9"/>
    <w:pPr>
      <w:numPr>
        <w:numId w:val="10"/>
      </w:numPr>
    </w:pPr>
  </w:style>
  <w:style w:type="paragraph" w:customStyle="1" w:styleId="ListAlpha2">
    <w:name w:val="List Alpha 2"/>
    <w:basedOn w:val="List2"/>
    <w:rsid w:val="00BD37B9"/>
    <w:pPr>
      <w:numPr>
        <w:numId w:val="9"/>
      </w:numPr>
    </w:pPr>
  </w:style>
  <w:style w:type="paragraph" w:styleId="List2">
    <w:name w:val="List 2"/>
    <w:basedOn w:val="BodyText"/>
    <w:rsid w:val="00BD37B9"/>
    <w:pPr>
      <w:tabs>
        <w:tab w:val="left" w:pos="680"/>
      </w:tabs>
      <w:spacing w:before="60" w:after="60"/>
      <w:ind w:left="680" w:hanging="340"/>
    </w:pPr>
  </w:style>
  <w:style w:type="paragraph" w:styleId="List3">
    <w:name w:val="List 3"/>
    <w:basedOn w:val="BodyText"/>
    <w:rsid w:val="00BD37B9"/>
    <w:pPr>
      <w:tabs>
        <w:tab w:val="left" w:pos="1021"/>
      </w:tabs>
      <w:spacing w:before="60" w:after="60"/>
      <w:ind w:left="1020" w:hanging="340"/>
    </w:pPr>
  </w:style>
  <w:style w:type="paragraph" w:styleId="List4">
    <w:name w:val="List 4"/>
    <w:basedOn w:val="BodyText"/>
    <w:rsid w:val="00BD37B9"/>
    <w:pPr>
      <w:tabs>
        <w:tab w:val="left" w:pos="1361"/>
      </w:tabs>
      <w:spacing w:before="60" w:after="60"/>
      <w:ind w:left="1361" w:hanging="340"/>
    </w:pPr>
  </w:style>
  <w:style w:type="paragraph" w:styleId="List5">
    <w:name w:val="List 5"/>
    <w:basedOn w:val="BodyText"/>
    <w:rsid w:val="00BD37B9"/>
    <w:pPr>
      <w:tabs>
        <w:tab w:val="left" w:pos="1701"/>
      </w:tabs>
      <w:spacing w:before="60" w:after="60"/>
      <w:ind w:left="1701" w:hanging="340"/>
    </w:pPr>
  </w:style>
  <w:style w:type="paragraph" w:styleId="ListBullet4">
    <w:name w:val="List Bullet 4"/>
    <w:basedOn w:val="List4"/>
    <w:rsid w:val="00BD37B9"/>
    <w:pPr>
      <w:numPr>
        <w:numId w:val="4"/>
      </w:numPr>
    </w:pPr>
  </w:style>
  <w:style w:type="paragraph" w:styleId="ListBullet5">
    <w:name w:val="List Bullet 5"/>
    <w:basedOn w:val="List5"/>
    <w:rsid w:val="00BD37B9"/>
    <w:pPr>
      <w:numPr>
        <w:numId w:val="5"/>
      </w:numPr>
    </w:pPr>
  </w:style>
  <w:style w:type="paragraph" w:styleId="ListContinue2">
    <w:name w:val="List Continue 2"/>
    <w:basedOn w:val="List2"/>
    <w:rsid w:val="00BD37B9"/>
    <w:pPr>
      <w:ind w:firstLine="0"/>
    </w:pPr>
  </w:style>
  <w:style w:type="paragraph" w:styleId="ListContinue3">
    <w:name w:val="List Continue 3"/>
    <w:basedOn w:val="List3"/>
    <w:rsid w:val="00BD37B9"/>
    <w:pPr>
      <w:ind w:left="1021" w:firstLine="0"/>
    </w:pPr>
  </w:style>
  <w:style w:type="paragraph" w:styleId="ListContinue4">
    <w:name w:val="List Continue 4"/>
    <w:basedOn w:val="List4"/>
    <w:rsid w:val="00BD37B9"/>
    <w:pPr>
      <w:ind w:firstLine="0"/>
    </w:pPr>
  </w:style>
  <w:style w:type="paragraph" w:styleId="ListContinue5">
    <w:name w:val="List Continue 5"/>
    <w:basedOn w:val="List5"/>
    <w:rsid w:val="00BD37B9"/>
    <w:pPr>
      <w:ind w:firstLine="0"/>
    </w:pPr>
  </w:style>
  <w:style w:type="paragraph" w:styleId="ListNumber3">
    <w:name w:val="List Number 3"/>
    <w:basedOn w:val="List3"/>
    <w:rsid w:val="00BD37B9"/>
    <w:pPr>
      <w:numPr>
        <w:numId w:val="6"/>
      </w:numPr>
    </w:pPr>
  </w:style>
  <w:style w:type="paragraph" w:styleId="ListNumber4">
    <w:name w:val="List Number 4"/>
    <w:basedOn w:val="List4"/>
    <w:rsid w:val="00BD37B9"/>
    <w:pPr>
      <w:numPr>
        <w:numId w:val="7"/>
      </w:numPr>
    </w:pPr>
  </w:style>
  <w:style w:type="paragraph" w:styleId="ListNumber5">
    <w:name w:val="List Number 5"/>
    <w:basedOn w:val="List5"/>
    <w:rsid w:val="00BD37B9"/>
    <w:pPr>
      <w:numPr>
        <w:numId w:val="8"/>
      </w:numPr>
    </w:pPr>
  </w:style>
  <w:style w:type="paragraph" w:styleId="BlockText">
    <w:name w:val="Block Text"/>
    <w:basedOn w:val="Normal"/>
    <w:rsid w:val="00BD37B9"/>
    <w:pPr>
      <w:spacing w:after="120"/>
      <w:ind w:left="1440" w:right="1440"/>
    </w:pPr>
  </w:style>
  <w:style w:type="character" w:customStyle="1" w:styleId="Subscript">
    <w:name w:val="Subscript"/>
    <w:basedOn w:val="DefaultParagraphFont"/>
    <w:rsid w:val="00BD37B9"/>
    <w:rPr>
      <w:sz w:val="16"/>
      <w:vertAlign w:val="subscript"/>
    </w:rPr>
  </w:style>
  <w:style w:type="character" w:customStyle="1" w:styleId="Superscript">
    <w:name w:val="Superscript"/>
    <w:basedOn w:val="DefaultParagraphFont"/>
    <w:rsid w:val="00BD37B9"/>
    <w:rPr>
      <w:sz w:val="16"/>
      <w:vertAlign w:val="superscript"/>
    </w:rPr>
  </w:style>
  <w:style w:type="character" w:customStyle="1" w:styleId="Symbols">
    <w:name w:val="Symbols"/>
    <w:basedOn w:val="DefaultParagraphFont"/>
    <w:rsid w:val="00BD37B9"/>
    <w:rPr>
      <w:rFonts w:ascii="Symbol" w:hAnsi="Symbol"/>
    </w:rPr>
  </w:style>
  <w:style w:type="character" w:customStyle="1" w:styleId="MenuOptions">
    <w:name w:val="Menu Options"/>
    <w:basedOn w:val="DefaultParagraphFont"/>
    <w:rsid w:val="00BD37B9"/>
    <w:rPr>
      <w:rFonts w:ascii="Arial Narrow" w:hAnsi="Arial Narrow"/>
      <w:smallCaps/>
    </w:rPr>
  </w:style>
  <w:style w:type="character" w:customStyle="1" w:styleId="Buttons">
    <w:name w:val="Buttons"/>
    <w:basedOn w:val="DefaultParagraphFont"/>
    <w:rsid w:val="00BD37B9"/>
    <w:rPr>
      <w:b/>
    </w:rPr>
  </w:style>
  <w:style w:type="character" w:customStyle="1" w:styleId="Underlined">
    <w:name w:val="Underlined"/>
    <w:basedOn w:val="DefaultParagraphFont"/>
    <w:rsid w:val="00BD37B9"/>
    <w:rPr>
      <w:u w:val="single"/>
    </w:rPr>
  </w:style>
  <w:style w:type="paragraph" w:customStyle="1" w:styleId="TableBodyTextRight">
    <w:name w:val="Table Body Text Right"/>
    <w:basedOn w:val="TableBodyText"/>
    <w:rsid w:val="00BD37B9"/>
    <w:pPr>
      <w:widowControl w:val="0"/>
      <w:autoSpaceDE w:val="0"/>
      <w:autoSpaceDN w:val="0"/>
      <w:adjustRightInd w:val="0"/>
      <w:jc w:val="right"/>
    </w:pPr>
    <w:rPr>
      <w:rFonts w:cs="Arial"/>
      <w:szCs w:val="18"/>
    </w:rPr>
  </w:style>
  <w:style w:type="paragraph" w:customStyle="1" w:styleId="CopyrightText">
    <w:name w:val="Copyright Text"/>
    <w:basedOn w:val="BodyText"/>
    <w:rsid w:val="00BD37B9"/>
    <w:rPr>
      <w:sz w:val="18"/>
    </w:rPr>
  </w:style>
  <w:style w:type="paragraph" w:customStyle="1" w:styleId="BodySmallRight">
    <w:name w:val="Body Small Right"/>
    <w:basedOn w:val="BodyTextRight"/>
    <w:rsid w:val="00BD37B9"/>
    <w:rPr>
      <w:sz w:val="18"/>
      <w:szCs w:val="18"/>
    </w:rPr>
  </w:style>
  <w:style w:type="paragraph" w:customStyle="1" w:styleId="MarginEdition">
    <w:name w:val="Margin Edition"/>
    <w:basedOn w:val="MarginNote"/>
    <w:rsid w:val="00BD37B9"/>
    <w:pPr>
      <w:spacing w:before="0" w:after="0"/>
    </w:pPr>
    <w:rPr>
      <w:rFonts w:ascii="Times New Roman" w:hAnsi="Times New Roman"/>
      <w:color w:val="999999"/>
    </w:rPr>
  </w:style>
  <w:style w:type="paragraph" w:customStyle="1" w:styleId="Spacer">
    <w:name w:val="Spacer"/>
    <w:basedOn w:val="Normal"/>
    <w:rsid w:val="00BD37B9"/>
    <w:rPr>
      <w:sz w:val="2"/>
      <w:szCs w:val="2"/>
    </w:rPr>
  </w:style>
  <w:style w:type="character" w:customStyle="1" w:styleId="Small">
    <w:name w:val="Small"/>
    <w:basedOn w:val="DefaultParagraphFont"/>
    <w:rsid w:val="00BD37B9"/>
    <w:rPr>
      <w:sz w:val="16"/>
    </w:rPr>
  </w:style>
  <w:style w:type="paragraph" w:customStyle="1" w:styleId="WideTable">
    <w:name w:val="Wide Table"/>
    <w:basedOn w:val="Normal"/>
    <w:rsid w:val="00BD37B9"/>
    <w:pPr>
      <w:ind w:left="-1418"/>
    </w:pPr>
    <w:rPr>
      <w:sz w:val="2"/>
      <w:szCs w:val="2"/>
    </w:rPr>
  </w:style>
  <w:style w:type="character" w:styleId="PageNumber">
    <w:name w:val="page number"/>
    <w:basedOn w:val="DefaultParagraphFont"/>
    <w:rsid w:val="00BD37B9"/>
  </w:style>
  <w:style w:type="paragraph" w:styleId="Quote">
    <w:name w:val="Quote"/>
    <w:basedOn w:val="Heading1"/>
    <w:link w:val="QuoteChar"/>
    <w:qFormat/>
    <w:rsid w:val="00BD37B9"/>
    <w:rPr>
      <w:b w:val="0"/>
      <w:sz w:val="72"/>
      <w:szCs w:val="72"/>
      <w:lang w:val="en-NZ"/>
    </w:rPr>
  </w:style>
  <w:style w:type="character" w:customStyle="1" w:styleId="QuoteChar">
    <w:name w:val="Quote Char"/>
    <w:basedOn w:val="DefaultParagraphFont"/>
    <w:link w:val="Quote"/>
    <w:rsid w:val="00BD3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7B9"/>
    <w:pPr>
      <w:pageBreakBefore/>
    </w:pPr>
  </w:style>
  <w:style w:type="paragraph" w:customStyle="1" w:styleId="Border">
    <w:name w:val="Border"/>
    <w:basedOn w:val="Normal"/>
    <w:qFormat/>
    <w:rsid w:val="00BD3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7B9"/>
    <w:rPr>
      <w:b/>
      <w:bCs/>
      <w:i/>
      <w:iCs/>
      <w:color w:val="auto"/>
    </w:rPr>
  </w:style>
  <w:style w:type="paragraph" w:styleId="IntenseQuote">
    <w:name w:val="Intense Quote"/>
    <w:basedOn w:val="Normal"/>
    <w:next w:val="Normal"/>
    <w:link w:val="IntenseQuoteChar"/>
    <w:uiPriority w:val="30"/>
    <w:qFormat/>
    <w:rsid w:val="00BD3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7B9"/>
    <w:rPr>
      <w:smallCaps/>
      <w:color w:val="auto"/>
      <w:u w:val="single"/>
    </w:rPr>
  </w:style>
  <w:style w:type="character" w:styleId="IntenseReference">
    <w:name w:val="Intense Reference"/>
    <w:basedOn w:val="DefaultParagraphFont"/>
    <w:uiPriority w:val="32"/>
    <w:qFormat/>
    <w:rsid w:val="00BD37B9"/>
    <w:rPr>
      <w:b/>
      <w:bCs/>
      <w:smallCaps/>
      <w:color w:val="auto"/>
      <w:spacing w:val="5"/>
      <w:u w:val="single"/>
    </w:rPr>
  </w:style>
  <w:style w:type="paragraph" w:customStyle="1" w:styleId="2ColumnHeading">
    <w:name w:val="2Column Heading"/>
    <w:basedOn w:val="BodyText"/>
    <w:qFormat/>
    <w:rsid w:val="00BD37B9"/>
    <w:pPr>
      <w:spacing w:after="60"/>
      <w:ind w:left="-2268"/>
    </w:pPr>
    <w:rPr>
      <w:b/>
    </w:rPr>
  </w:style>
  <w:style w:type="paragraph" w:customStyle="1" w:styleId="Heading1TOC">
    <w:name w:val="Heading1 TOC"/>
    <w:basedOn w:val="Normal"/>
    <w:qFormat/>
    <w:rsid w:val="00BD37B9"/>
    <w:pPr>
      <w:spacing w:before="240" w:after="120"/>
    </w:pPr>
    <w:rPr>
      <w:rFonts w:ascii="Times New Roman" w:hAnsi="Times New Roman"/>
      <w:b/>
      <w:sz w:val="32"/>
    </w:rPr>
  </w:style>
  <w:style w:type="paragraph" w:customStyle="1" w:styleId="Heading2TOC">
    <w:name w:val="Heading2 TOC"/>
    <w:basedOn w:val="Normal"/>
    <w:qFormat/>
    <w:rsid w:val="00BD37B9"/>
    <w:pPr>
      <w:spacing w:before="240" w:after="60"/>
    </w:pPr>
    <w:rPr>
      <w:rFonts w:ascii="Times New Roman" w:hAnsi="Times New Roman"/>
      <w:b/>
      <w:sz w:val="28"/>
    </w:rPr>
  </w:style>
  <w:style w:type="character" w:customStyle="1" w:styleId="Underline">
    <w:name w:val="Underline"/>
    <w:basedOn w:val="DefaultParagraphFont"/>
    <w:qFormat/>
    <w:rsid w:val="00BD37B9"/>
    <w:rPr>
      <w:u w:val="single"/>
    </w:rPr>
  </w:style>
  <w:style w:type="character" w:customStyle="1" w:styleId="BoldandItalics">
    <w:name w:val="Bold and Italics"/>
    <w:qFormat/>
    <w:rsid w:val="00BD37B9"/>
    <w:rPr>
      <w:b/>
      <w:i/>
      <w:u w:val="none"/>
    </w:rPr>
  </w:style>
  <w:style w:type="paragraph" w:styleId="BalloonText">
    <w:name w:val="Balloon Text"/>
    <w:basedOn w:val="Normal"/>
    <w:link w:val="BalloonTextChar"/>
    <w:rsid w:val="00BD37B9"/>
    <w:rPr>
      <w:rFonts w:ascii="Tahoma" w:hAnsi="Tahoma" w:cs="Tahoma"/>
      <w:sz w:val="16"/>
      <w:szCs w:val="16"/>
    </w:rPr>
  </w:style>
  <w:style w:type="character" w:customStyle="1" w:styleId="BalloonTextChar">
    <w:name w:val="Balloon Text Char"/>
    <w:basedOn w:val="DefaultParagraphFont"/>
    <w:link w:val="BalloonText"/>
    <w:rsid w:val="00BD3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7B9"/>
    <w:rPr>
      <w:b/>
      <w:color w:val="660033"/>
      <w:spacing w:val="0"/>
    </w:rPr>
  </w:style>
  <w:style w:type="paragraph" w:customStyle="1" w:styleId="Nameditemlist">
    <w:name w:val="Named item list"/>
    <w:basedOn w:val="BodyText"/>
    <w:qFormat/>
    <w:rsid w:val="00BD37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2294</Words>
  <Characters>13760</Characters>
  <Application>Microsoft Office Word</Application>
  <DocSecurity>0</DocSecurity>
  <Lines>502</Lines>
  <Paragraphs>230</Paragraphs>
  <ScaleCrop>false</ScaleCrop>
  <Company>Author-it Software Corporation Ltd.</Company>
  <LinksUpToDate>false</LinksUpToDate>
  <CharactersWithSpaces>15900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UEENEEE146A Identify effects of energy on machinery and materials in an energy sector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2012-10-11T17:45:00Z</dcterms:created>
  <dcterms:modified xsi:type="dcterms:W3CDTF">2012-10-11T17:45:00Z</dcterms:modified>
</cp:coreProperties>
</file>