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819" w:rsidP="00E73819">
      <w:pPr>
        <w:pStyle w:val="Title"/>
      </w:pPr>
      <w:r>
        <w:fldChar w:fldCharType="begin"/>
      </w:r>
      <w:r>
        <w:instrText xml:space="preserve"> TITLE   \* MERGEFORMAT </w:instrText>
      </w:r>
      <w:r>
        <w:fldChar w:fldCharType="separate"/>
      </w:r>
      <w:r>
        <w:t>UEENEEE145A Apply computation when using equipment/materials/concepts in an energy sector environment</w:t>
      </w:r>
      <w:r>
        <w:fldChar w:fldCharType="end"/>
      </w:r>
    </w:p>
    <w:p w:rsidR="00E73819" w:rsidP="00E73819">
      <w:pPr>
        <w:pStyle w:val="Version"/>
        <w:sectPr w:rsidSect="00FC29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993" w:rsidP="00FC2993">
      <w:pPr>
        <w:pStyle w:val="SuperHeading"/>
      </w:pPr>
      <w:r w:rsidRPr="00FC2993">
        <w:t>UEENEEE145A Apply computation when using equipment/materials/concepts in an energy sector environment</w:t>
      </w:r>
    </w:p>
    <w:p w:rsidR="00000000" w:rsidRPr="00FC2993" w:rsidP="00FC2993">
      <w:pPr>
        <w:pStyle w:val="Heading1"/>
      </w:pPr>
      <w:bookmarkStart w:id="1" w:name="O_417875"/>
      <w:bookmarkEnd w:id="1"/>
      <w:r w:rsidRPr="00FC2993">
        <w:t>Modification History</w:t>
      </w:r>
    </w:p>
    <w:p w:rsidR="00000000" w:rsidRPr="00FC2993" w:rsidP="00FC2993">
      <w:pPr>
        <w:pStyle w:val="BodyText"/>
      </w:pPr>
      <w:r w:rsidRPr="00FC2993">
        <w:t>Not applicable.</w:t>
      </w:r>
    </w:p>
    <w:p w:rsidR="00000000" w:rsidRPr="00FC2993" w:rsidP="00FC2993">
      <w:pPr>
        <w:pStyle w:val="AllowPageBreak"/>
      </w:pPr>
    </w:p>
    <w:p w:rsidR="00000000" w:rsidRPr="00FC2993" w:rsidP="00FC2993">
      <w:pPr>
        <w:pStyle w:val="Heading1"/>
      </w:pPr>
      <w:bookmarkStart w:id="2" w:name="O_417873"/>
      <w:bookmarkEnd w:id="2"/>
      <w:r w:rsidRPr="00FC2993">
        <w:t>Unit Descriptor</w:t>
      </w:r>
    </w:p>
    <w:tbl>
      <w:tblPr>
        <w:tblW w:w="0" w:type="auto"/>
        <w:tblLayout w:type="fixed"/>
        <w:tblCellMar>
          <w:left w:w="62" w:type="dxa"/>
          <w:right w:w="62" w:type="dxa"/>
        </w:tblCellMar>
        <w:tblLook w:val="0000"/>
      </w:tblPr>
      <w:tblGrid>
        <w:gridCol w:w="2700"/>
        <w:gridCol w:w="5760"/>
      </w:tblGrid>
      <w:tr w:rsidTr="00E738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1)</w:t>
            </w:r>
            <w:r w:rsidRPr="00FC2993">
              <w:t xml:space="preserve"> </w:t>
            </w:r>
            <w:r w:rsidRPr="00FC2993">
              <w:rPr>
                <w:rStyle w:val="SpecialBold"/>
              </w:rPr>
              <w:t>Scope:</w:t>
            </w:r>
          </w:p>
        </w:tc>
      </w:tr>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299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1.1) Descriptor</w:t>
            </w:r>
          </w:p>
        </w:tc>
      </w:tr>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This unit covers undertaking computations to produce appropriate results using a range of equipment, materials and concepts in carrying out energy sector work activities, whilst ensuring work is completed in an agreed time, to a quality standard and with a</w:t>
            </w:r>
            <w:r w:rsidRPr="00FC2993">
              <w:t xml:space="preserve"> minimum of waste.</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3" w:name="O_417862"/>
      <w:bookmarkEnd w:id="3"/>
      <w:r w:rsidRPr="00FC2993">
        <w:t>Application of the Unit</w:t>
      </w:r>
    </w:p>
    <w:tbl>
      <w:tblPr>
        <w:tblW w:w="0" w:type="auto"/>
        <w:tblLayout w:type="fixed"/>
        <w:tblCellMar>
          <w:left w:w="62" w:type="dxa"/>
          <w:right w:w="62" w:type="dxa"/>
        </w:tblCellMar>
        <w:tblLook w:val="0000"/>
      </w:tblPr>
      <w:tblGrid>
        <w:gridCol w:w="2672"/>
        <w:gridCol w:w="5699"/>
      </w:tblGrid>
      <w:tr w:rsidTr="00E7381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2)</w:t>
            </w:r>
          </w:p>
        </w:tc>
      </w:tr>
      <w:tr w:rsidTr="00E7381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This unit shall apply to persons entering work in electrotechnology and may be used in school-based vocational programs.</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4" w:name="O_417869"/>
      <w:bookmarkEnd w:id="4"/>
      <w:r w:rsidRPr="00FC2993">
        <w:t>Licensing/R</w:t>
      </w:r>
      <w:r w:rsidRPr="00FC2993">
        <w:t>egulatory Information</w:t>
      </w:r>
    </w:p>
    <w:tbl>
      <w:tblPr>
        <w:tblW w:w="0" w:type="auto"/>
        <w:tblLayout w:type="fixed"/>
        <w:tblCellMar>
          <w:left w:w="62" w:type="dxa"/>
          <w:right w:w="62" w:type="dxa"/>
        </w:tblCellMar>
        <w:tblLook w:val="0000"/>
      </w:tblPr>
      <w:tblGrid>
        <w:gridCol w:w="2700"/>
        <w:gridCol w:w="5760"/>
      </w:tblGrid>
      <w:tr w:rsidTr="00E738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 xml:space="preserve">3) </w:t>
            </w:r>
          </w:p>
        </w:tc>
      </w:tr>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 xml:space="preserve">The skills and knowledge described in this unit do not require a license to practice in the workplace. However practice in this unit is subject to regulations directly related to occupational health and safe </w:t>
            </w:r>
            <w:r w:rsidRPr="00FC2993">
              <w:t>and contracts of training such as new apprenticeships.</w:t>
            </w:r>
          </w:p>
          <w:p w:rsidR="00000000" w:rsidRPr="00FC2993" w:rsidP="00FC2993">
            <w:pPr>
              <w:pStyle w:val="BodyText"/>
            </w:pPr>
            <w:r w:rsidRPr="00FC2993">
              <w:t xml:space="preserve">Note: </w:t>
            </w:r>
          </w:p>
          <w:p w:rsidR="00000000" w:rsidRPr="00FC2993" w:rsidP="00FC2993">
            <w:pPr>
              <w:pStyle w:val="BodyText"/>
            </w:pPr>
            <w:r w:rsidRPr="00FC2993">
              <w:t>1. Compliance with permits may be required in vario</w:t>
            </w:r>
            <w:r w:rsidRPr="00FC2993">
              <w:t xml:space="preserve">us jurisdictions and typically relates to the operation of plant, machinery and equipment such as elevating work </w:t>
            </w:r>
            <w:r w:rsidRPr="00FC2993">
              <w:t>platforms, powder operated fixing tools, and power operated tools, vehicles, road signage and traffic control, lifting equipment. Permits may a</w:t>
            </w:r>
            <w:r w:rsidRPr="00FC2993">
              <w:t>lso be required for some work environments such as confined spaces, working aloft, near live electrical apparatus and site rehabilitation.</w:t>
            </w:r>
          </w:p>
          <w:p w:rsidR="00000000" w:rsidRPr="00FC2993" w:rsidP="00FC2993">
            <w:pPr>
              <w:pStyle w:val="BodyText"/>
            </w:pPr>
            <w:r w:rsidRPr="00FC2993">
              <w:t>2. Compliance may be required in various jurisdictions relating to currency in First Aid, confined space, lifting and</w:t>
            </w:r>
            <w:r w:rsidRPr="00FC2993">
              <w:t xml:space="preserve"> risk safety measures.</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5" w:name="O_417870"/>
      <w:bookmarkEnd w:id="5"/>
      <w:r w:rsidRPr="00FC2993">
        <w:t>Pre-Requisites</w:t>
      </w:r>
    </w:p>
    <w:tbl>
      <w:tblPr>
        <w:tblW w:w="0" w:type="auto"/>
        <w:tblLayout w:type="fixed"/>
        <w:tblCellMar>
          <w:left w:w="62" w:type="dxa"/>
          <w:right w:w="62" w:type="dxa"/>
        </w:tblCellMar>
        <w:tblLook w:val="0000"/>
      </w:tblPr>
      <w:tblGrid>
        <w:gridCol w:w="2700"/>
        <w:gridCol w:w="5760"/>
      </w:tblGrid>
      <w:tr w:rsidTr="00E738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 xml:space="preserve">4) </w:t>
            </w:r>
          </w:p>
        </w:tc>
      </w:tr>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4.1)</w:t>
            </w:r>
          </w:p>
        </w:tc>
      </w:tr>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There are no prerequisite competencies for this unit.</w:t>
            </w:r>
          </w:p>
        </w:tc>
      </w:tr>
    </w:tbl>
    <w:p w:rsidR="00000000" w:rsidRPr="00FC2993" w:rsidP="00FC299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7381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 xml:space="preserve">4.2) </w:t>
            </w:r>
          </w:p>
        </w:tc>
      </w:tr>
      <w:tr w:rsidTr="00E73819">
        <w:tblPrEx>
          <w:tblW w:w="0" w:type="auto"/>
          <w:tblLayout w:type="fixed"/>
          <w:tblCellMar>
            <w:left w:w="62" w:type="dxa"/>
            <w:right w:w="62" w:type="dxa"/>
          </w:tblCellMar>
          <w:tblLook w:val="0000"/>
        </w:tblPrEx>
        <w:trPr>
          <w:trHeight w:val="28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Particip</w:t>
            </w:r>
            <w:r w:rsidRPr="00FC2993">
              <w:t>ants are best equipped to achieve competency in this unit if they have reading, writing and numeracy skills indicated by the following scales. Description of each scale is given in Volume 2, Part 3 ‘Literacy and Numeracy’</w:t>
            </w:r>
          </w:p>
        </w:tc>
      </w:tr>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Reading</w:t>
            </w:r>
          </w:p>
        </w:tc>
        <w:tc>
          <w:tcPr>
            <w:tcW w:w="81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3</w:t>
            </w:r>
          </w:p>
        </w:tc>
        <w:tc>
          <w:tcPr>
            <w:tcW w:w="99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Writing</w:t>
            </w:r>
          </w:p>
        </w:tc>
        <w:tc>
          <w:tcPr>
            <w:tcW w:w="90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3</w:t>
            </w:r>
          </w:p>
        </w:tc>
        <w:tc>
          <w:tcPr>
            <w:tcW w:w="12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Numeracy</w:t>
            </w:r>
          </w:p>
        </w:tc>
        <w:tc>
          <w:tcPr>
            <w:tcW w:w="72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3</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6" w:name="O_417866"/>
      <w:bookmarkEnd w:id="6"/>
      <w:r w:rsidRPr="00FC2993">
        <w:t>Employability Skills Information</w:t>
      </w:r>
    </w:p>
    <w:tbl>
      <w:tblPr>
        <w:tblW w:w="0" w:type="auto"/>
        <w:tblLayout w:type="fixed"/>
        <w:tblCellMar>
          <w:left w:w="62" w:type="dxa"/>
          <w:right w:w="62" w:type="dxa"/>
        </w:tblCellMar>
        <w:tblLook w:val="0000"/>
      </w:tblPr>
      <w:tblGrid>
        <w:gridCol w:w="2700"/>
        <w:gridCol w:w="5760"/>
      </w:tblGrid>
      <w:tr w:rsidTr="00E738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 xml:space="preserve">5) </w:t>
            </w:r>
          </w:p>
        </w:tc>
      </w:tr>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This unit contains Employability Skills</w:t>
            </w:r>
          </w:p>
          <w:p w:rsidR="00000000" w:rsidRPr="00FC2993" w:rsidP="00FC2993">
            <w:pPr>
              <w:pStyle w:val="BodyText"/>
            </w:pPr>
            <w:r w:rsidRPr="00FC2993">
              <w:t>The req</w:t>
            </w:r>
            <w:r w:rsidRPr="00FC2993">
              <w:t>uired outcomes described in this unit of competency contain applicable facets of Employability Skills. The Employability Skills Summary of the qualification in which this unit of competency is packaged will assist in identifying Employability Skill require</w:t>
            </w:r>
            <w:r w:rsidRPr="00FC2993">
              <w:t>ments.</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7" w:name="O_417865"/>
      <w:bookmarkEnd w:id="7"/>
      <w:r w:rsidRPr="00FC2993">
        <w:t>Elements and Performance Criteria Pre-Content</w:t>
      </w:r>
    </w:p>
    <w:tbl>
      <w:tblPr>
        <w:tblW w:w="0" w:type="auto"/>
        <w:tblLayout w:type="fixed"/>
        <w:tblCellMar>
          <w:left w:w="62" w:type="dxa"/>
          <w:right w:w="62" w:type="dxa"/>
        </w:tblCellMar>
        <w:tblLook w:val="0000"/>
      </w:tblPr>
      <w:tblGrid>
        <w:gridCol w:w="2700"/>
        <w:gridCol w:w="5760"/>
      </w:tblGrid>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6)</w:t>
            </w:r>
            <w:r w:rsidRPr="00FC299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Performance Criteria describe the required performance needed to demonstrate achievement of the element. Asses</w:t>
            </w:r>
            <w:r w:rsidRPr="00FC2993">
              <w:t>sment of performance is to be consistent with the Evidence Guide.</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8" w:name="O_417864"/>
      <w:bookmarkEnd w:id="8"/>
      <w:r w:rsidRPr="00FC2993">
        <w:t>Elements and Performance Criteria</w:t>
      </w:r>
    </w:p>
    <w:tbl>
      <w:tblPr>
        <w:tblW w:w="0" w:type="auto"/>
        <w:tblLayout w:type="fixed"/>
        <w:tblCellMar>
          <w:left w:w="62" w:type="dxa"/>
          <w:right w:w="62" w:type="dxa"/>
        </w:tblCellMar>
        <w:tblLook w:val="0000"/>
      </w:tblPr>
      <w:tblGrid>
        <w:gridCol w:w="404"/>
        <w:gridCol w:w="2296"/>
        <w:gridCol w:w="899"/>
        <w:gridCol w:w="4850"/>
        <w:gridCol w:w="15"/>
      </w:tblGrid>
      <w:tr w:rsidTr="00E7381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ELEMENT</w:t>
            </w:r>
          </w:p>
        </w:tc>
        <w:tc>
          <w:tcPr>
            <w:tcW w:w="5764" w:type="dxa"/>
            <w:gridSpan w:val="3"/>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PERFORMANCE CRITERIA</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1</w:t>
            </w:r>
          </w:p>
        </w:tc>
        <w:tc>
          <w:tcPr>
            <w:tcW w:w="2296" w:type="dxa"/>
            <w:vMerge w:val="restart"/>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Prepare to apply computations when using equipment, materials and concepts.</w:t>
            </w: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1.1</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Instructions for the preparation to apply computations when using equipment, materials or concepts are communicated and confirmed to ensure clear understanding.</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1.2</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OHS policies and procedures are communicated and confirmed to ensure they are understood as they apply to the carrying out of the work.</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1.3</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 xml:space="preserve">Tools, equipment and personnel protective equipment necessary for the work are identified, scheduled and checked </w:t>
            </w:r>
            <w:r w:rsidRPr="00FC2993">
              <w:t>to ensure they work correctly as intended and are safe to use in accordance with established procedures.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1.4</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 xml:space="preserve">Appropriate personnel are consulted to ensure computations when using equipment, materials or concepts is coordinated effectively with others </w:t>
            </w:r>
            <w:r w:rsidRPr="00FC2993">
              <w:t>involved.</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1.5</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Resources and materials needed to do the work are confirmed, scheduled and obtained in accordance with established procedures.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1.6</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Schedule of computations to be applied when using equipment, materials or concepts, including practices f</w:t>
            </w:r>
            <w:r w:rsidRPr="00FC2993">
              <w:t>or working safely, are confirmed in accordance with instructions and requirements.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2</w:t>
            </w:r>
          </w:p>
        </w:tc>
        <w:tc>
          <w:tcPr>
            <w:tcW w:w="2296" w:type="dxa"/>
            <w:vMerge w:val="restart"/>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Carry out computations when using equipment, materials and concepts.</w:t>
            </w: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2.1</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OHS policies and procedures and safe work practices are followed to eliminate or minimise inciden</w:t>
            </w:r>
            <w:r w:rsidRPr="00FC2993">
              <w:t>ts.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2.2</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Schedule of computations is followed to ensure the use equipment, materials or concepts is completed in an agreed time, to a quality standard and with a minimum of waste.</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2.3</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Further instructions are sought from appropriate personnel in the event of unplanned happenings or conditions.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2.4</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Ongoing checks of quality of the computations are undertaken in accordance with instructions and requirements.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3</w:t>
            </w:r>
          </w:p>
        </w:tc>
        <w:tc>
          <w:tcPr>
            <w:tcW w:w="2296" w:type="dxa"/>
            <w:vMerge w:val="restart"/>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Confirm results of computations when using equipment, materials and concepts.</w:t>
            </w: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3.1</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Confirm results of computations when using equipment, materials and concepts.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3.2</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Appropriate personnel are notified of completion of the computations.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3.3</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Tools, equipment and any surplus resources and materials are, where appropriate, cleaned, checked and returned to storage in accordance with established procedures.</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3.4</w:t>
            </w:r>
          </w:p>
        </w:tc>
        <w:tc>
          <w:tcPr>
            <w:tcW w:w="485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Work area is cleaned up and made safe and sustainable energy practices are followed.</w:t>
            </w:r>
          </w:p>
        </w:tc>
      </w:tr>
      <w:tr w:rsidTr="00E73819">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3.5</w:t>
            </w:r>
          </w:p>
        </w:tc>
        <w:tc>
          <w:tcPr>
            <w:tcW w:w="485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Appropriate records are updated in accordance with instructions and established procedures.</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9" w:name="O_417872"/>
      <w:bookmarkEnd w:id="9"/>
      <w:r w:rsidRPr="00FC2993">
        <w:t>Required Skills and Knowledge</w:t>
      </w:r>
    </w:p>
    <w:tbl>
      <w:tblPr>
        <w:tblW w:w="0" w:type="auto"/>
        <w:tblLayout w:type="fixed"/>
        <w:tblCellMar>
          <w:left w:w="62" w:type="dxa"/>
          <w:right w:w="62" w:type="dxa"/>
        </w:tblCellMar>
        <w:tblLook w:val="0000"/>
      </w:tblPr>
      <w:tblGrid>
        <w:gridCol w:w="8460"/>
      </w:tblGrid>
      <w:tr w:rsidTr="00E738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REQUIRED SKILLS AND KNOWLEDGE</w:t>
            </w:r>
          </w:p>
        </w:tc>
      </w:tr>
      <w:tr w:rsidTr="00E7381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8)</w:t>
            </w:r>
            <w:r w:rsidRPr="00FC2993">
              <w:t xml:space="preserve"> This describes the essential skills and knowledge and their level, required for this unit.</w:t>
            </w:r>
          </w:p>
          <w:p w:rsidR="00000000" w:rsidRPr="00FC2993" w:rsidP="00FC2993">
            <w:pPr>
              <w:pStyle w:val="BodyText"/>
            </w:pPr>
            <w:r w:rsidRPr="00FC2993">
              <w:t>Evidence shall show that knowledge has been acquired of safe working practices and applying computation when using equipment/materials/concepts in an electrotechnol</w:t>
            </w:r>
            <w:r w:rsidRPr="00FC2993">
              <w:t>ogy environment.</w:t>
            </w:r>
          </w:p>
          <w:p w:rsidR="00000000" w:rsidRPr="00FC2993" w:rsidP="00FC2993">
            <w:pPr>
              <w:pStyle w:val="BodyText"/>
            </w:pPr>
            <w:r w:rsidRPr="00FC2993">
              <w:t>All knowledge and skills detailed in this unit should be contextualised to current industry practices and technologies.</w:t>
            </w:r>
          </w:p>
          <w:p w:rsidR="00000000" w:rsidRPr="00FC2993" w:rsidP="00FC2993">
            <w:pPr>
              <w:pStyle w:val="BodyText"/>
            </w:pPr>
            <w:r w:rsidRPr="00FC2993">
              <w:rPr>
                <w:rStyle w:val="SpecialBold"/>
              </w:rPr>
              <w:t>KS01-EE145A</w:t>
            </w:r>
            <w:r w:rsidRPr="00FC2993">
              <w:rPr>
                <w:rStyle w:val="SpecialBold"/>
              </w:rPr>
              <w:tab/>
              <w:t xml:space="preserve">              Applied mathematics concepts</w:t>
            </w:r>
          </w:p>
          <w:p w:rsidR="00000000" w:rsidRPr="00FC2993" w:rsidP="00FC2993">
            <w:pPr>
              <w:pStyle w:val="BodyText"/>
            </w:pPr>
            <w:r w:rsidRPr="00FC2993">
              <w:t>Evidence shall show an understanding of applied mathematical con</w:t>
            </w:r>
            <w:r w:rsidRPr="00FC2993">
              <w:t>cepts to an extent indicated by the following aspects:</w:t>
            </w:r>
          </w:p>
          <w:p w:rsidR="00000000" w:rsidRPr="00FC2993" w:rsidP="00FC2993">
            <w:pPr>
              <w:pStyle w:val="BodyText"/>
            </w:pPr>
            <w:r w:rsidRPr="00FC2993">
              <w:t>T1</w:t>
            </w:r>
            <w:r w:rsidRPr="00FC2993">
              <w:tab/>
              <w:t>Mathematical linear measurement in engineering situations encompassing:</w:t>
            </w:r>
          </w:p>
          <w:p w:rsidR="00000000" w:rsidRPr="00FC2993" w:rsidP="00FC2993">
            <w:pPr>
              <w:pStyle w:val="ListBullet"/>
            </w:pPr>
            <w:r w:rsidRPr="00FC2993">
              <w:t>Precision and error in mathematical computations and</w:t>
            </w:r>
          </w:p>
          <w:p w:rsidR="00000000" w:rsidRPr="00FC2993" w:rsidP="00FC2993">
            <w:pPr>
              <w:pStyle w:val="ListBullet"/>
            </w:pPr>
            <w:r w:rsidRPr="00FC2993">
              <w:t>Displaying mathematical outcomes in the correct format using the appropriate significant figures and in scientific notation</w:t>
            </w:r>
          </w:p>
          <w:p w:rsidR="00000000" w:rsidRPr="00FC2993" w:rsidP="00FC2993">
            <w:pPr>
              <w:pStyle w:val="ListBullet"/>
            </w:pPr>
            <w:r w:rsidRPr="00FC2993">
              <w:t>Perimeters of plane figures, polygons and the perimeter of shapes involving arcs</w:t>
            </w:r>
          </w:p>
          <w:p w:rsidR="00000000" w:rsidRPr="00FC2993" w:rsidP="00FC2993">
            <w:pPr>
              <w:pStyle w:val="ListBullet"/>
            </w:pPr>
            <w:r w:rsidRPr="00FC2993">
              <w:t>Pythagoras’ theorem to engineering situations</w:t>
            </w:r>
          </w:p>
          <w:p w:rsidR="00000000" w:rsidRPr="00FC2993" w:rsidP="00FC2993">
            <w:pPr>
              <w:pStyle w:val="BodyText"/>
            </w:pPr>
            <w:r w:rsidRPr="00FC2993">
              <w:t>T2</w:t>
            </w:r>
            <w:r w:rsidRPr="00FC2993">
              <w:tab/>
              <w:t>Ma</w:t>
            </w:r>
            <w:r w:rsidRPr="00FC2993">
              <w:t>thematical spatial measurement in engineering situations encompassing:</w:t>
            </w:r>
          </w:p>
          <w:p w:rsidR="00000000" w:rsidRPr="00FC2993" w:rsidP="00FC2993">
            <w:pPr>
              <w:pStyle w:val="ListBullet"/>
            </w:pPr>
            <w:r w:rsidRPr="00FC2993">
              <w:t>Areas of combined shapes</w:t>
            </w:r>
          </w:p>
          <w:p w:rsidR="00000000" w:rsidRPr="00FC2993" w:rsidP="00FC2993">
            <w:pPr>
              <w:pStyle w:val="ListBullet"/>
            </w:pPr>
            <w:r w:rsidRPr="00FC2993">
              <w:t>Volume and surface areas of solids</w:t>
            </w:r>
          </w:p>
          <w:p w:rsidR="00000000" w:rsidRPr="00FC2993" w:rsidP="00FC2993">
            <w:pPr>
              <w:pStyle w:val="BodyText"/>
            </w:pPr>
            <w:r w:rsidRPr="00FC2993">
              <w:t>T3</w:t>
            </w:r>
            <w:r w:rsidRPr="00FC2993">
              <w:tab/>
              <w:t>Right triangle trigonometry in engineering problem solving encompassing:</w:t>
            </w:r>
          </w:p>
          <w:p w:rsidR="00000000" w:rsidRPr="00FC2993" w:rsidP="00FC2993">
            <w:pPr>
              <w:pStyle w:val="ListBullet"/>
            </w:pPr>
            <w:r w:rsidRPr="00FC2993">
              <w:t>Problems using the six trigonometrical ratios</w:t>
            </w:r>
          </w:p>
          <w:p w:rsidR="00000000" w:rsidRPr="00FC2993" w:rsidP="00FC2993">
            <w:pPr>
              <w:pStyle w:val="ListBullet"/>
            </w:pPr>
            <w:r w:rsidRPr="00FC2993">
              <w:t>P</w:t>
            </w:r>
            <w:r w:rsidRPr="00FC2993">
              <w:t>roblems involving compass bearings and angles of elevation/depression</w:t>
            </w:r>
          </w:p>
          <w:p w:rsidR="00000000" w:rsidRPr="00FC2993" w:rsidP="00FC2993">
            <w:pPr>
              <w:pStyle w:val="ListBullet"/>
            </w:pPr>
            <w:r w:rsidRPr="00FC2993">
              <w:t>Trigonometrical concepts in problems involving inclined planes, vectors and forces and electrical sinusoidal waveforms</w:t>
            </w:r>
          </w:p>
          <w:p w:rsidR="00000000" w:rsidRPr="00FC2993" w:rsidP="00FC2993">
            <w:pPr>
              <w:pStyle w:val="BodyText"/>
            </w:pPr>
            <w:r w:rsidRPr="00FC2993">
              <w:t>T4</w:t>
            </w:r>
            <w:r w:rsidRPr="00FC2993">
              <w:tab/>
              <w:t>Sine and cosine rules in practical applications encompassing:</w:t>
            </w:r>
          </w:p>
          <w:p w:rsidR="00000000" w:rsidRPr="00FC2993" w:rsidP="00FC2993">
            <w:pPr>
              <w:pStyle w:val="ListBullet"/>
            </w:pPr>
            <w:r w:rsidRPr="00FC2993">
              <w:t>S</w:t>
            </w:r>
            <w:r w:rsidRPr="00FC2993">
              <w:t>ine rule to solve unknown dimensions/angles in triangles</w:t>
            </w:r>
          </w:p>
          <w:p w:rsidR="00000000" w:rsidRPr="00FC2993" w:rsidP="00FC2993">
            <w:pPr>
              <w:pStyle w:val="ListBullet"/>
            </w:pPr>
            <w:r w:rsidRPr="00FC2993">
              <w:t>Cosine rule to solve unknown dimensions/angles in triangles</w:t>
            </w:r>
          </w:p>
          <w:p w:rsidR="00000000" w:rsidRPr="00FC2993" w:rsidP="00FC2993">
            <w:pPr>
              <w:pStyle w:val="BodyText"/>
            </w:pPr>
            <w:r w:rsidRPr="00FC2993">
              <w:t>T5</w:t>
            </w:r>
            <w:r w:rsidRPr="00FC2993">
              <w:tab/>
              <w:t>Mathematical concepts in basic surveying and computation of areas encompassing:</w:t>
            </w:r>
          </w:p>
          <w:p w:rsidR="00000000" w:rsidRPr="00FC2993" w:rsidP="00FC2993">
            <w:pPr>
              <w:pStyle w:val="ListBullet"/>
            </w:pPr>
            <w:r w:rsidRPr="00FC2993">
              <w:t>Mathematical concepts for radial and triangulation surv</w:t>
            </w:r>
            <w:r w:rsidRPr="00FC2993">
              <w:t>eys</w:t>
            </w:r>
          </w:p>
          <w:p w:rsidR="00000000" w:rsidRPr="00FC2993" w:rsidP="00FC2993">
            <w:pPr>
              <w:pStyle w:val="ListBullet"/>
            </w:pPr>
            <w:r w:rsidRPr="00FC2993">
              <w:t>Simpson’s Rule in engineering applications</w:t>
            </w:r>
          </w:p>
          <w:p w:rsidR="00000000" w:rsidRPr="00FC2993" w:rsidP="00FC2993">
            <w:pPr>
              <w:pStyle w:val="BodyText"/>
            </w:pPr>
            <w:r w:rsidRPr="00FC2993">
              <w:t>T6</w:t>
            </w:r>
            <w:r w:rsidRPr="00FC2993">
              <w:tab/>
              <w:t>Basic algebra in engineering calculations encompassing:</w:t>
            </w:r>
          </w:p>
          <w:p w:rsidR="00000000" w:rsidRPr="00FC2993" w:rsidP="00FC2993">
            <w:pPr>
              <w:pStyle w:val="ListBullet"/>
            </w:pPr>
            <w:r w:rsidRPr="00FC2993">
              <w:t>Basic operations involving substitutions, additions, removal of brackets, multiplication and divisions</w:t>
            </w:r>
          </w:p>
          <w:p w:rsidR="00000000" w:rsidRPr="00FC2993" w:rsidP="00FC2993">
            <w:pPr>
              <w:pStyle w:val="ListBullet"/>
            </w:pPr>
            <w:r w:rsidRPr="00FC2993">
              <w:t>Solving linear equations</w:t>
            </w:r>
          </w:p>
          <w:p w:rsidR="00000000" w:rsidRPr="00FC2993" w:rsidP="00FC2993">
            <w:pPr>
              <w:pStyle w:val="ListBullet"/>
            </w:pPr>
            <w:r w:rsidRPr="00FC2993">
              <w:t>Transportation in non</w:t>
            </w:r>
            <w:r w:rsidRPr="00FC2993">
              <w:t>-linear equations</w:t>
            </w:r>
          </w:p>
          <w:p w:rsidR="00000000" w:rsidRPr="00FC2993" w:rsidP="00FC2993">
            <w:pPr>
              <w:pStyle w:val="BodyText"/>
            </w:pPr>
            <w:r w:rsidRPr="00FC2993">
              <w:t>T7</w:t>
            </w:r>
            <w:r w:rsidRPr="00FC2993">
              <w:tab/>
              <w:t>Linear graphical techniques in engineering problem solving encompassing:</w:t>
            </w:r>
          </w:p>
          <w:p w:rsidR="00000000" w:rsidRPr="00FC2993" w:rsidP="00FC2993">
            <w:pPr>
              <w:pStyle w:val="ListBullet"/>
            </w:pPr>
            <w:r w:rsidRPr="00FC2993">
              <w:t>Graphing linear functions</w:t>
            </w:r>
          </w:p>
          <w:p w:rsidR="00000000" w:rsidRPr="00FC2993" w:rsidP="00FC2993">
            <w:pPr>
              <w:pStyle w:val="ListBullet"/>
            </w:pPr>
            <w:r w:rsidRPr="00FC2993">
              <w:t>Deriving equations from graphs and tables</w:t>
            </w:r>
          </w:p>
          <w:p w:rsidR="00000000" w:rsidRPr="00FC2993" w:rsidP="00FC2993">
            <w:pPr>
              <w:pStyle w:val="ListBullet"/>
            </w:pPr>
            <w:r w:rsidRPr="00FC2993">
              <w:t>Solving simulations equations algebraically and graphically</w:t>
            </w:r>
          </w:p>
          <w:p w:rsidR="00000000" w:rsidRPr="00FC2993" w:rsidP="00FC2993">
            <w:pPr>
              <w:pStyle w:val="ListBullet"/>
            </w:pPr>
            <w:r w:rsidRPr="00FC2993">
              <w:t>The best line of fit graphically and determine equation</w:t>
            </w:r>
          </w:p>
          <w:p w:rsidR="00000000" w:rsidRPr="00FC2993" w:rsidP="00FC2993">
            <w:pPr>
              <w:pStyle w:val="BodyText"/>
            </w:pPr>
            <w:r w:rsidRPr="00FC2993">
              <w:t>T8</w:t>
            </w:r>
            <w:r w:rsidRPr="00FC2993">
              <w:tab/>
              <w:t>Mathematical computations involving polynomials encompassing:</w:t>
            </w:r>
          </w:p>
          <w:p w:rsidR="00000000" w:rsidRPr="00FC2993" w:rsidP="00FC2993">
            <w:pPr>
              <w:pStyle w:val="ListBullet"/>
            </w:pPr>
            <w:r w:rsidRPr="00FC2993">
              <w:t>Adding, subtracting and multiplying polynomials</w:t>
            </w:r>
          </w:p>
          <w:p w:rsidR="00000000" w:rsidRPr="00FC2993" w:rsidP="00FC2993">
            <w:pPr>
              <w:pStyle w:val="ListBullet"/>
            </w:pPr>
            <w:r w:rsidRPr="00FC2993">
              <w:t>Factorising trinomials</w:t>
            </w:r>
          </w:p>
          <w:p w:rsidR="00000000" w:rsidRPr="00FC2993" w:rsidP="00FC2993">
            <w:pPr>
              <w:pStyle w:val="ListBullet"/>
            </w:pPr>
            <w:r w:rsidRPr="00FC2993">
              <w:t>Solving quadratic equation</w:t>
            </w:r>
          </w:p>
          <w:p w:rsidR="00000000" w:rsidRPr="00FC2993" w:rsidP="00FC2993">
            <w:pPr>
              <w:pStyle w:val="BodyText"/>
            </w:pPr>
            <w:r w:rsidRPr="00FC2993">
              <w:t>T9</w:t>
            </w:r>
            <w:r w:rsidRPr="00FC2993">
              <w:tab/>
              <w:t>Mathematical computations involvi</w:t>
            </w:r>
            <w:r w:rsidRPr="00FC2993">
              <w:t>ng quadratic graphs encompassing:</w:t>
            </w:r>
          </w:p>
          <w:p w:rsidR="00000000" w:rsidRPr="00FC2993" w:rsidP="00FC2993">
            <w:pPr>
              <w:pStyle w:val="ListBullet"/>
            </w:pPr>
            <w:r w:rsidRPr="00FC2993">
              <w:t>Graphs of quadratic functions</w:t>
            </w:r>
          </w:p>
          <w:p w:rsidR="00000000" w:rsidRPr="00FC2993" w:rsidP="00FC2993">
            <w:pPr>
              <w:pStyle w:val="ListBullet"/>
            </w:pPr>
            <w:r w:rsidRPr="00FC2993">
              <w:t>Maxima and minima</w:t>
            </w:r>
          </w:p>
          <w:p w:rsidR="00000000" w:rsidRPr="00FC2993" w:rsidP="00FC2993">
            <w:pPr>
              <w:pStyle w:val="ListBullet"/>
            </w:pPr>
            <w:r w:rsidRPr="00FC2993">
              <w:t>Graphical solutions of quadratic equations</w:t>
            </w:r>
          </w:p>
          <w:p w:rsidR="00000000" w:rsidRPr="00FC2993" w:rsidP="00FC2993">
            <w:pPr>
              <w:pStyle w:val="ListBullet"/>
            </w:pPr>
            <w:r w:rsidRPr="00FC2993">
              <w:t>Properties of a parabola</w:t>
            </w:r>
          </w:p>
          <w:p w:rsidR="00000000" w:rsidRPr="00FC2993" w:rsidP="00FC2993">
            <w:pPr>
              <w:pStyle w:val="ListBullet"/>
            </w:pPr>
            <w:r w:rsidRPr="00FC2993">
              <w:t>Applications of parabolas in engineering applications</w:t>
            </w:r>
          </w:p>
          <w:p w:rsidR="00000000" w:rsidRPr="00FC2993" w:rsidP="00FC2993">
            <w:pPr>
              <w:pStyle w:val="BodyText"/>
            </w:pPr>
            <w:r w:rsidRPr="00FC2993">
              <w:t>T10</w:t>
            </w:r>
            <w:r w:rsidRPr="00FC2993">
              <w:tab/>
              <w:t>Trigonometry and graphical techniques in engine</w:t>
            </w:r>
            <w:r w:rsidRPr="00FC2993">
              <w:t>ering outcomes encompassing:</w:t>
            </w:r>
          </w:p>
          <w:p w:rsidR="00000000" w:rsidRPr="00FC2993" w:rsidP="00FC2993">
            <w:pPr>
              <w:pStyle w:val="BodyText"/>
            </w:pPr>
            <w:r w:rsidRPr="00FC2993">
              <w:t>Graphs of trigonometric functions e.g.: V=Vmsin</w:t>
            </w:r>
            <w:r w:rsidRPr="00FC2993">
              <w:rPr>
                <w:rStyle w:val="Symbols"/>
              </w:rPr>
              <w:t></w:t>
            </w:r>
            <w:r w:rsidRPr="00FC2993">
              <w:t>,I=Imcos</w:t>
            </w:r>
            <w:r w:rsidRPr="00FC2993">
              <w:rPr>
                <w:rStyle w:val="Symbols"/>
              </w:rPr>
              <w:t></w:t>
            </w:r>
          </w:p>
          <w:p w:rsidR="00000000" w:rsidRPr="00FC2993" w:rsidP="00FC2993">
            <w:pPr>
              <w:pStyle w:val="ListBullet"/>
            </w:pPr>
            <w:r w:rsidRPr="00FC2993">
              <w:t>Addition of equations such as: vsin</w:t>
            </w:r>
            <w:r w:rsidRPr="00FC2993">
              <w:rPr>
                <w:rStyle w:val="Symbols"/>
              </w:rPr>
              <w:t></w:t>
            </w:r>
            <w:r w:rsidRPr="00FC2993">
              <w:t xml:space="preserve"> + usin( </w:t>
            </w:r>
            <w:r w:rsidRPr="00FC2993">
              <w:rPr>
                <w:rStyle w:val="Symbols"/>
              </w:rPr>
              <w:t></w:t>
            </w:r>
            <w:r w:rsidRPr="00FC2993">
              <w:t xml:space="preserve"> + </w:t>
            </w:r>
            <w:r w:rsidRPr="00FC2993">
              <w:rPr>
                <w:rStyle w:val="Symbols"/>
              </w:rPr>
              <w:t></w:t>
            </w:r>
            <w:r w:rsidRPr="00FC2993">
              <w:rPr>
                <w:rStyle w:val="Symbols"/>
              </w:rPr>
              <w:t></w:t>
            </w:r>
            <w:r w:rsidRPr="00FC2993">
              <w:t>) graphically</w:t>
            </w:r>
          </w:p>
          <w:p w:rsidR="00000000" w:rsidRPr="00FC2993" w:rsidP="00FC2993">
            <w:pPr>
              <w:pStyle w:val="ListBullet"/>
            </w:pPr>
            <w:r w:rsidRPr="00FC2993">
              <w:t>Simpson’s Rule to determine the average and root mean square values of a sinusoidal waveform</w:t>
            </w:r>
          </w:p>
          <w:p w:rsidR="00000000" w:rsidRPr="00FC2993" w:rsidP="00FC2993">
            <w:pPr>
              <w:pStyle w:val="BodyText"/>
            </w:pPr>
            <w:r w:rsidRPr="00FC2993">
              <w:t>T11</w:t>
            </w:r>
            <w:r w:rsidRPr="00FC2993">
              <w:tab/>
              <w:t>Statis</w:t>
            </w:r>
            <w:r w:rsidRPr="00FC2993">
              <w:t>tical data presentation encompassing:</w:t>
            </w:r>
          </w:p>
          <w:p w:rsidR="00000000" w:rsidRPr="00FC2993" w:rsidP="00FC2993">
            <w:pPr>
              <w:pStyle w:val="ListBullet"/>
            </w:pPr>
            <w:r w:rsidRPr="00FC2993">
              <w:t>Appropriate presentation of frequency tables, histograms, polygons, stem and leaf plots</w:t>
            </w:r>
          </w:p>
          <w:p w:rsidR="00000000" w:rsidRPr="00FC2993" w:rsidP="00FC2993">
            <w:pPr>
              <w:pStyle w:val="ListBullet"/>
            </w:pPr>
            <w:r w:rsidRPr="00FC2993">
              <w:t>Advantages of different visual presentations</w:t>
            </w:r>
          </w:p>
          <w:p w:rsidR="00000000" w:rsidRPr="00FC2993" w:rsidP="00FC2993">
            <w:pPr>
              <w:pStyle w:val="BodyText"/>
            </w:pPr>
            <w:r w:rsidRPr="00FC2993">
              <w:t>T12</w:t>
            </w:r>
            <w:r w:rsidRPr="00FC2993">
              <w:tab/>
              <w:t>Appropriate sampling techniques for gathering data encompassing:</w:t>
            </w:r>
          </w:p>
          <w:p w:rsidR="00000000" w:rsidRPr="00FC2993" w:rsidP="00FC2993">
            <w:pPr>
              <w:pStyle w:val="ListBullet"/>
            </w:pPr>
            <w:r w:rsidRPr="00FC2993">
              <w:t>Design of surveys and census</w:t>
            </w:r>
          </w:p>
          <w:p w:rsidR="00000000" w:rsidRPr="00FC2993" w:rsidP="00FC2993">
            <w:pPr>
              <w:pStyle w:val="ListBullet"/>
            </w:pPr>
            <w:r w:rsidRPr="00FC2993">
              <w:t>Sample data using correct technique</w:t>
            </w:r>
          </w:p>
          <w:p w:rsidR="00000000" w:rsidRPr="00FC2993" w:rsidP="00FC2993">
            <w:pPr>
              <w:pStyle w:val="BodyText"/>
            </w:pPr>
            <w:r w:rsidRPr="00FC2993">
              <w:t>T13</w:t>
            </w:r>
            <w:r w:rsidRPr="00FC2993">
              <w:tab/>
              <w:t>Use of the measures of central tendency encompassing:</w:t>
            </w:r>
          </w:p>
          <w:p w:rsidR="00000000" w:rsidRPr="00FC2993" w:rsidP="00FC2993">
            <w:pPr>
              <w:pStyle w:val="ListBullet"/>
            </w:pPr>
            <w:r w:rsidRPr="00FC2993">
              <w:t>Estimation of percentiles and deciles from cumulative frequency polygons (ogives)</w:t>
            </w:r>
          </w:p>
          <w:p w:rsidR="00000000" w:rsidRPr="00FC2993" w:rsidP="00FC2993">
            <w:pPr>
              <w:pStyle w:val="ListBullet"/>
            </w:pPr>
            <w:r w:rsidRPr="00FC2993">
              <w:t>Interpreting data from tables and graphs including</w:t>
            </w:r>
            <w:r w:rsidRPr="00FC2993">
              <w:t xml:space="preserve"> interpolation and extrapolation</w:t>
            </w:r>
          </w:p>
          <w:p w:rsidR="00000000" w:rsidRPr="00FC2993" w:rsidP="00FC2993">
            <w:pPr>
              <w:pStyle w:val="ListBullet"/>
            </w:pPr>
            <w:r w:rsidRPr="00FC2993">
              <w:t>Analysing misleading graphs</w:t>
            </w:r>
          </w:p>
          <w:p w:rsidR="00000000" w:rsidRPr="00FC2993" w:rsidP="00FC2993">
            <w:pPr>
              <w:pStyle w:val="BodyText"/>
            </w:pPr>
            <w:r w:rsidRPr="00FC2993">
              <w:t>T14</w:t>
            </w:r>
            <w:r w:rsidRPr="00FC2993">
              <w:tab/>
              <w:t>Measures of dispersion in statistical presentations encompassing:</w:t>
            </w:r>
          </w:p>
          <w:p w:rsidR="00000000" w:rsidRPr="00FC2993" w:rsidP="00FC2993">
            <w:pPr>
              <w:pStyle w:val="ListBullet"/>
            </w:pPr>
            <w:r w:rsidRPr="00FC2993">
              <w:t>Box-and-whisker graphs</w:t>
            </w:r>
          </w:p>
          <w:p w:rsidR="00000000" w:rsidRPr="00FC2993" w:rsidP="00FC2993">
            <w:pPr>
              <w:pStyle w:val="ListBullet"/>
            </w:pPr>
            <w:r w:rsidRPr="00FC2993">
              <w:t>Measures of dispersion using variance and standard deviation</w:t>
            </w:r>
          </w:p>
          <w:p w:rsidR="00000000" w:rsidRPr="00FC2993" w:rsidP="00FC2993">
            <w:pPr>
              <w:pStyle w:val="ListBullet"/>
            </w:pPr>
            <w:r w:rsidRPr="00FC2993">
              <w:t>Standardised scores including Z-scores</w:t>
            </w:r>
          </w:p>
          <w:p w:rsidR="00000000" w:rsidRPr="00FC2993" w:rsidP="00FC2993">
            <w:pPr>
              <w:pStyle w:val="BodyText"/>
            </w:pPr>
            <w:r w:rsidRPr="00FC2993">
              <w:t>T</w:t>
            </w:r>
            <w:r w:rsidRPr="00FC2993">
              <w:t>15</w:t>
            </w:r>
            <w:r w:rsidRPr="00FC2993">
              <w:tab/>
              <w:t>Correlation and regression techniques encompassing:</w:t>
            </w:r>
          </w:p>
          <w:p w:rsidR="00000000" w:rsidRPr="00FC2993" w:rsidP="00FC2993">
            <w:pPr>
              <w:pStyle w:val="ListBullet"/>
            </w:pPr>
            <w:r w:rsidRPr="00FC2993">
              <w:t>Interpreting scatter plots</w:t>
            </w:r>
          </w:p>
          <w:p w:rsidR="00000000" w:rsidRPr="00FC2993" w:rsidP="00FC2993">
            <w:pPr>
              <w:pStyle w:val="ListBullet"/>
            </w:pPr>
            <w:r w:rsidRPr="00FC2993">
              <w:t>Correlation coefficients</w:t>
            </w:r>
          </w:p>
          <w:p w:rsidR="00000000" w:rsidRPr="00FC2993" w:rsidP="00FC2993">
            <w:pPr>
              <w:pStyle w:val="ListBullet"/>
            </w:pPr>
            <w:r w:rsidRPr="00FC2993">
              <w:t>Calculate the regression equation and use for prediction purposes</w:t>
            </w:r>
          </w:p>
          <w:p w:rsidR="00000000" w:rsidRPr="00FC2993" w:rsidP="00FC2993">
            <w:pPr>
              <w:pStyle w:val="BodyText"/>
            </w:pPr>
            <w:r w:rsidRPr="00FC2993">
              <w:t>T16</w:t>
            </w:r>
            <w:r w:rsidRPr="00FC2993">
              <w:tab/>
              <w:t>Elementary probability theory encompassing:</w:t>
            </w:r>
          </w:p>
          <w:p w:rsidR="00000000" w:rsidRPr="00FC2993" w:rsidP="00FC2993">
            <w:pPr>
              <w:pStyle w:val="ListBullet"/>
            </w:pPr>
            <w:r w:rsidRPr="00FC2993">
              <w:t>Probabilities in everyday situati</w:t>
            </w:r>
            <w:r w:rsidRPr="00FC2993">
              <w:t>ons</w:t>
            </w:r>
          </w:p>
          <w:p w:rsidR="00000000" w:rsidRPr="00FC2993" w:rsidP="00FC2993">
            <w:pPr>
              <w:pStyle w:val="ListBullet"/>
            </w:pPr>
            <w:r w:rsidRPr="00FC2993">
              <w:t>Counting techniques: factorials; permutations; combinations</w:t>
            </w:r>
          </w:p>
          <w:p w:rsidR="00000000" w:rsidRPr="00FC2993" w:rsidP="00FC2993">
            <w:pPr>
              <w:pStyle w:val="BodyText"/>
            </w:pPr>
            <w:r w:rsidRPr="00FC2993">
              <w:t>T17</w:t>
            </w:r>
            <w:r w:rsidRPr="00FC2993">
              <w:tab/>
              <w:t>Paschal’s Triangle and the Normal Curve encompassing:</w:t>
            </w:r>
          </w:p>
          <w:p w:rsidR="00000000" w:rsidRPr="00FC2993" w:rsidP="00FC2993">
            <w:pPr>
              <w:pStyle w:val="ListBullet"/>
            </w:pPr>
            <w:r w:rsidRPr="00FC2993">
              <w:t>Paschal’s triangle</w:t>
            </w:r>
          </w:p>
          <w:p w:rsidR="00000000" w:rsidRPr="00FC2993" w:rsidP="00FC2993">
            <w:pPr>
              <w:pStyle w:val="ListBullet"/>
            </w:pPr>
            <w:r w:rsidRPr="00FC2993">
              <w:t>Characteristics of the normal curve</w:t>
            </w:r>
          </w:p>
          <w:p w:rsidR="00000000" w:rsidRPr="00FC2993" w:rsidP="00FC2993">
            <w:pPr>
              <w:pStyle w:val="ListBullet"/>
            </w:pPr>
            <w:r w:rsidRPr="00FC2993">
              <w:t>Standard Deviation and applications to everyday occurrences</w:t>
            </w:r>
          </w:p>
          <w:p w:rsidR="00000000" w:rsidRPr="00FC2993" w:rsidP="00FC2993">
            <w:pPr>
              <w:pStyle w:val="ListBullet"/>
            </w:pPr>
            <w:r w:rsidRPr="00FC2993">
              <w:t>Probabilities using the normal curve</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10" w:name="O_417867"/>
      <w:bookmarkEnd w:id="10"/>
      <w:r w:rsidRPr="00FC2993">
        <w:t>Evidence Guide</w:t>
      </w:r>
    </w:p>
    <w:tbl>
      <w:tblPr>
        <w:tblW w:w="0" w:type="auto"/>
        <w:tblLayout w:type="fixed"/>
        <w:tblCellMar>
          <w:left w:w="62" w:type="dxa"/>
          <w:right w:w="62" w:type="dxa"/>
        </w:tblCellMar>
        <w:tblLook w:val="0000"/>
      </w:tblPr>
      <w:tblGrid>
        <w:gridCol w:w="8460"/>
      </w:tblGrid>
      <w:tr w:rsidTr="00E73819">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EVIDENCE GUIDE</w:t>
            </w:r>
          </w:p>
        </w:tc>
      </w:tr>
      <w:tr w:rsidTr="00E738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9)</w:t>
            </w:r>
            <w:r w:rsidRPr="00FC2993">
              <w:t xml:space="preserve"> The evidence guide provides advice on assessment and must be read in conjunction with the Performance </w:t>
            </w:r>
            <w:r w:rsidRPr="00FC2993">
              <w:t xml:space="preserve">Criteria, Required Skills and Knowledge, the Range Statement and the Assessment Guidelines for this Training Package. </w:t>
            </w:r>
          </w:p>
          <w:p w:rsidR="00000000" w:rsidRPr="00FC2993" w:rsidP="00FC2993">
            <w:pPr>
              <w:pStyle w:val="BodyText"/>
            </w:pPr>
            <w:r w:rsidRPr="00FC2993">
              <w:t>The Evidence Guide forms an integral part of this unit. It must be used in conjunction with all parts of the unit and performed in accord</w:t>
            </w:r>
            <w:r w:rsidRPr="00FC2993">
              <w:t>ance with the Assessment Guidelines of this Training Package.</w:t>
            </w:r>
          </w:p>
        </w:tc>
      </w:tr>
    </w:tbl>
    <w:p w:rsidR="00000000" w:rsidRPr="00FC2993" w:rsidP="00FC2993">
      <w:pPr>
        <w:pStyle w:val="BodyText"/>
      </w:pPr>
    </w:p>
    <w:tbl>
      <w:tblPr>
        <w:tblW w:w="0" w:type="auto"/>
        <w:tblLayout w:type="fixed"/>
        <w:tblCellMar>
          <w:left w:w="62" w:type="dxa"/>
          <w:right w:w="62" w:type="dxa"/>
        </w:tblCellMar>
        <w:tblLook w:val="0000"/>
      </w:tblPr>
      <w:tblGrid>
        <w:gridCol w:w="1890"/>
        <w:gridCol w:w="6570"/>
      </w:tblGrid>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9.1)</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Longitudinal competency development approaches to assessment, such as Profiling, require data to be reliably gathered in a form that can be consistently interpret</w:t>
            </w:r>
            <w:r w:rsidRPr="00FC2993">
              <w:t xml:space="preserve">ed over time. This approach is best utilised in Apprenticeship programs and reduces assessment intervention. It is the industry-preferred model for apprenticeships. However, where summative (or final) assessment is used it is to include the application of </w:t>
            </w:r>
            <w:r w:rsidRPr="00FC2993">
              <w:t>the competency in the normal work environment or, at a minimum, the application of the competency in a realistically simulated work environment. It is recognised that, in some circumstances, assessment in part or full can occur outside the workplace. Howev</w:t>
            </w:r>
            <w:r w:rsidRPr="00FC2993">
              <w:t>er, it must be in accordance with industry and regulatory policy.</w:t>
            </w:r>
          </w:p>
          <w:p w:rsidR="00000000" w:rsidRPr="00FC2993" w:rsidP="00FC2993">
            <w:pPr>
              <w:pStyle w:val="BodyText"/>
            </w:pPr>
            <w:r w:rsidRPr="00FC2993">
              <w:t>Methods chosen for a particular assessment will be influenced by various factors. These include the extent of the assessment, the most effective locations for the assessment activities to ta</w:t>
            </w:r>
            <w:r w:rsidRPr="00FC2993">
              <w:t>ke place, access to physical resources, additional safety measures that may be required and the critical nature of the competencies being assessed.</w:t>
            </w:r>
          </w:p>
          <w:p w:rsidR="00000000" w:rsidRPr="00FC2993" w:rsidP="00FC2993">
            <w:pPr>
              <w:pStyle w:val="BodyText"/>
            </w:pPr>
            <w:r w:rsidRPr="00FC2993">
              <w:t>The critical safety nature of working with electricity, electrical equipment, gas or any other hazardous sub</w:t>
            </w:r>
            <w:r w:rsidRPr="00FC2993">
              <w:t>stance/material carries risk in deeming a person competent. Sources of evidence need to be ‘rich’ in nature to minimise error in judgment.</w:t>
            </w:r>
          </w:p>
          <w:p w:rsidR="00000000" w:rsidRPr="00FC2993" w:rsidP="00FC2993">
            <w:pPr>
              <w:pStyle w:val="BodyText"/>
            </w:pPr>
            <w:r w:rsidRPr="00FC2993">
              <w:t>Activities associated with normal everyday work have a bearing on the decision as to how much and how detailed the data gathered will contribute to its ‘richness’. Some skills are more critical to safety and operational requirements while the same skills m</w:t>
            </w:r>
            <w:r w:rsidRPr="00FC2993">
              <w:t>ay be more or less frequently practised. These points are raised for the assessors to consider when choosing an assessment method and developing assessment instruments. Sample assessment instruments are included for Assessors in the Assessment Guidelines o</w:t>
            </w:r>
            <w:r w:rsidRPr="00FC2993">
              <w:t>f this Training Package.</w:t>
            </w:r>
          </w:p>
        </w:tc>
      </w:tr>
    </w:tbl>
    <w:p w:rsidR="00000000" w:rsidRPr="00FC2993" w:rsidP="00FC2993">
      <w:pPr>
        <w:pStyle w:val="BodyText"/>
      </w:pPr>
    </w:p>
    <w:tbl>
      <w:tblPr>
        <w:tblW w:w="0" w:type="auto"/>
        <w:tblLayout w:type="fixed"/>
        <w:tblCellMar>
          <w:left w:w="62" w:type="dxa"/>
          <w:right w:w="62" w:type="dxa"/>
        </w:tblCellMar>
        <w:tblLook w:val="0000"/>
      </w:tblPr>
      <w:tblGrid>
        <w:gridCol w:w="1890"/>
        <w:gridCol w:w="1530"/>
        <w:gridCol w:w="5040"/>
      </w:tblGrid>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9.2)</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Before the critical aspects of evidence are considered all prerequisites must be met.</w:t>
            </w:r>
          </w:p>
          <w:p w:rsidR="00000000" w:rsidRPr="00FC2993" w:rsidP="00FC2993">
            <w:pPr>
              <w:pStyle w:val="BodyText"/>
            </w:pPr>
            <w:r w:rsidRPr="00FC2993">
              <w:t>Evidence for competence in this unit shall be considered h</w:t>
            </w:r>
            <w:r w:rsidRPr="00FC2993">
              <w:t>olistically.  Each element and associated performance criteria shall be demonstrated on at least two occasions in accordance with the ‘Assessment Guidelines – UEE11’.  Evidence shall also comprise:</w:t>
            </w:r>
          </w:p>
          <w:p w:rsidR="00000000" w:rsidRPr="00FC2993" w:rsidP="00FC2993">
            <w:pPr>
              <w:pStyle w:val="ListBullet"/>
            </w:pPr>
            <w:r w:rsidRPr="00FC2993">
              <w:t>A representative body of work performance demonstrated wi</w:t>
            </w:r>
            <w:r w:rsidRPr="00FC2993">
              <w:t>thin the timeframes typically expected of the discipline, work function and industrial environment. In particular this shall incorporate evidence that shows a candidate is able to:</w:t>
            </w:r>
          </w:p>
          <w:p w:rsidR="00000000" w:rsidRPr="00FC2993" w:rsidP="00FC2993">
            <w:pPr>
              <w:pStyle w:val="ListBullet2"/>
            </w:pPr>
            <w:r w:rsidRPr="00FC2993">
              <w:t>Implement Occupational Health and Safety workplace procedures and practices, including the use of risk control measures as specified in the performance criteria and range statement</w:t>
            </w:r>
          </w:p>
          <w:p w:rsidR="00000000" w:rsidRPr="00FC2993" w:rsidP="00FC2993">
            <w:pPr>
              <w:pStyle w:val="ListBullet2"/>
            </w:pPr>
            <w:r w:rsidRPr="00FC2993">
              <w:t>Apply sustainable energy principles and practices as specified in the perfo</w:t>
            </w:r>
            <w:r w:rsidRPr="00FC2993">
              <w:t>rmance criteria and range statement</w:t>
            </w:r>
          </w:p>
          <w:p w:rsidR="00000000" w:rsidRPr="00FC2993" w:rsidP="00FC2993">
            <w:pPr>
              <w:pStyle w:val="ListBullet2"/>
            </w:pPr>
            <w:r w:rsidRPr="00FC2993">
              <w:t>Demonstrate an understanding of the essential knowledge and associated skills as described in this unit.  It may be required by some jurisdictions that RTOs provide a percentile graded result for the purpose of regulator</w:t>
            </w:r>
            <w:r w:rsidRPr="00FC2993">
              <w:t xml:space="preserve">y or licensing requirements.   </w:t>
            </w:r>
          </w:p>
          <w:p w:rsidR="00000000" w:rsidRPr="00FC2993" w:rsidP="00FC2993">
            <w:pPr>
              <w:pStyle w:val="ListBullet2"/>
            </w:pPr>
            <w:r w:rsidRPr="00FC2993">
              <w:t>Demonstrate an appropriate level of skills enabling employment</w:t>
            </w:r>
          </w:p>
          <w:p w:rsidR="00000000" w:rsidRPr="00FC2993" w:rsidP="00FC2993">
            <w:pPr>
              <w:pStyle w:val="ListBullet2"/>
            </w:pPr>
            <w:r w:rsidRPr="00FC2993">
              <w:t>Conduct work observing the relevant Anti Discrimination legislation, regulations, polices and workplace procedures</w:t>
            </w:r>
          </w:p>
          <w:p w:rsidR="00000000" w:rsidRPr="00FC2993" w:rsidP="00FC2993">
            <w:pPr>
              <w:pStyle w:val="ListBullet"/>
            </w:pPr>
            <w:r w:rsidRPr="00FC2993">
              <w:t xml:space="preserve">Demonstrated consistent performance across a </w:t>
            </w:r>
            <w:r w:rsidRPr="00FC2993">
              <w:t>representative range of contexts from the prescribed items below:</w:t>
            </w:r>
          </w:p>
          <w:p w:rsidR="00000000" w:rsidP="00FC2993">
            <w:pPr>
              <w:pStyle w:val="ListBullet2"/>
              <w:rPr>
                <w:lang w:val="en-NZ"/>
              </w:rPr>
            </w:pPr>
            <w:r w:rsidRPr="00FC2993">
              <w:t>Apply computation when using equipment/materials/concepts in an electrotechnology environment as described in 8) and including:</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A</w:t>
            </w:r>
          </w:p>
        </w:tc>
        <w:tc>
          <w:tcPr>
            <w:tcW w:w="504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Understanding work instruction.</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B</w:t>
            </w:r>
          </w:p>
        </w:tc>
        <w:tc>
          <w:tcPr>
            <w:tcW w:w="504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Obtaini</w:t>
            </w:r>
            <w:r w:rsidRPr="00FC2993">
              <w:t>ng and checking tools and equipment.</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C</w:t>
            </w:r>
          </w:p>
        </w:tc>
        <w:tc>
          <w:tcPr>
            <w:tcW w:w="504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Following work schedules.</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D</w:t>
            </w:r>
          </w:p>
        </w:tc>
        <w:tc>
          <w:tcPr>
            <w:tcW w:w="504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Applying computations accurately.</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E</w:t>
            </w:r>
          </w:p>
        </w:tc>
        <w:tc>
          <w:tcPr>
            <w:tcW w:w="504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Returning tools and surplus resources as required.</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F</w:t>
            </w:r>
          </w:p>
        </w:tc>
        <w:tc>
          <w:tcPr>
            <w:tcW w:w="504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Updating work records.</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G</w:t>
            </w:r>
          </w:p>
        </w:tc>
        <w:tc>
          <w:tcPr>
            <w:tcW w:w="504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t>Dealing with unplanned events by draw</w:t>
            </w:r>
            <w:r w:rsidRPr="00FC2993">
              <w:t>ing on essential knowledge and skills to provide appropriate solutions incorporated in a holistic assessment with the above listed items.</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 xml:space="preserve">Note: </w:t>
            </w:r>
            <w:r w:rsidRPr="00FC2993">
              <w:br/>
              <w:t>Successful completion of relevant vendor training may be used to contribute to evidence on which competency i</w:t>
            </w:r>
            <w:r w:rsidRPr="00FC2993">
              <w:t>s deemed. In these cases the alignment of outcomes of vendor training with performance criteria and critical aspects of evidence shall be clearly identified.</w:t>
            </w:r>
          </w:p>
        </w:tc>
      </w:tr>
    </w:tbl>
    <w:p w:rsidR="00000000" w:rsidRPr="00FC2993" w:rsidP="00FC2993">
      <w:pPr>
        <w:pStyle w:val="BodyText"/>
      </w:pPr>
    </w:p>
    <w:tbl>
      <w:tblPr>
        <w:tblW w:w="0" w:type="auto"/>
        <w:tblLayout w:type="fixed"/>
        <w:tblCellMar>
          <w:left w:w="62" w:type="dxa"/>
          <w:right w:w="62" w:type="dxa"/>
        </w:tblCellMar>
        <w:tblLook w:val="0000"/>
      </w:tblPr>
      <w:tblGrid>
        <w:gridCol w:w="1890"/>
        <w:gridCol w:w="6570"/>
      </w:tblGrid>
      <w:tr w:rsidTr="00E7381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9.3)</w:t>
            </w:r>
          </w:p>
        </w:tc>
      </w:tr>
      <w:tr w:rsidTr="00E7381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This unit should be assessed as it relates to normal work practice using procedures, information and resources typical of a workplace. This should include:</w:t>
            </w:r>
          </w:p>
          <w:p w:rsidR="00000000" w:rsidRPr="00FC2993" w:rsidP="00FC2993">
            <w:pPr>
              <w:pStyle w:val="ListBullet"/>
            </w:pPr>
            <w:r w:rsidRPr="00FC2993">
              <w:t>OHS policy and work procedures and instructions.</w:t>
            </w:r>
          </w:p>
          <w:p w:rsidR="00000000" w:rsidRPr="00FC2993" w:rsidP="00FC2993">
            <w:pPr>
              <w:pStyle w:val="ListBullet"/>
            </w:pPr>
            <w:r w:rsidRPr="00FC2993">
              <w:t>Suitable work environment, facilities, equipment a</w:t>
            </w:r>
            <w:r w:rsidRPr="00FC2993">
              <w:t>nd materials to undertake actual work as prescribed in this unit.</w:t>
            </w:r>
          </w:p>
          <w:p w:rsidR="00000000" w:rsidRPr="00FC2993" w:rsidP="00FC2993">
            <w:pPr>
              <w:pStyle w:val="BodyText"/>
            </w:pPr>
            <w:r w:rsidRPr="00FC2993">
              <w:t>These should be used in the formal learning/assessment environment.</w:t>
            </w:r>
          </w:p>
          <w:p w:rsidR="00000000" w:rsidRPr="00FC2993" w:rsidP="00FC2993">
            <w:pPr>
              <w:pStyle w:val="BodyText"/>
            </w:pPr>
            <w:r w:rsidRPr="00FC2993">
              <w:t>Note:</w:t>
            </w:r>
          </w:p>
          <w:p w:rsidR="00000000" w:rsidRPr="00FC2993" w:rsidP="00FC2993">
            <w:pPr>
              <w:pStyle w:val="BodyText"/>
            </w:pPr>
            <w:r w:rsidRPr="00FC2993">
              <w:t>Where simulation is considered a suit</w:t>
            </w:r>
            <w:r w:rsidRPr="00FC2993">
              <w:t>able strategy for assessment, conditions for assessment must be authentic and as far as possible reproduce and replicate the workplace and be consistent with the approved industry simulation policy.</w:t>
            </w:r>
          </w:p>
          <w:p w:rsidR="00000000" w:rsidRPr="00FC2993" w:rsidP="00FC2993">
            <w:pPr>
              <w:pStyle w:val="BodyText"/>
            </w:pPr>
            <w:r w:rsidRPr="00FC2993">
              <w:t>In addition to the resources listed above in Context of a</w:t>
            </w:r>
            <w:r w:rsidRPr="00FC2993">
              <w:t>nd specific resources for assessment, evidence should show demonstrated competency in applying computation when using equipment/materials/concepts in an energy sector environment.</w:t>
            </w:r>
          </w:p>
        </w:tc>
      </w:tr>
    </w:tbl>
    <w:p w:rsidR="00000000" w:rsidRPr="00FC2993" w:rsidP="00FC2993">
      <w:pPr>
        <w:pStyle w:val="BodyText"/>
      </w:pPr>
    </w:p>
    <w:tbl>
      <w:tblPr>
        <w:tblW w:w="0" w:type="auto"/>
        <w:tblLayout w:type="fixed"/>
        <w:tblCellMar>
          <w:left w:w="62" w:type="dxa"/>
          <w:right w:w="62" w:type="dxa"/>
        </w:tblCellMar>
        <w:tblLook w:val="0000"/>
      </w:tblPr>
      <w:tblGrid>
        <w:gridCol w:w="1890"/>
        <w:gridCol w:w="6570"/>
      </w:tblGrid>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9.4)</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This unit shall be assessed by methods given in Volume 1, Part 3 ‘Assessment Guidelines’.</w:t>
            </w:r>
          </w:p>
          <w:p w:rsidR="00000000" w:rsidRPr="00FC2993" w:rsidP="00FC2993">
            <w:pPr>
              <w:pStyle w:val="BodyText"/>
            </w:pPr>
            <w:r w:rsidRPr="00FC2993">
              <w:t xml:space="preserve">Note: </w:t>
            </w:r>
          </w:p>
          <w:p w:rsidR="00000000" w:rsidRPr="00FC2993" w:rsidP="00FC2993">
            <w:pPr>
              <w:pStyle w:val="BodyText"/>
            </w:pPr>
            <w:r w:rsidRPr="00FC2993">
              <w:t>Competent performance with inherent safe working practices is expected in the Industry to which this unit applies. This requires that the specified essential k</w:t>
            </w:r>
            <w:r w:rsidRPr="00FC2993">
              <w:t>nowledge and associated skills are assessed in a structured environment which is primarily intended for learning/assessment and incorporates all necessary equipment and facilities for learners to develop and demonstrate the essential knowledge and skills d</w:t>
            </w:r>
            <w:r w:rsidRPr="00FC2993">
              <w:t>escribed in this unit.</w:t>
            </w:r>
          </w:p>
        </w:tc>
      </w:tr>
    </w:tbl>
    <w:p w:rsidR="00000000" w:rsidRPr="00FC2993" w:rsidP="00FC2993">
      <w:pPr>
        <w:pStyle w:val="BodyText"/>
      </w:pPr>
    </w:p>
    <w:tbl>
      <w:tblPr>
        <w:tblW w:w="0" w:type="auto"/>
        <w:tblLayout w:type="fixed"/>
        <w:tblCellMar>
          <w:left w:w="62" w:type="dxa"/>
          <w:right w:w="62" w:type="dxa"/>
        </w:tblCellMar>
        <w:tblLook w:val="0000"/>
      </w:tblPr>
      <w:tblGrid>
        <w:gridCol w:w="1890"/>
        <w:gridCol w:w="6570"/>
      </w:tblGrid>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9.5)</w:t>
            </w:r>
          </w:p>
        </w:tc>
      </w:tr>
      <w:tr w:rsidTr="00E738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There are no concurrent assessment recommendations for this unit.</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11" w:name="O_417871"/>
      <w:bookmarkEnd w:id="11"/>
      <w:r w:rsidRPr="00FC2993">
        <w:t>Range Statement</w:t>
      </w:r>
    </w:p>
    <w:tbl>
      <w:tblPr>
        <w:tblW w:w="0" w:type="auto"/>
        <w:tblLayout w:type="fixed"/>
        <w:tblCellMar>
          <w:left w:w="62" w:type="dxa"/>
          <w:right w:w="62" w:type="dxa"/>
        </w:tblCellMar>
        <w:tblLook w:val="0000"/>
      </w:tblPr>
      <w:tblGrid>
        <w:gridCol w:w="8460"/>
      </w:tblGrid>
      <w:tr w:rsidTr="00E738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RANGE STATEMENT</w:t>
            </w:r>
          </w:p>
        </w:tc>
      </w:tr>
      <w:tr w:rsidTr="00E738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10)</w:t>
            </w:r>
            <w:r w:rsidRPr="00FC2993">
              <w:t xml:space="preserve"> This relates to the unit as a whole providing the range of contexts and conditions to which the performance criteria apply. It allows for different work environments and situations that will affect performance.</w:t>
            </w:r>
          </w:p>
          <w:p w:rsidR="00000000" w:rsidRPr="00FC2993" w:rsidP="00FC2993">
            <w:pPr>
              <w:pStyle w:val="BodyText"/>
            </w:pPr>
            <w:r w:rsidRPr="00FC2993">
              <w:t xml:space="preserve">This unit shall be demonstrated in relation </w:t>
            </w:r>
            <w:r w:rsidRPr="00FC2993">
              <w:t>to applying computation when using equipment/materials/concepts in an energy sector environment work activities in any of the following disciplines:</w:t>
            </w:r>
          </w:p>
          <w:p w:rsidR="00000000" w:rsidRPr="00FC2993" w:rsidP="00FC2993">
            <w:pPr>
              <w:pStyle w:val="ListBullet3"/>
            </w:pPr>
            <w:r w:rsidRPr="00FC2993">
              <w:t>Appliances</w:t>
            </w:r>
          </w:p>
          <w:p w:rsidR="00000000" w:rsidRPr="00FC2993" w:rsidP="00FC2993">
            <w:pPr>
              <w:pStyle w:val="ListBullet3"/>
            </w:pPr>
            <w:r w:rsidRPr="00FC2993">
              <w:t>Business equipment</w:t>
            </w:r>
          </w:p>
          <w:p w:rsidR="00000000" w:rsidRPr="00FC2993" w:rsidP="00FC2993">
            <w:pPr>
              <w:pStyle w:val="ListBullet3"/>
            </w:pPr>
            <w:r w:rsidRPr="00FC2993">
              <w:t xml:space="preserve">Computers </w:t>
            </w:r>
          </w:p>
          <w:p w:rsidR="00000000" w:rsidRPr="00FC2993" w:rsidP="00FC2993">
            <w:pPr>
              <w:pStyle w:val="ListBullet3"/>
            </w:pPr>
            <w:r w:rsidRPr="00FC2993">
              <w:t>Data Communications</w:t>
            </w:r>
          </w:p>
          <w:p w:rsidR="00000000" w:rsidRPr="00FC2993" w:rsidP="00FC2993">
            <w:pPr>
              <w:pStyle w:val="ListBullet3"/>
            </w:pPr>
            <w:r w:rsidRPr="00FC2993">
              <w:t>Electrical</w:t>
            </w:r>
          </w:p>
          <w:p w:rsidR="00000000" w:rsidRPr="00FC2993" w:rsidP="00FC2993">
            <w:pPr>
              <w:pStyle w:val="ListBullet3"/>
            </w:pPr>
            <w:r w:rsidRPr="00FC2993">
              <w:t>Electrical Machines</w:t>
            </w:r>
          </w:p>
          <w:p w:rsidR="00000000" w:rsidRPr="00FC2993" w:rsidP="00FC2993">
            <w:pPr>
              <w:pStyle w:val="ListBullet3"/>
            </w:pPr>
            <w:r w:rsidRPr="00FC2993">
              <w:t>Electronics</w:t>
            </w:r>
          </w:p>
          <w:p w:rsidR="00000000" w:rsidRPr="00FC2993" w:rsidP="00FC2993">
            <w:pPr>
              <w:pStyle w:val="ListBullet3"/>
            </w:pPr>
            <w:r w:rsidRPr="00FC2993">
              <w:t>Fi</w:t>
            </w:r>
            <w:r w:rsidRPr="00FC2993">
              <w:t>re protection</w:t>
            </w:r>
          </w:p>
          <w:p w:rsidR="00000000" w:rsidRPr="00FC2993" w:rsidP="00FC2993">
            <w:pPr>
              <w:pStyle w:val="ListBullet3"/>
            </w:pPr>
            <w:r w:rsidRPr="00FC2993">
              <w:t>Instrumentation</w:t>
            </w:r>
          </w:p>
          <w:p w:rsidR="00000000" w:rsidRPr="00FC2993" w:rsidP="00FC2993">
            <w:pPr>
              <w:pStyle w:val="ListBullet3"/>
            </w:pPr>
            <w:r w:rsidRPr="00FC2993">
              <w:t>Refrigeration and Air Conditioning</w:t>
            </w:r>
          </w:p>
          <w:p w:rsidR="00000000" w:rsidRPr="00FC2993" w:rsidP="00FC2993">
            <w:pPr>
              <w:pStyle w:val="ListBullet3"/>
            </w:pPr>
            <w:r w:rsidRPr="00FC2993">
              <w:t>Renewable / sustainable energy</w:t>
            </w:r>
          </w:p>
          <w:p w:rsidR="00000000" w:rsidRPr="00FC2993" w:rsidP="00FC2993">
            <w:pPr>
              <w:pStyle w:val="ListBullet3"/>
            </w:pPr>
            <w:r w:rsidRPr="00FC2993">
              <w:t>Security technology</w:t>
            </w:r>
          </w:p>
          <w:p w:rsidR="00000000" w:rsidRPr="00FC2993" w:rsidP="00FC2993">
            <w:pPr>
              <w:pStyle w:val="BodyText"/>
            </w:pPr>
            <w:r w:rsidRPr="00FC2993">
              <w:t>Generic terms used throughout this Vocational Standard shall be regarded as part of the Range Statement in which competency is demonstrated. The definition of these and other terms that apply are given in Volume 2, Part 2.1.</w:t>
            </w:r>
          </w:p>
        </w:tc>
      </w:tr>
    </w:tbl>
    <w:p w:rsidR="00000000" w:rsidRPr="00FC2993" w:rsidP="00FC2993">
      <w:pPr>
        <w:pStyle w:val="BodyText"/>
      </w:pPr>
    </w:p>
    <w:p w:rsidR="00000000" w:rsidRPr="00FC2993" w:rsidP="00FC2993">
      <w:pPr>
        <w:pStyle w:val="AllowPageBreak"/>
      </w:pPr>
    </w:p>
    <w:p w:rsidR="00000000" w:rsidRPr="00FC2993" w:rsidP="00FC2993">
      <w:pPr>
        <w:pStyle w:val="Heading1"/>
      </w:pPr>
      <w:bookmarkStart w:id="12" w:name="O_417874"/>
      <w:bookmarkEnd w:id="12"/>
      <w:r w:rsidRPr="00FC2993">
        <w:t>Unit Sector(</w:t>
      </w:r>
      <w:r w:rsidRPr="00FC2993">
        <w:t>s)</w:t>
      </w:r>
    </w:p>
    <w:p w:rsidR="00000000" w:rsidRPr="00FC2993" w:rsidP="00FC2993">
      <w:pPr>
        <w:pStyle w:val="BodyText"/>
      </w:pPr>
      <w:r w:rsidRPr="00FC2993">
        <w:t>Not applicable.</w:t>
      </w:r>
    </w:p>
    <w:p w:rsidR="00000000" w:rsidRPr="00FC2993" w:rsidP="00FC2993">
      <w:pPr>
        <w:pStyle w:val="AllowPageBreak"/>
      </w:pPr>
    </w:p>
    <w:p w:rsidR="00000000" w:rsidRPr="00FC2993" w:rsidP="00FC2993">
      <w:pPr>
        <w:pStyle w:val="Heading1"/>
      </w:pPr>
      <w:bookmarkStart w:id="13" w:name="O_417863"/>
      <w:bookmarkEnd w:id="13"/>
      <w:r w:rsidRPr="00FC2993">
        <w:t>Competency Field</w:t>
      </w:r>
    </w:p>
    <w:tbl>
      <w:tblPr>
        <w:tblW w:w="0" w:type="auto"/>
        <w:tblLayout w:type="fixed"/>
        <w:tblCellMar>
          <w:left w:w="62" w:type="dxa"/>
          <w:right w:w="62" w:type="dxa"/>
        </w:tblCellMar>
        <w:tblLook w:val="0000"/>
      </w:tblPr>
      <w:tblGrid>
        <w:gridCol w:w="2700"/>
        <w:gridCol w:w="5760"/>
      </w:tblGrid>
      <w:tr w:rsidTr="00E738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2993">
            <w:pPr>
              <w:pStyle w:val="BodyText"/>
              <w:rPr>
                <w:lang w:val="en-NZ"/>
              </w:rPr>
            </w:pPr>
            <w:r w:rsidRPr="00FC2993">
              <w:rPr>
                <w:rStyle w:val="SpecialBold"/>
              </w:rPr>
              <w:t xml:space="preserve">11) </w:t>
            </w:r>
          </w:p>
        </w:tc>
      </w:tr>
      <w:tr w:rsidTr="00E738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993" w:rsidP="00FC2993">
            <w:pPr>
              <w:pStyle w:val="BodyText"/>
            </w:pPr>
            <w:r w:rsidRPr="00FC2993">
              <w:t>Electrotechnology</w:t>
            </w:r>
          </w:p>
        </w:tc>
      </w:tr>
    </w:tbl>
    <w:p w:rsidR="00000000" w:rsidRPr="00FC2993" w:rsidP="00FC2993">
      <w:pPr>
        <w:pStyle w:val="BodyText"/>
      </w:pPr>
    </w:p>
    <w:p w:rsidR="00000000" w:rsidRPr="00FC2993" w:rsidP="00FC2993"/>
    <w:sectPr w:rsidSect="00FC29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93" w:rsidRPr="00E73819" w:rsidP="00E73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19" w:rsidP="00FC2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3819" w:rsidP="00FC29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73819" w:rsidP="00FC2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93" w:rsidRPr="00E73819" w:rsidP="00E738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19" w:rsidRPr="002D2AF8" w:rsidP="00FC2993">
    <w:pPr>
      <w:pStyle w:val="Header"/>
      <w:framePr w:wrap="around"/>
    </w:pPr>
    <w:r>
      <w:fldChar w:fldCharType="begin"/>
    </w:r>
    <w:r>
      <w:instrText xml:space="preserve"> TITLE   \* MERGEFORMAT </w:instrText>
    </w:r>
    <w:r>
      <w:fldChar w:fldCharType="separate"/>
    </w:r>
    <w:r>
      <w:t>UEENEEE145A Apply computation when using equipment/materials/concepts in an energy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73819" w:rsidP="00FC2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4A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7AF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EA9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993"/>
    <w:pPr>
      <w:spacing w:before="360" w:after="60"/>
      <w:outlineLvl w:val="0"/>
    </w:pPr>
    <w:rPr>
      <w:sz w:val="32"/>
    </w:rPr>
  </w:style>
  <w:style w:type="paragraph" w:styleId="Heading2">
    <w:name w:val="heading 2"/>
    <w:basedOn w:val="HeadingBase"/>
    <w:next w:val="BodyText"/>
    <w:link w:val="Heading2Char"/>
    <w:qFormat/>
    <w:rsid w:val="00FC2993"/>
    <w:pPr>
      <w:keepLines/>
      <w:spacing w:before="240" w:after="120"/>
      <w:outlineLvl w:val="1"/>
    </w:pPr>
    <w:rPr>
      <w:sz w:val="28"/>
      <w:szCs w:val="40"/>
    </w:rPr>
  </w:style>
  <w:style w:type="paragraph" w:styleId="Heading3">
    <w:name w:val="heading 3"/>
    <w:basedOn w:val="HeadingBase"/>
    <w:next w:val="BodyText"/>
    <w:link w:val="Heading3Char"/>
    <w:qFormat/>
    <w:rsid w:val="00FC2993"/>
    <w:pPr>
      <w:spacing w:before="180" w:after="120"/>
      <w:outlineLvl w:val="2"/>
    </w:pPr>
    <w:rPr>
      <w:spacing w:val="-10"/>
      <w:kern w:val="32"/>
    </w:rPr>
  </w:style>
  <w:style w:type="paragraph" w:styleId="Heading4">
    <w:name w:val="heading 4"/>
    <w:basedOn w:val="HeadingBase"/>
    <w:next w:val="BodyText"/>
    <w:link w:val="Heading4Char"/>
    <w:qFormat/>
    <w:rsid w:val="00FC2993"/>
    <w:pPr>
      <w:spacing w:before="160" w:after="120"/>
      <w:outlineLvl w:val="3"/>
    </w:pPr>
    <w:rPr>
      <w:sz w:val="22"/>
    </w:rPr>
  </w:style>
  <w:style w:type="paragraph" w:styleId="Heading5">
    <w:name w:val="heading 5"/>
    <w:basedOn w:val="HeadingBase"/>
    <w:next w:val="Normal"/>
    <w:link w:val="Heading5Char"/>
    <w:qFormat/>
    <w:rsid w:val="00FC2993"/>
    <w:pPr>
      <w:spacing w:before="80"/>
      <w:outlineLvl w:val="4"/>
    </w:pPr>
    <w:rPr>
      <w:color w:val="918585"/>
      <w:sz w:val="20"/>
    </w:rPr>
  </w:style>
  <w:style w:type="paragraph" w:styleId="Heading6">
    <w:name w:val="heading 6"/>
    <w:basedOn w:val="HeadingBase"/>
    <w:next w:val="Normal"/>
    <w:link w:val="Heading6Char"/>
    <w:qFormat/>
    <w:rsid w:val="00FC2993"/>
    <w:pPr>
      <w:spacing w:before="60"/>
      <w:outlineLvl w:val="5"/>
    </w:pPr>
    <w:rPr>
      <w:color w:val="918585"/>
      <w:sz w:val="20"/>
    </w:rPr>
  </w:style>
  <w:style w:type="paragraph" w:styleId="Heading7">
    <w:name w:val="heading 7"/>
    <w:basedOn w:val="Normal"/>
    <w:next w:val="Normal"/>
    <w:link w:val="Heading7Char"/>
    <w:qFormat/>
    <w:rsid w:val="00FC2993"/>
    <w:pPr>
      <w:ind w:left="720"/>
      <w:outlineLvl w:val="6"/>
    </w:pPr>
    <w:rPr>
      <w:i/>
    </w:rPr>
  </w:style>
  <w:style w:type="paragraph" w:styleId="Heading8">
    <w:name w:val="heading 8"/>
    <w:basedOn w:val="Normal"/>
    <w:next w:val="Normal"/>
    <w:link w:val="Heading8Char"/>
    <w:qFormat/>
    <w:rsid w:val="00FC2993"/>
    <w:pPr>
      <w:ind w:left="720"/>
      <w:outlineLvl w:val="7"/>
    </w:pPr>
    <w:rPr>
      <w:i/>
    </w:rPr>
  </w:style>
  <w:style w:type="paragraph" w:styleId="Heading9">
    <w:name w:val="heading 9"/>
    <w:basedOn w:val="Normal"/>
    <w:next w:val="Normal"/>
    <w:link w:val="Heading9Char"/>
    <w:qFormat/>
    <w:rsid w:val="00FC2993"/>
    <w:pPr>
      <w:ind w:left="720"/>
      <w:outlineLvl w:val="8"/>
    </w:pPr>
    <w:rPr>
      <w:i/>
    </w:rPr>
  </w:style>
  <w:style w:type="character" w:default="1" w:styleId="DefaultParagraphFont">
    <w:name w:val="Default Paragraph Font"/>
    <w:uiPriority w:val="1"/>
    <w:unhideWhenUsed/>
    <w:rsid w:val="00FC2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993"/>
  </w:style>
  <w:style w:type="character" w:customStyle="1" w:styleId="Heading1Char">
    <w:name w:val="Heading 1 Char"/>
    <w:basedOn w:val="DefaultParagraphFont"/>
    <w:link w:val="Heading1"/>
    <w:rsid w:val="00FC2993"/>
    <w:rPr>
      <w:rFonts w:ascii="Times New Roman" w:eastAsia="Times New Roman" w:hAnsi="Times New Roman" w:cs="Times New Roman"/>
      <w:b/>
      <w:sz w:val="32"/>
      <w:szCs w:val="20"/>
      <w:lang w:eastAsia="en-US"/>
    </w:rPr>
  </w:style>
  <w:style w:type="paragraph" w:styleId="BodyText">
    <w:name w:val="Body Text"/>
    <w:basedOn w:val="Normal"/>
    <w:link w:val="BodyTextChar"/>
    <w:rsid w:val="00FC29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993"/>
    <w:rPr>
      <w:rFonts w:ascii="Times New Roman" w:eastAsia="Times New Roman" w:hAnsi="Times New Roman" w:cs="Times New Roman"/>
      <w:sz w:val="24"/>
      <w:lang w:eastAsia="en-US"/>
    </w:rPr>
  </w:style>
  <w:style w:type="paragraph" w:styleId="ListBullet">
    <w:name w:val="List Bullet"/>
    <w:basedOn w:val="List"/>
    <w:rsid w:val="00FC2993"/>
    <w:pPr>
      <w:numPr>
        <w:numId w:val="14"/>
      </w:numPr>
      <w:tabs>
        <w:tab w:val="clear" w:pos="340"/>
      </w:tabs>
      <w:spacing w:before="40" w:after="40"/>
    </w:pPr>
  </w:style>
  <w:style w:type="character" w:customStyle="1" w:styleId="SpecialBold">
    <w:name w:val="Special Bold"/>
    <w:basedOn w:val="DefaultParagraphFont"/>
    <w:rsid w:val="00FC2993"/>
    <w:rPr>
      <w:b/>
      <w:spacing w:val="0"/>
    </w:rPr>
  </w:style>
  <w:style w:type="paragraph" w:styleId="ListBullet2">
    <w:name w:val="List Bullet 2"/>
    <w:basedOn w:val="List2"/>
    <w:rsid w:val="00FC2993"/>
    <w:pPr>
      <w:numPr>
        <w:numId w:val="15"/>
      </w:numPr>
      <w:tabs>
        <w:tab w:val="clear" w:pos="680"/>
      </w:tabs>
    </w:pPr>
  </w:style>
  <w:style w:type="paragraph" w:customStyle="1" w:styleId="SuperHeading">
    <w:name w:val="SuperHeading"/>
    <w:basedOn w:val="Normal"/>
    <w:rsid w:val="00FC2993"/>
    <w:pPr>
      <w:spacing w:before="240" w:after="120"/>
      <w:outlineLvl w:val="0"/>
    </w:pPr>
    <w:rPr>
      <w:rFonts w:ascii="Times New Roman" w:hAnsi="Times New Roman"/>
      <w:b/>
      <w:sz w:val="32"/>
    </w:rPr>
  </w:style>
  <w:style w:type="paragraph" w:customStyle="1" w:styleId="AllowPageBreak">
    <w:name w:val="AllowPageBreak"/>
    <w:rsid w:val="00FC29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2993"/>
    <w:pPr>
      <w:numPr>
        <w:numId w:val="3"/>
      </w:numPr>
      <w:tabs>
        <w:tab w:val="clear" w:pos="1021"/>
      </w:tabs>
      <w:ind w:left="1037" w:hanging="357"/>
    </w:pPr>
  </w:style>
  <w:style w:type="character" w:customStyle="1" w:styleId="Symbols">
    <w:name w:val="Symbols"/>
    <w:basedOn w:val="DefaultParagraphFont"/>
    <w:rsid w:val="00FC2993"/>
    <w:rPr>
      <w:rFonts w:ascii="Symbol" w:hAnsi="Symbol"/>
    </w:rPr>
  </w:style>
  <w:style w:type="character" w:customStyle="1" w:styleId="Heading2Char">
    <w:name w:val="Heading 2 Char"/>
    <w:basedOn w:val="DefaultParagraphFont"/>
    <w:link w:val="Heading2"/>
    <w:rsid w:val="00FC2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993"/>
    <w:rPr>
      <w:rFonts w:ascii="Courier New" w:eastAsia="Times New Roman" w:hAnsi="Courier New" w:cs="Times New Roman"/>
      <w:i/>
      <w:szCs w:val="20"/>
      <w:lang w:eastAsia="en-US"/>
    </w:rPr>
  </w:style>
  <w:style w:type="paragraph" w:customStyle="1" w:styleId="HeadingBase">
    <w:name w:val="Heading Base"/>
    <w:rsid w:val="00FC2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993"/>
    <w:pPr>
      <w:tabs>
        <w:tab w:val="right" w:leader="dot" w:pos="9072"/>
      </w:tabs>
      <w:ind w:left="567"/>
    </w:pPr>
    <w:rPr>
      <w:szCs w:val="22"/>
    </w:rPr>
  </w:style>
  <w:style w:type="paragraph" w:customStyle="1" w:styleId="TOCBase">
    <w:name w:val="TOC Base"/>
    <w:rsid w:val="00FC2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993"/>
    <w:pPr>
      <w:tabs>
        <w:tab w:val="right" w:leader="dot" w:pos="9072"/>
      </w:tabs>
      <w:spacing w:before="40" w:after="40"/>
      <w:ind w:left="284"/>
    </w:pPr>
    <w:rPr>
      <w:rFonts w:ascii="Times New Roman" w:hAnsi="Times New Roman"/>
    </w:rPr>
  </w:style>
  <w:style w:type="paragraph" w:styleId="TOC1">
    <w:name w:val="toc 1"/>
    <w:basedOn w:val="TOCBase"/>
    <w:next w:val="Normal"/>
    <w:rsid w:val="00FC2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993"/>
    <w:rPr>
      <w:rFonts w:ascii="Times New Roman" w:eastAsia="Times New Roman" w:hAnsi="Times New Roman" w:cs="Times New Roman"/>
      <w:sz w:val="16"/>
      <w:lang w:eastAsia="en-US"/>
    </w:rPr>
  </w:style>
  <w:style w:type="paragraph" w:styleId="Title">
    <w:name w:val="Title"/>
    <w:basedOn w:val="HeadingBase"/>
    <w:link w:val="TitleChar"/>
    <w:qFormat/>
    <w:rsid w:val="00FC2993"/>
    <w:pPr>
      <w:spacing w:before="5040"/>
      <w:jc w:val="center"/>
    </w:pPr>
    <w:rPr>
      <w:sz w:val="48"/>
      <w:szCs w:val="72"/>
      <w:lang w:val="en-US"/>
    </w:rPr>
  </w:style>
  <w:style w:type="character" w:customStyle="1" w:styleId="TitleChar">
    <w:name w:val="Title Char"/>
    <w:basedOn w:val="DefaultParagraphFont"/>
    <w:link w:val="Title"/>
    <w:rsid w:val="00FC2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993"/>
    <w:pPr>
      <w:tabs>
        <w:tab w:val="left" w:pos="3600"/>
        <w:tab w:val="left" w:pos="3958"/>
      </w:tabs>
    </w:pPr>
  </w:style>
  <w:style w:type="paragraph" w:styleId="List">
    <w:name w:val="List"/>
    <w:basedOn w:val="BodyText"/>
    <w:next w:val="BodyText"/>
    <w:rsid w:val="00FC2993"/>
    <w:pPr>
      <w:tabs>
        <w:tab w:val="left" w:pos="340"/>
      </w:tabs>
      <w:spacing w:before="60" w:after="60"/>
      <w:ind w:left="340" w:hanging="340"/>
    </w:pPr>
  </w:style>
  <w:style w:type="paragraph" w:customStyle="1" w:styleId="Note">
    <w:name w:val="Note"/>
    <w:basedOn w:val="BodyText"/>
    <w:rsid w:val="00FC2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993"/>
    <w:pPr>
      <w:framePr w:wrap="auto" w:hAnchor="text" w:y="6049"/>
    </w:pPr>
    <w:rPr>
      <w:color w:val="000000"/>
      <w:sz w:val="40"/>
    </w:rPr>
  </w:style>
  <w:style w:type="paragraph" w:customStyle="1" w:styleId="TOCTitle">
    <w:name w:val="TOCTitle"/>
    <w:basedOn w:val="Heading1"/>
    <w:rsid w:val="00FC2993"/>
    <w:pPr>
      <w:spacing w:after="240"/>
      <w:jc w:val="center"/>
      <w:outlineLvl w:val="9"/>
    </w:pPr>
    <w:rPr>
      <w:caps/>
    </w:rPr>
  </w:style>
  <w:style w:type="paragraph" w:customStyle="1" w:styleId="Version">
    <w:name w:val="Version"/>
    <w:rsid w:val="00FC2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993"/>
    <w:pPr>
      <w:keepNext w:val="0"/>
      <w:tabs>
        <w:tab w:val="right" w:pos="4176"/>
      </w:tabs>
      <w:ind w:left="198" w:hanging="198"/>
    </w:pPr>
    <w:rPr>
      <w:rFonts w:ascii="Garamond" w:hAnsi="Garamond"/>
    </w:rPr>
  </w:style>
  <w:style w:type="paragraph" w:styleId="IndexHeading">
    <w:name w:val="index heading"/>
    <w:basedOn w:val="Normal"/>
    <w:next w:val="Index1"/>
    <w:semiHidden/>
    <w:rsid w:val="00FC2993"/>
    <w:pPr>
      <w:spacing w:before="120" w:after="120"/>
    </w:pPr>
    <w:rPr>
      <w:rFonts w:ascii="Arial" w:hAnsi="Arial"/>
      <w:b/>
      <w:color w:val="918585"/>
      <w:sz w:val="24"/>
    </w:rPr>
  </w:style>
  <w:style w:type="paragraph" w:styleId="Header">
    <w:name w:val="header"/>
    <w:basedOn w:val="Normal"/>
    <w:link w:val="HeaderChar"/>
    <w:rsid w:val="00FC2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993"/>
    <w:rPr>
      <w:rFonts w:ascii="Times New Roman" w:eastAsia="Times New Roman" w:hAnsi="Times New Roman" w:cs="Times New Roman"/>
      <w:sz w:val="16"/>
      <w:szCs w:val="20"/>
      <w:lang w:val="en-GB" w:eastAsia="en-US"/>
    </w:rPr>
  </w:style>
  <w:style w:type="paragraph" w:customStyle="1" w:styleId="Chapter">
    <w:name w:val="Chapter"/>
    <w:basedOn w:val="Normal"/>
    <w:rsid w:val="00FC2993"/>
    <w:pPr>
      <w:spacing w:before="240"/>
    </w:pPr>
    <w:rPr>
      <w:rFonts w:ascii="Times New Roman" w:hAnsi="Times New Roman"/>
      <w:smallCaps/>
      <w:spacing w:val="80"/>
      <w:sz w:val="28"/>
    </w:rPr>
  </w:style>
  <w:style w:type="paragraph" w:customStyle="1" w:styleId="InChapter">
    <w:name w:val="InChapter"/>
    <w:basedOn w:val="Heading3"/>
    <w:rsid w:val="00FC2993"/>
    <w:pPr>
      <w:spacing w:after="240"/>
      <w:outlineLvl w:val="9"/>
    </w:pPr>
    <w:rPr>
      <w:noProof/>
    </w:rPr>
  </w:style>
  <w:style w:type="paragraph" w:styleId="Index2">
    <w:name w:val="index 2"/>
    <w:basedOn w:val="Normal"/>
    <w:next w:val="Normal"/>
    <w:semiHidden/>
    <w:rsid w:val="00FC2993"/>
    <w:pPr>
      <w:tabs>
        <w:tab w:val="right" w:pos="4176"/>
      </w:tabs>
      <w:ind w:left="568" w:hanging="284"/>
    </w:pPr>
    <w:rPr>
      <w:rFonts w:ascii="Garamond" w:hAnsi="Garamond"/>
    </w:rPr>
  </w:style>
  <w:style w:type="paragraph" w:customStyle="1" w:styleId="Byline">
    <w:name w:val="Byline"/>
    <w:rsid w:val="00FC2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993"/>
    <w:pPr>
      <w:tabs>
        <w:tab w:val="clear" w:pos="3600"/>
        <w:tab w:val="clear" w:pos="3958"/>
      </w:tabs>
      <w:jc w:val="right"/>
    </w:pPr>
  </w:style>
  <w:style w:type="character" w:styleId="Emphasis">
    <w:name w:val="Emphasis"/>
    <w:basedOn w:val="DefaultParagraphFont"/>
    <w:qFormat/>
    <w:rsid w:val="00FC2993"/>
    <w:rPr>
      <w:i/>
    </w:rPr>
  </w:style>
  <w:style w:type="paragraph" w:styleId="Caption">
    <w:name w:val="caption"/>
    <w:basedOn w:val="BodyText"/>
    <w:next w:val="Normal"/>
    <w:qFormat/>
    <w:rsid w:val="00FC2993"/>
    <w:pPr>
      <w:framePr w:w="2268" w:hSpace="181" w:vSpace="181" w:wrap="around" w:vAnchor="text" w:hAnchor="page" w:x="1135" w:y="285" w:anchorLock="1"/>
    </w:pPr>
    <w:rPr>
      <w:i/>
    </w:rPr>
  </w:style>
  <w:style w:type="paragraph" w:customStyle="1" w:styleId="MiniTOCTitle">
    <w:name w:val="MiniTOCTitle"/>
    <w:basedOn w:val="Heading4"/>
    <w:rsid w:val="00FC2993"/>
    <w:pPr>
      <w:spacing w:before="240"/>
      <w:outlineLvl w:val="9"/>
    </w:pPr>
    <w:rPr>
      <w:noProof/>
      <w:sz w:val="24"/>
    </w:rPr>
  </w:style>
  <w:style w:type="paragraph" w:customStyle="1" w:styleId="MiniTOCItem">
    <w:name w:val="MiniTOCItem"/>
    <w:basedOn w:val="ListBullet"/>
    <w:rsid w:val="00FC2993"/>
    <w:pPr>
      <w:numPr>
        <w:numId w:val="0"/>
      </w:numPr>
      <w:tabs>
        <w:tab w:val="right" w:leader="dot" w:pos="6521"/>
      </w:tabs>
      <w:spacing w:before="0" w:after="0"/>
    </w:pPr>
  </w:style>
  <w:style w:type="paragraph" w:customStyle="1" w:styleId="TOFTitle">
    <w:name w:val="TOFTitle"/>
    <w:basedOn w:val="TOCTitle"/>
    <w:rsid w:val="00FC2993"/>
  </w:style>
  <w:style w:type="paragraph" w:styleId="TableofFigures">
    <w:name w:val="table of figures"/>
    <w:basedOn w:val="Normal"/>
    <w:next w:val="Normal"/>
    <w:semiHidden/>
    <w:rsid w:val="00FC2993"/>
    <w:pPr>
      <w:tabs>
        <w:tab w:val="right" w:leader="dot" w:pos="9072"/>
      </w:tabs>
      <w:ind w:left="970" w:hanging="403"/>
    </w:pPr>
    <w:rPr>
      <w:rFonts w:ascii="Times New Roman" w:hAnsi="Times New Roman"/>
      <w:b/>
    </w:rPr>
  </w:style>
  <w:style w:type="paragraph" w:styleId="ListNumber">
    <w:name w:val="List Number"/>
    <w:basedOn w:val="List"/>
    <w:rsid w:val="00FC2993"/>
    <w:pPr>
      <w:numPr>
        <w:numId w:val="12"/>
      </w:numPr>
    </w:pPr>
  </w:style>
  <w:style w:type="character" w:customStyle="1" w:styleId="WingdingSymbols">
    <w:name w:val="Wingding Symbols"/>
    <w:rsid w:val="00FC2993"/>
    <w:rPr>
      <w:rFonts w:ascii="Wingdings" w:hAnsi="Wingdings"/>
    </w:rPr>
  </w:style>
  <w:style w:type="paragraph" w:customStyle="1" w:styleId="TableHeading">
    <w:name w:val="Table Heading"/>
    <w:basedOn w:val="HeadingBase"/>
    <w:rsid w:val="00FC2993"/>
    <w:pPr>
      <w:keepLines/>
      <w:pBdr>
        <w:bottom w:val="single" w:sz="6" w:space="1" w:color="918585"/>
      </w:pBdr>
      <w:spacing w:before="240"/>
    </w:pPr>
  </w:style>
  <w:style w:type="character" w:customStyle="1" w:styleId="HotSpot">
    <w:name w:val="HotSpot"/>
    <w:rsid w:val="00FC2993"/>
    <w:rPr>
      <w:color w:val="0033CC"/>
      <w:u w:val="none"/>
    </w:rPr>
  </w:style>
  <w:style w:type="paragraph" w:customStyle="1" w:styleId="BodyTextRight">
    <w:name w:val="Body Text Right"/>
    <w:basedOn w:val="BodyText"/>
    <w:rsid w:val="00FC2993"/>
    <w:pPr>
      <w:spacing w:before="0" w:after="0"/>
      <w:jc w:val="right"/>
    </w:pPr>
  </w:style>
  <w:style w:type="paragraph" w:styleId="Index3">
    <w:name w:val="index 3"/>
    <w:basedOn w:val="ListNumber2"/>
    <w:next w:val="Normal"/>
    <w:semiHidden/>
    <w:rsid w:val="00FC2993"/>
    <w:pPr>
      <w:numPr>
        <w:numId w:val="0"/>
      </w:numPr>
      <w:tabs>
        <w:tab w:val="right" w:leader="dot" w:pos="4176"/>
      </w:tabs>
    </w:pPr>
  </w:style>
  <w:style w:type="paragraph" w:styleId="ListNumber2">
    <w:name w:val="List Number 2"/>
    <w:basedOn w:val="List2"/>
    <w:rsid w:val="00FC2993"/>
    <w:pPr>
      <w:numPr>
        <w:numId w:val="11"/>
      </w:numPr>
      <w:tabs>
        <w:tab w:val="clear" w:pos="1060"/>
      </w:tabs>
    </w:pPr>
  </w:style>
  <w:style w:type="paragraph" w:customStyle="1" w:styleId="MarginNote">
    <w:name w:val="Margin Note"/>
    <w:basedOn w:val="BodyText"/>
    <w:rsid w:val="00FC2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993"/>
    <w:rPr>
      <w:sz w:val="32"/>
    </w:rPr>
  </w:style>
  <w:style w:type="paragraph" w:customStyle="1" w:styleId="HeadingProcedure">
    <w:name w:val="Heading Procedure"/>
    <w:basedOn w:val="HeadingBase"/>
    <w:next w:val="Normal"/>
    <w:rsid w:val="00FC2993"/>
    <w:pPr>
      <w:tabs>
        <w:tab w:val="left" w:pos="0"/>
      </w:tabs>
      <w:spacing w:before="120" w:after="60"/>
    </w:pPr>
    <w:rPr>
      <w:i/>
      <w:color w:val="918585"/>
      <w:sz w:val="22"/>
    </w:rPr>
  </w:style>
  <w:style w:type="paragraph" w:customStyle="1" w:styleId="TableBodyText">
    <w:name w:val="Table Body Text"/>
    <w:basedOn w:val="BodyText"/>
    <w:rsid w:val="00FC2993"/>
    <w:pPr>
      <w:spacing w:before="60" w:after="60"/>
    </w:pPr>
  </w:style>
  <w:style w:type="paragraph" w:styleId="ListContinue">
    <w:name w:val="List Continue"/>
    <w:basedOn w:val="List"/>
    <w:rsid w:val="00FC2993"/>
    <w:pPr>
      <w:ind w:firstLine="0"/>
    </w:pPr>
  </w:style>
  <w:style w:type="paragraph" w:customStyle="1" w:styleId="ListNote">
    <w:name w:val="List Note"/>
    <w:basedOn w:val="List"/>
    <w:rsid w:val="00FC2993"/>
    <w:pPr>
      <w:pBdr>
        <w:top w:val="single" w:sz="6" w:space="2" w:color="918585"/>
        <w:bottom w:val="single" w:sz="6" w:space="2" w:color="918585"/>
      </w:pBdr>
      <w:tabs>
        <w:tab w:val="left" w:pos="1021"/>
      </w:tabs>
      <w:ind w:firstLine="0"/>
    </w:pPr>
  </w:style>
  <w:style w:type="paragraph" w:customStyle="1" w:styleId="Warning">
    <w:name w:val="Warning"/>
    <w:basedOn w:val="BodyText"/>
    <w:rsid w:val="00FC2993"/>
    <w:pPr>
      <w:shd w:val="clear" w:color="auto" w:fill="D9D9D9"/>
      <w:tabs>
        <w:tab w:val="left" w:pos="992"/>
      </w:tabs>
      <w:ind w:left="119" w:right="119"/>
    </w:pPr>
    <w:rPr>
      <w:sz w:val="20"/>
    </w:rPr>
  </w:style>
  <w:style w:type="paragraph" w:customStyle="1" w:styleId="MarginIcons">
    <w:name w:val="Margin Icons"/>
    <w:basedOn w:val="BodyText"/>
    <w:rsid w:val="00FC2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993"/>
    <w:rPr>
      <w:rFonts w:ascii="Courier New" w:hAnsi="Courier New"/>
    </w:rPr>
  </w:style>
  <w:style w:type="paragraph" w:customStyle="1" w:styleId="NoteBullet">
    <w:name w:val="Note Bullet"/>
    <w:basedOn w:val="Note"/>
    <w:rsid w:val="00FC2993"/>
    <w:pPr>
      <w:tabs>
        <w:tab w:val="clear" w:pos="680"/>
      </w:tabs>
      <w:spacing w:before="60" w:after="60"/>
    </w:pPr>
  </w:style>
  <w:style w:type="paragraph" w:customStyle="1" w:styleId="SubHeading2">
    <w:name w:val="SubHeading2"/>
    <w:basedOn w:val="HeadingBase"/>
    <w:rsid w:val="00FC2993"/>
    <w:pPr>
      <w:spacing w:before="240" w:after="60"/>
    </w:pPr>
    <w:rPr>
      <w:sz w:val="20"/>
    </w:rPr>
  </w:style>
  <w:style w:type="paragraph" w:customStyle="1" w:styleId="SubHeading1">
    <w:name w:val="SubHeading1"/>
    <w:basedOn w:val="HeadingBase"/>
    <w:rsid w:val="00FC2993"/>
    <w:pPr>
      <w:spacing w:before="240" w:after="60"/>
    </w:pPr>
    <w:rPr>
      <w:color w:val="918585"/>
      <w:sz w:val="22"/>
    </w:rPr>
  </w:style>
  <w:style w:type="paragraph" w:customStyle="1" w:styleId="SideHeading">
    <w:name w:val="Side Heading"/>
    <w:basedOn w:val="HeadingBase"/>
    <w:rsid w:val="00FC2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993"/>
    <w:pPr>
      <w:numPr>
        <w:numId w:val="13"/>
      </w:numPr>
    </w:pPr>
  </w:style>
  <w:style w:type="paragraph" w:styleId="PlainText">
    <w:name w:val="Plain Text"/>
    <w:basedOn w:val="Normal"/>
    <w:link w:val="PlainTextChar"/>
    <w:rsid w:val="00FC2993"/>
    <w:rPr>
      <w:sz w:val="20"/>
    </w:rPr>
  </w:style>
  <w:style w:type="character" w:customStyle="1" w:styleId="PlainTextChar">
    <w:name w:val="Plain Text Char"/>
    <w:basedOn w:val="DefaultParagraphFont"/>
    <w:link w:val="PlainText"/>
    <w:rsid w:val="00FC2993"/>
    <w:rPr>
      <w:rFonts w:ascii="Courier New" w:eastAsia="Times New Roman" w:hAnsi="Courier New" w:cs="Times New Roman"/>
      <w:sz w:val="20"/>
      <w:szCs w:val="20"/>
      <w:lang w:eastAsia="en-US"/>
    </w:rPr>
  </w:style>
  <w:style w:type="character" w:customStyle="1" w:styleId="MenuOption">
    <w:name w:val="Menu Option"/>
    <w:basedOn w:val="DefaultParagraphFont"/>
    <w:rsid w:val="00FC2993"/>
    <w:rPr>
      <w:b/>
      <w:smallCaps/>
    </w:rPr>
  </w:style>
  <w:style w:type="paragraph" w:customStyle="1" w:styleId="TableListNumber">
    <w:name w:val="Table List Number"/>
    <w:basedOn w:val="ListNumber"/>
    <w:rsid w:val="00FC2993"/>
    <w:pPr>
      <w:numPr>
        <w:numId w:val="0"/>
      </w:numPr>
    </w:pPr>
  </w:style>
  <w:style w:type="paragraph" w:styleId="TOC4">
    <w:name w:val="toc 4"/>
    <w:basedOn w:val="TOCBase"/>
    <w:next w:val="Normal"/>
    <w:semiHidden/>
    <w:rsid w:val="00FC2993"/>
    <w:pPr>
      <w:tabs>
        <w:tab w:val="right" w:leader="dot" w:pos="9071"/>
      </w:tabs>
      <w:ind w:left="1701"/>
    </w:pPr>
  </w:style>
  <w:style w:type="paragraph" w:customStyle="1" w:styleId="ListAlpha">
    <w:name w:val="List Alpha"/>
    <w:basedOn w:val="List"/>
    <w:rsid w:val="00FC2993"/>
    <w:pPr>
      <w:numPr>
        <w:numId w:val="10"/>
      </w:numPr>
    </w:pPr>
  </w:style>
  <w:style w:type="paragraph" w:customStyle="1" w:styleId="ListAlpha2">
    <w:name w:val="List Alpha 2"/>
    <w:basedOn w:val="List2"/>
    <w:rsid w:val="00FC2993"/>
    <w:pPr>
      <w:numPr>
        <w:numId w:val="9"/>
      </w:numPr>
    </w:pPr>
  </w:style>
  <w:style w:type="paragraph" w:styleId="List2">
    <w:name w:val="List 2"/>
    <w:basedOn w:val="BodyText"/>
    <w:rsid w:val="00FC2993"/>
    <w:pPr>
      <w:tabs>
        <w:tab w:val="left" w:pos="680"/>
      </w:tabs>
      <w:spacing w:before="60" w:after="60"/>
      <w:ind w:left="680" w:hanging="340"/>
    </w:pPr>
  </w:style>
  <w:style w:type="paragraph" w:styleId="List3">
    <w:name w:val="List 3"/>
    <w:basedOn w:val="BodyText"/>
    <w:rsid w:val="00FC2993"/>
    <w:pPr>
      <w:tabs>
        <w:tab w:val="left" w:pos="1021"/>
      </w:tabs>
      <w:spacing w:before="60" w:after="60"/>
      <w:ind w:left="1020" w:hanging="340"/>
    </w:pPr>
  </w:style>
  <w:style w:type="paragraph" w:styleId="List4">
    <w:name w:val="List 4"/>
    <w:basedOn w:val="BodyText"/>
    <w:rsid w:val="00FC2993"/>
    <w:pPr>
      <w:tabs>
        <w:tab w:val="left" w:pos="1361"/>
      </w:tabs>
      <w:spacing w:before="60" w:after="60"/>
      <w:ind w:left="1361" w:hanging="340"/>
    </w:pPr>
  </w:style>
  <w:style w:type="paragraph" w:styleId="List5">
    <w:name w:val="List 5"/>
    <w:basedOn w:val="BodyText"/>
    <w:rsid w:val="00FC2993"/>
    <w:pPr>
      <w:tabs>
        <w:tab w:val="left" w:pos="1701"/>
      </w:tabs>
      <w:spacing w:before="60" w:after="60"/>
      <w:ind w:left="1701" w:hanging="340"/>
    </w:pPr>
  </w:style>
  <w:style w:type="paragraph" w:styleId="ListBullet4">
    <w:name w:val="List Bullet 4"/>
    <w:basedOn w:val="List4"/>
    <w:rsid w:val="00FC2993"/>
    <w:pPr>
      <w:numPr>
        <w:numId w:val="4"/>
      </w:numPr>
    </w:pPr>
  </w:style>
  <w:style w:type="paragraph" w:styleId="ListBullet5">
    <w:name w:val="List Bullet 5"/>
    <w:basedOn w:val="List5"/>
    <w:rsid w:val="00FC2993"/>
    <w:pPr>
      <w:numPr>
        <w:numId w:val="5"/>
      </w:numPr>
    </w:pPr>
  </w:style>
  <w:style w:type="paragraph" w:styleId="ListContinue2">
    <w:name w:val="List Continue 2"/>
    <w:basedOn w:val="List2"/>
    <w:rsid w:val="00FC2993"/>
    <w:pPr>
      <w:ind w:firstLine="0"/>
    </w:pPr>
  </w:style>
  <w:style w:type="paragraph" w:styleId="ListContinue3">
    <w:name w:val="List Continue 3"/>
    <w:basedOn w:val="List3"/>
    <w:rsid w:val="00FC2993"/>
    <w:pPr>
      <w:ind w:left="1021" w:firstLine="0"/>
    </w:pPr>
  </w:style>
  <w:style w:type="paragraph" w:styleId="ListContinue4">
    <w:name w:val="List Continue 4"/>
    <w:basedOn w:val="List4"/>
    <w:rsid w:val="00FC2993"/>
    <w:pPr>
      <w:ind w:firstLine="0"/>
    </w:pPr>
  </w:style>
  <w:style w:type="paragraph" w:styleId="ListContinue5">
    <w:name w:val="List Continue 5"/>
    <w:basedOn w:val="List5"/>
    <w:rsid w:val="00FC2993"/>
    <w:pPr>
      <w:ind w:firstLine="0"/>
    </w:pPr>
  </w:style>
  <w:style w:type="paragraph" w:styleId="ListNumber3">
    <w:name w:val="List Number 3"/>
    <w:basedOn w:val="List3"/>
    <w:rsid w:val="00FC2993"/>
    <w:pPr>
      <w:numPr>
        <w:numId w:val="6"/>
      </w:numPr>
    </w:pPr>
  </w:style>
  <w:style w:type="paragraph" w:styleId="ListNumber4">
    <w:name w:val="List Number 4"/>
    <w:basedOn w:val="List4"/>
    <w:rsid w:val="00FC2993"/>
    <w:pPr>
      <w:numPr>
        <w:numId w:val="7"/>
      </w:numPr>
    </w:pPr>
  </w:style>
  <w:style w:type="paragraph" w:styleId="ListNumber5">
    <w:name w:val="List Number 5"/>
    <w:basedOn w:val="List5"/>
    <w:rsid w:val="00FC2993"/>
    <w:pPr>
      <w:numPr>
        <w:numId w:val="8"/>
      </w:numPr>
    </w:pPr>
  </w:style>
  <w:style w:type="paragraph" w:styleId="BlockText">
    <w:name w:val="Block Text"/>
    <w:basedOn w:val="Normal"/>
    <w:rsid w:val="00FC2993"/>
    <w:pPr>
      <w:spacing w:after="120"/>
      <w:ind w:left="1440" w:right="1440"/>
    </w:pPr>
  </w:style>
  <w:style w:type="character" w:customStyle="1" w:styleId="Subscript">
    <w:name w:val="Subscript"/>
    <w:basedOn w:val="DefaultParagraphFont"/>
    <w:rsid w:val="00FC2993"/>
    <w:rPr>
      <w:sz w:val="16"/>
      <w:vertAlign w:val="subscript"/>
    </w:rPr>
  </w:style>
  <w:style w:type="character" w:customStyle="1" w:styleId="Superscript">
    <w:name w:val="Superscript"/>
    <w:basedOn w:val="DefaultParagraphFont"/>
    <w:rsid w:val="00FC2993"/>
    <w:rPr>
      <w:sz w:val="16"/>
      <w:vertAlign w:val="superscript"/>
    </w:rPr>
  </w:style>
  <w:style w:type="character" w:customStyle="1" w:styleId="MenuOptions">
    <w:name w:val="Menu Options"/>
    <w:basedOn w:val="DefaultParagraphFont"/>
    <w:rsid w:val="00FC2993"/>
    <w:rPr>
      <w:rFonts w:ascii="Arial Narrow" w:hAnsi="Arial Narrow"/>
      <w:smallCaps/>
    </w:rPr>
  </w:style>
  <w:style w:type="character" w:customStyle="1" w:styleId="Buttons">
    <w:name w:val="Buttons"/>
    <w:basedOn w:val="DefaultParagraphFont"/>
    <w:rsid w:val="00FC2993"/>
    <w:rPr>
      <w:b/>
    </w:rPr>
  </w:style>
  <w:style w:type="character" w:customStyle="1" w:styleId="Underlined">
    <w:name w:val="Underlined"/>
    <w:basedOn w:val="DefaultParagraphFont"/>
    <w:rsid w:val="00FC2993"/>
    <w:rPr>
      <w:u w:val="single"/>
    </w:rPr>
  </w:style>
  <w:style w:type="paragraph" w:customStyle="1" w:styleId="TableBodyTextRight">
    <w:name w:val="Table Body Text Right"/>
    <w:basedOn w:val="TableBodyText"/>
    <w:rsid w:val="00FC2993"/>
    <w:pPr>
      <w:widowControl w:val="0"/>
      <w:autoSpaceDE w:val="0"/>
      <w:autoSpaceDN w:val="0"/>
      <w:adjustRightInd w:val="0"/>
      <w:jc w:val="right"/>
    </w:pPr>
    <w:rPr>
      <w:rFonts w:cs="Arial"/>
      <w:szCs w:val="18"/>
    </w:rPr>
  </w:style>
  <w:style w:type="paragraph" w:customStyle="1" w:styleId="CopyrightText">
    <w:name w:val="Copyright Text"/>
    <w:basedOn w:val="BodyText"/>
    <w:rsid w:val="00FC2993"/>
    <w:rPr>
      <w:sz w:val="18"/>
    </w:rPr>
  </w:style>
  <w:style w:type="paragraph" w:customStyle="1" w:styleId="BodySmallRight">
    <w:name w:val="Body Small Right"/>
    <w:basedOn w:val="BodyTextRight"/>
    <w:rsid w:val="00FC2993"/>
    <w:rPr>
      <w:sz w:val="18"/>
      <w:szCs w:val="18"/>
    </w:rPr>
  </w:style>
  <w:style w:type="paragraph" w:customStyle="1" w:styleId="MarginEdition">
    <w:name w:val="Margin Edition"/>
    <w:basedOn w:val="MarginNote"/>
    <w:rsid w:val="00FC2993"/>
    <w:pPr>
      <w:spacing w:before="0" w:after="0"/>
    </w:pPr>
    <w:rPr>
      <w:rFonts w:ascii="Times New Roman" w:hAnsi="Times New Roman"/>
      <w:color w:val="999999"/>
    </w:rPr>
  </w:style>
  <w:style w:type="paragraph" w:customStyle="1" w:styleId="Spacer">
    <w:name w:val="Spacer"/>
    <w:basedOn w:val="Normal"/>
    <w:rsid w:val="00FC2993"/>
    <w:rPr>
      <w:sz w:val="2"/>
      <w:szCs w:val="2"/>
    </w:rPr>
  </w:style>
  <w:style w:type="character" w:customStyle="1" w:styleId="Small">
    <w:name w:val="Small"/>
    <w:basedOn w:val="DefaultParagraphFont"/>
    <w:rsid w:val="00FC2993"/>
    <w:rPr>
      <w:sz w:val="16"/>
    </w:rPr>
  </w:style>
  <w:style w:type="paragraph" w:customStyle="1" w:styleId="WideTable">
    <w:name w:val="Wide Table"/>
    <w:basedOn w:val="Normal"/>
    <w:rsid w:val="00FC2993"/>
    <w:pPr>
      <w:ind w:left="-1418"/>
    </w:pPr>
    <w:rPr>
      <w:sz w:val="2"/>
      <w:szCs w:val="2"/>
    </w:rPr>
  </w:style>
  <w:style w:type="character" w:styleId="PageNumber">
    <w:name w:val="page number"/>
    <w:basedOn w:val="DefaultParagraphFont"/>
    <w:rsid w:val="00FC2993"/>
  </w:style>
  <w:style w:type="paragraph" w:styleId="Quote">
    <w:name w:val="Quote"/>
    <w:basedOn w:val="Heading1"/>
    <w:link w:val="QuoteChar"/>
    <w:qFormat/>
    <w:rsid w:val="00FC2993"/>
    <w:rPr>
      <w:b w:val="0"/>
      <w:sz w:val="72"/>
      <w:szCs w:val="72"/>
      <w:lang w:val="en-NZ"/>
    </w:rPr>
  </w:style>
  <w:style w:type="character" w:customStyle="1" w:styleId="QuoteChar">
    <w:name w:val="Quote Char"/>
    <w:basedOn w:val="DefaultParagraphFont"/>
    <w:link w:val="Quote"/>
    <w:rsid w:val="00FC2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993"/>
    <w:pPr>
      <w:pageBreakBefore/>
    </w:pPr>
  </w:style>
  <w:style w:type="paragraph" w:customStyle="1" w:styleId="Border">
    <w:name w:val="Border"/>
    <w:basedOn w:val="Normal"/>
    <w:qFormat/>
    <w:rsid w:val="00FC2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993"/>
    <w:rPr>
      <w:b/>
      <w:bCs/>
      <w:i/>
      <w:iCs/>
      <w:color w:val="auto"/>
    </w:rPr>
  </w:style>
  <w:style w:type="paragraph" w:styleId="IntenseQuote">
    <w:name w:val="Intense Quote"/>
    <w:basedOn w:val="Normal"/>
    <w:next w:val="Normal"/>
    <w:link w:val="IntenseQuoteChar"/>
    <w:uiPriority w:val="30"/>
    <w:qFormat/>
    <w:rsid w:val="00FC2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993"/>
    <w:rPr>
      <w:smallCaps/>
      <w:color w:val="auto"/>
      <w:u w:val="single"/>
    </w:rPr>
  </w:style>
  <w:style w:type="character" w:styleId="IntenseReference">
    <w:name w:val="Intense Reference"/>
    <w:basedOn w:val="DefaultParagraphFont"/>
    <w:uiPriority w:val="32"/>
    <w:qFormat/>
    <w:rsid w:val="00FC2993"/>
    <w:rPr>
      <w:b/>
      <w:bCs/>
      <w:smallCaps/>
      <w:color w:val="auto"/>
      <w:spacing w:val="5"/>
      <w:u w:val="single"/>
    </w:rPr>
  </w:style>
  <w:style w:type="paragraph" w:customStyle="1" w:styleId="2ColumnHeading">
    <w:name w:val="2Column Heading"/>
    <w:basedOn w:val="BodyText"/>
    <w:qFormat/>
    <w:rsid w:val="00FC2993"/>
    <w:pPr>
      <w:spacing w:after="60"/>
      <w:ind w:left="-2268"/>
    </w:pPr>
    <w:rPr>
      <w:b/>
    </w:rPr>
  </w:style>
  <w:style w:type="paragraph" w:customStyle="1" w:styleId="Heading1TOC">
    <w:name w:val="Heading1 TOC"/>
    <w:basedOn w:val="Normal"/>
    <w:qFormat/>
    <w:rsid w:val="00FC2993"/>
    <w:pPr>
      <w:spacing w:before="240" w:after="120"/>
    </w:pPr>
    <w:rPr>
      <w:rFonts w:ascii="Times New Roman" w:hAnsi="Times New Roman"/>
      <w:b/>
      <w:sz w:val="32"/>
    </w:rPr>
  </w:style>
  <w:style w:type="paragraph" w:customStyle="1" w:styleId="Heading2TOC">
    <w:name w:val="Heading2 TOC"/>
    <w:basedOn w:val="Normal"/>
    <w:qFormat/>
    <w:rsid w:val="00FC2993"/>
    <w:pPr>
      <w:spacing w:before="240" w:after="60"/>
    </w:pPr>
    <w:rPr>
      <w:rFonts w:ascii="Times New Roman" w:hAnsi="Times New Roman"/>
      <w:b/>
      <w:sz w:val="28"/>
    </w:rPr>
  </w:style>
  <w:style w:type="character" w:customStyle="1" w:styleId="Underline">
    <w:name w:val="Underline"/>
    <w:basedOn w:val="DefaultParagraphFont"/>
    <w:qFormat/>
    <w:rsid w:val="00FC2993"/>
    <w:rPr>
      <w:u w:val="single"/>
    </w:rPr>
  </w:style>
  <w:style w:type="character" w:customStyle="1" w:styleId="BoldandItalics">
    <w:name w:val="Bold and Italics"/>
    <w:qFormat/>
    <w:rsid w:val="00FC2993"/>
    <w:rPr>
      <w:b/>
      <w:i/>
      <w:u w:val="none"/>
    </w:rPr>
  </w:style>
  <w:style w:type="paragraph" w:styleId="BalloonText">
    <w:name w:val="Balloon Text"/>
    <w:basedOn w:val="Normal"/>
    <w:link w:val="BalloonTextChar"/>
    <w:rsid w:val="00FC2993"/>
    <w:rPr>
      <w:rFonts w:ascii="Tahoma" w:hAnsi="Tahoma" w:cs="Tahoma"/>
      <w:sz w:val="16"/>
      <w:szCs w:val="16"/>
    </w:rPr>
  </w:style>
  <w:style w:type="character" w:customStyle="1" w:styleId="BalloonTextChar">
    <w:name w:val="Balloon Text Char"/>
    <w:basedOn w:val="DefaultParagraphFont"/>
    <w:link w:val="BalloonText"/>
    <w:rsid w:val="00FC2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9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993"/>
    <w:rPr>
      <w:b/>
      <w:color w:val="660033"/>
      <w:spacing w:val="0"/>
    </w:rPr>
  </w:style>
  <w:style w:type="paragraph" w:customStyle="1" w:styleId="Nameditemlist">
    <w:name w:val="Named item list"/>
    <w:basedOn w:val="BodyText"/>
    <w:qFormat/>
    <w:rsid w:val="00FC29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2287</Words>
  <Characters>14334</Characters>
  <Application>Microsoft Office Word</Application>
  <DocSecurity>0</DocSecurity>
  <Lines>501</Lines>
  <Paragraphs>234</Paragraphs>
  <ScaleCrop>false</ScaleCrop>
  <Company>Author-it Software Corporation Ltd.</Company>
  <LinksUpToDate>false</LinksUpToDate>
  <CharactersWithSpaces>16488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UEENEEE145A Apply computation when using equipment/materials/concepts in an energy sector environment</dc:title>
  <dc:subject>Approved</dc:subject>
  <dc:creator>E-OZ Training Standards</dc:creator>
  <cp:keywords>Release: 1</cp:keywords>
  <dc:description>Review Date: 12 April 2008</dc:description>
  <cp:lastModifiedBy>TPCMS</cp:lastModifiedBy>
  <cp:revision>3</cp:revision>
  <dcterms:created xsi:type="dcterms:W3CDTF">2013-10-25T06:10:00Z</dcterms:created>
  <dcterms:modified xsi:type="dcterms:W3CDTF">2013-10-25T06:10:00Z</dcterms:modified>
</cp:coreProperties>
</file>