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FDD" w:rsidP="00664FDD">
      <w:pPr>
        <w:pStyle w:val="Title"/>
      </w:pPr>
      <w:r>
        <w:fldChar w:fldCharType="begin"/>
      </w:r>
      <w:r>
        <w:instrText xml:space="preserve"> TITLE   \* MERGEFORMAT </w:instrText>
      </w:r>
      <w:r>
        <w:fldChar w:fldCharType="separate"/>
      </w:r>
      <w:r>
        <w:t>UEENEEE143A Produce routine tools/devices for carrying out energy sector work activities</w:t>
      </w:r>
      <w:r>
        <w:fldChar w:fldCharType="end"/>
      </w:r>
    </w:p>
    <w:p w:rsidR="00664FDD" w:rsidP="00664FDD">
      <w:pPr>
        <w:pStyle w:val="Version"/>
        <w:sectPr w:rsidSect="009F77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7721" w:rsidP="009F7721">
      <w:pPr>
        <w:pStyle w:val="SuperHeading"/>
      </w:pPr>
      <w:r w:rsidRPr="009F7721">
        <w:t>UEENEEE143A Produce routine tools/devices for carrying out energy sector work activities</w:t>
      </w:r>
    </w:p>
    <w:p w:rsidR="00000000" w:rsidRPr="009F7721" w:rsidP="009F7721">
      <w:pPr>
        <w:pStyle w:val="Heading1"/>
      </w:pPr>
      <w:bookmarkStart w:id="1" w:name="O_584504"/>
      <w:bookmarkEnd w:id="1"/>
      <w:r w:rsidRPr="009F7721">
        <w:t>Modification History</w:t>
      </w:r>
    </w:p>
    <w:p w:rsidR="00000000" w:rsidRPr="009F7721" w:rsidP="009F7721">
      <w:pPr>
        <w:pStyle w:val="BodyText"/>
      </w:pPr>
      <w:r w:rsidRPr="009F7721">
        <w:t>Not applicable.</w:t>
      </w:r>
    </w:p>
    <w:p w:rsidR="00000000" w:rsidRPr="009F7721" w:rsidP="009F7721">
      <w:pPr>
        <w:pStyle w:val="AllowPageBreak"/>
      </w:pPr>
    </w:p>
    <w:p w:rsidR="00000000" w:rsidRPr="009F7721" w:rsidP="009F7721">
      <w:pPr>
        <w:pStyle w:val="Heading1"/>
      </w:pPr>
      <w:bookmarkStart w:id="2" w:name="O_584503"/>
      <w:bookmarkEnd w:id="2"/>
      <w:r w:rsidRPr="009F7721">
        <w:t>Unit Descriptor</w:t>
      </w:r>
    </w:p>
    <w:tbl>
      <w:tblPr>
        <w:tblW w:w="0" w:type="auto"/>
        <w:tblLayout w:type="fixed"/>
        <w:tblCellMar>
          <w:left w:w="62" w:type="dxa"/>
          <w:right w:w="62" w:type="dxa"/>
        </w:tblCellMar>
        <w:tblLook w:val="0000"/>
      </w:tblPr>
      <w:tblGrid>
        <w:gridCol w:w="2700"/>
        <w:gridCol w:w="5760"/>
      </w:tblGrid>
      <w:tr w:rsidTr="00664F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1)</w:t>
            </w:r>
            <w:r w:rsidRPr="009F7721">
              <w:t xml:space="preserve"> </w:t>
            </w:r>
            <w:r w:rsidRPr="009F7721">
              <w:rPr>
                <w:rStyle w:val="SpecialBold"/>
              </w:rPr>
              <w:t>Scope:</w:t>
            </w:r>
          </w:p>
        </w:tc>
      </w:tr>
      <w:tr w:rsidTr="00664F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772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1.1) Descriptor</w:t>
            </w:r>
          </w:p>
        </w:tc>
      </w:tr>
      <w:tr w:rsidTr="00664F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This unit covers routine tools/devices required to do work in the energy sector environment are produced in accordance with the schedule of work ensuring work is completed in an agreed time, to a quality standard and with a minimum waste.</w:t>
            </w:r>
          </w:p>
        </w:tc>
      </w:tr>
    </w:tbl>
    <w:p w:rsidR="00000000" w:rsidRPr="009F7721" w:rsidP="009F7721">
      <w:pPr>
        <w:pStyle w:val="BodyText"/>
      </w:pPr>
    </w:p>
    <w:p w:rsidR="00000000" w:rsidRPr="009F7721" w:rsidP="009F7721">
      <w:pPr>
        <w:pStyle w:val="AllowPageBreak"/>
      </w:pPr>
    </w:p>
    <w:p w:rsidR="00000000" w:rsidRPr="009F7721" w:rsidP="009F7721">
      <w:pPr>
        <w:pStyle w:val="Heading1"/>
      </w:pPr>
      <w:bookmarkStart w:id="3" w:name="O_584502"/>
      <w:bookmarkEnd w:id="3"/>
      <w:r w:rsidRPr="009F7721">
        <w:t>Application of the Unit</w:t>
      </w:r>
    </w:p>
    <w:tbl>
      <w:tblPr>
        <w:tblW w:w="0" w:type="auto"/>
        <w:tblLayout w:type="fixed"/>
        <w:tblCellMar>
          <w:left w:w="62" w:type="dxa"/>
          <w:right w:w="62" w:type="dxa"/>
        </w:tblCellMar>
        <w:tblLook w:val="0000"/>
      </w:tblPr>
      <w:tblGrid>
        <w:gridCol w:w="2672"/>
        <w:gridCol w:w="5699"/>
      </w:tblGrid>
      <w:tr w:rsidTr="00664FD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2)</w:t>
            </w:r>
          </w:p>
        </w:tc>
      </w:tr>
      <w:tr w:rsidTr="00664FD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This unit shall apply to persons entering work in energy sector and may be used in school-based vocational programs.</w:t>
            </w:r>
          </w:p>
        </w:tc>
      </w:tr>
    </w:tbl>
    <w:p w:rsidR="00000000" w:rsidRPr="009F7721" w:rsidP="009F7721">
      <w:pPr>
        <w:pStyle w:val="BodyText"/>
      </w:pPr>
    </w:p>
    <w:p w:rsidR="00000000" w:rsidRPr="009F7721" w:rsidP="009F7721">
      <w:pPr>
        <w:pStyle w:val="AllowPageBreak"/>
      </w:pPr>
    </w:p>
    <w:p w:rsidR="00000000" w:rsidRPr="009F7721" w:rsidP="009F7721">
      <w:pPr>
        <w:pStyle w:val="Heading1"/>
      </w:pPr>
      <w:bookmarkStart w:id="4" w:name="O_584501"/>
      <w:bookmarkEnd w:id="4"/>
      <w:r w:rsidRPr="009F7721">
        <w:t>Licensing/Regulatory Information</w:t>
      </w:r>
    </w:p>
    <w:tbl>
      <w:tblPr>
        <w:tblW w:w="0" w:type="auto"/>
        <w:tblLayout w:type="fixed"/>
        <w:tblCellMar>
          <w:left w:w="62" w:type="dxa"/>
          <w:right w:w="62" w:type="dxa"/>
        </w:tblCellMar>
        <w:tblLook w:val="0000"/>
      </w:tblPr>
      <w:tblGrid>
        <w:gridCol w:w="2700"/>
        <w:gridCol w:w="5760"/>
      </w:tblGrid>
      <w:tr w:rsidTr="00664F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 xml:space="preserve">3) </w:t>
            </w:r>
          </w:p>
        </w:tc>
      </w:tr>
      <w:tr w:rsidTr="00664F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The skills and knowledge described in this unit do not require a license to practice in the workplace. However practice in this unit is subject to regulations directly related to occupational health and safe and contracts of training such as new apprentice</w:t>
            </w:r>
            <w:r w:rsidRPr="009F7721">
              <w:t>ships.</w:t>
            </w:r>
          </w:p>
          <w:p w:rsidR="00000000" w:rsidRPr="009F7721" w:rsidP="009F7721">
            <w:pPr>
              <w:pStyle w:val="BodyText"/>
            </w:pPr>
            <w:r w:rsidRPr="009F7721">
              <w:t xml:space="preserve">Note: </w:t>
            </w:r>
          </w:p>
          <w:p w:rsidR="00000000" w:rsidRPr="009F7721" w:rsidP="009F7721">
            <w:pPr>
              <w:pStyle w:val="BodyText"/>
            </w:pPr>
            <w:r w:rsidRPr="009F7721">
              <w:t>1. Compliance with permits may be required in various jurisdictions and typically relates to the operation of plant, machin</w:t>
            </w:r>
            <w:r w:rsidRPr="009F7721">
              <w:t xml:space="preserve">ery and equipment such as elevating work </w:t>
            </w:r>
            <w:r w:rsidRPr="009F7721">
              <w:t>platforms, powder operated fixing tools, and power operated tools, vehicles, road signage and traffic control, lifting equipment. Permits may also be required for some work environments such as confined spaces, work</w:t>
            </w:r>
            <w:r w:rsidRPr="009F7721">
              <w:t>ing aloft, near live electrical apparatus and site rehabilitation.</w:t>
            </w:r>
          </w:p>
          <w:p w:rsidR="00000000" w:rsidRPr="009F7721" w:rsidP="009F7721">
            <w:pPr>
              <w:pStyle w:val="BodyText"/>
            </w:pPr>
            <w:r w:rsidRPr="009F7721">
              <w:t>2. Compliance may be required in various jurisdictions relating to currency in First Aid, confined space, lifting and risk safety measures.</w:t>
            </w:r>
          </w:p>
        </w:tc>
      </w:tr>
    </w:tbl>
    <w:p w:rsidR="00000000" w:rsidRPr="009F7721" w:rsidP="009F7721">
      <w:pPr>
        <w:pStyle w:val="BodyText"/>
      </w:pPr>
    </w:p>
    <w:p w:rsidR="00000000" w:rsidRPr="009F7721" w:rsidP="009F7721">
      <w:pPr>
        <w:pStyle w:val="AllowPageBreak"/>
      </w:pPr>
    </w:p>
    <w:p w:rsidR="00000000" w:rsidRPr="009F7721" w:rsidP="009F7721">
      <w:pPr>
        <w:pStyle w:val="Heading1"/>
      </w:pPr>
      <w:bookmarkStart w:id="5" w:name="O_584500"/>
      <w:bookmarkEnd w:id="5"/>
      <w:r w:rsidRPr="009F7721">
        <w:t>Pre-Requisites</w:t>
      </w:r>
    </w:p>
    <w:tbl>
      <w:tblPr>
        <w:tblW w:w="0" w:type="auto"/>
        <w:tblLayout w:type="fixed"/>
        <w:tblCellMar>
          <w:left w:w="62" w:type="dxa"/>
          <w:right w:w="62" w:type="dxa"/>
        </w:tblCellMar>
        <w:tblLook w:val="0000"/>
      </w:tblPr>
      <w:tblGrid>
        <w:gridCol w:w="2700"/>
        <w:gridCol w:w="1440"/>
        <w:gridCol w:w="4320"/>
      </w:tblGrid>
      <w:tr w:rsidTr="00664F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Prerequisite Un</w:t>
            </w:r>
            <w:r w:rsidRPr="009F7721">
              <w:rPr>
                <w:rStyle w:val="SpecialBold"/>
              </w:rPr>
              <w:t>it(s)</w:t>
            </w:r>
          </w:p>
        </w:tc>
        <w:tc>
          <w:tcPr>
            <w:tcW w:w="5760" w:type="dxa"/>
            <w:gridSpan w:val="2"/>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 xml:space="preserve">4) </w:t>
            </w:r>
          </w:p>
        </w:tc>
      </w:tr>
      <w:tr w:rsidTr="00664F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4.1)</w:t>
            </w:r>
          </w:p>
        </w:tc>
      </w:tr>
      <w:tr w:rsidTr="00664FD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Granting competency in this unit shall be made only after competency in the following unit(s) has/have been confirmed.</w:t>
            </w:r>
          </w:p>
        </w:tc>
      </w:tr>
      <w:tr w:rsidTr="00664FD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UEENEEE101A</w:t>
            </w:r>
          </w:p>
        </w:tc>
        <w:tc>
          <w:tcPr>
            <w:tcW w:w="432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Apply Occupational Health and Safety regulations, codes and practices in the workplace</w:t>
            </w:r>
          </w:p>
        </w:tc>
      </w:tr>
    </w:tbl>
    <w:p w:rsidR="00000000" w:rsidRPr="009F7721" w:rsidP="009F772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64FD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 xml:space="preserve">4.2) </w:t>
            </w:r>
          </w:p>
        </w:tc>
      </w:tr>
      <w:tr w:rsidTr="00664F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Participants are best equipped to achieve competency in this unit if they have reading, writing and numeracy skills indicated by the following scales. Description of each scale is given in Volume 2, Part 3 ‘Literac</w:t>
            </w:r>
            <w:r w:rsidRPr="009F7721">
              <w:t>y and Numeracy’</w:t>
            </w:r>
          </w:p>
        </w:tc>
      </w:tr>
      <w:tr w:rsidTr="00664F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Reading</w:t>
            </w:r>
          </w:p>
        </w:tc>
        <w:tc>
          <w:tcPr>
            <w:tcW w:w="81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3</w:t>
            </w:r>
          </w:p>
        </w:tc>
        <w:tc>
          <w:tcPr>
            <w:tcW w:w="99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Writing</w:t>
            </w: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3</w:t>
            </w:r>
          </w:p>
        </w:tc>
        <w:tc>
          <w:tcPr>
            <w:tcW w:w="12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Numeracy</w:t>
            </w:r>
          </w:p>
        </w:tc>
        <w:tc>
          <w:tcPr>
            <w:tcW w:w="72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3</w:t>
            </w:r>
          </w:p>
        </w:tc>
      </w:tr>
    </w:tbl>
    <w:p w:rsidR="00000000" w:rsidRPr="009F7721" w:rsidP="009F7721">
      <w:pPr>
        <w:pStyle w:val="BodyText"/>
      </w:pPr>
    </w:p>
    <w:p w:rsidR="00000000" w:rsidRPr="009F7721" w:rsidP="009F7721">
      <w:pPr>
        <w:pStyle w:val="AllowPageBreak"/>
      </w:pPr>
    </w:p>
    <w:p w:rsidR="00000000" w:rsidRPr="009F7721" w:rsidP="009F7721">
      <w:pPr>
        <w:pStyle w:val="Heading1"/>
      </w:pPr>
      <w:bookmarkStart w:id="6" w:name="O_584499"/>
      <w:bookmarkEnd w:id="6"/>
      <w:r w:rsidRPr="009F7721">
        <w:t>Employability Skills Information</w:t>
      </w:r>
    </w:p>
    <w:tbl>
      <w:tblPr>
        <w:tblW w:w="0" w:type="auto"/>
        <w:tblLayout w:type="fixed"/>
        <w:tblCellMar>
          <w:left w:w="62" w:type="dxa"/>
          <w:right w:w="62" w:type="dxa"/>
        </w:tblCellMar>
        <w:tblLook w:val="0000"/>
      </w:tblPr>
      <w:tblGrid>
        <w:gridCol w:w="2700"/>
        <w:gridCol w:w="5760"/>
      </w:tblGrid>
      <w:tr w:rsidTr="00664F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 xml:space="preserve">5) </w:t>
            </w:r>
          </w:p>
        </w:tc>
      </w:tr>
      <w:tr w:rsidTr="00664F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This unit contains Employability Skills</w:t>
            </w:r>
          </w:p>
          <w:p w:rsidR="00000000" w:rsidRPr="009F7721" w:rsidP="009F7721">
            <w:pPr>
              <w:pStyle w:val="BodyText"/>
            </w:pPr>
            <w:r w:rsidRPr="009F7721">
              <w:t xml:space="preserve">The required outcomes described in this unit of </w:t>
            </w:r>
            <w:r w:rsidRPr="009F7721">
              <w:t xml:space="preserve">competency contain applicable facets of Employability Skills. The Employability Skills Summary of the qualification in which this unit of competency is packaged will assist in identifying Employability Skill </w:t>
            </w:r>
            <w:r w:rsidRPr="009F7721">
              <w:t>requirements.</w:t>
            </w:r>
          </w:p>
        </w:tc>
      </w:tr>
    </w:tbl>
    <w:p w:rsidR="00000000" w:rsidRPr="009F7721" w:rsidP="009F7721">
      <w:pPr>
        <w:pStyle w:val="BodyText"/>
      </w:pPr>
    </w:p>
    <w:p w:rsidR="00000000" w:rsidRPr="009F7721" w:rsidP="009F7721">
      <w:pPr>
        <w:pStyle w:val="AllowPageBreak"/>
      </w:pPr>
    </w:p>
    <w:p w:rsidR="00000000" w:rsidRPr="009F7721" w:rsidP="009F7721">
      <w:pPr>
        <w:pStyle w:val="Heading1"/>
      </w:pPr>
      <w:bookmarkStart w:id="7" w:name="O_584498"/>
      <w:bookmarkEnd w:id="7"/>
      <w:r w:rsidRPr="009F7721">
        <w:t>Elements and Performance Criteria Pre-Content</w:t>
      </w:r>
    </w:p>
    <w:tbl>
      <w:tblPr>
        <w:tblW w:w="0" w:type="auto"/>
        <w:tblLayout w:type="fixed"/>
        <w:tblCellMar>
          <w:left w:w="62" w:type="dxa"/>
          <w:right w:w="62" w:type="dxa"/>
        </w:tblCellMar>
        <w:tblLook w:val="0000"/>
      </w:tblPr>
      <w:tblGrid>
        <w:gridCol w:w="2700"/>
        <w:gridCol w:w="5760"/>
      </w:tblGrid>
      <w:tr w:rsidTr="00664F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6)</w:t>
            </w:r>
            <w:r w:rsidRPr="009F772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Performance Criteria describe the required performance needed to demonstrate achievement of the element</w:t>
            </w:r>
            <w:r w:rsidRPr="009F7721">
              <w:t>. Assessment of performance is to be consistent with the Evidence Guide.</w:t>
            </w:r>
          </w:p>
        </w:tc>
      </w:tr>
    </w:tbl>
    <w:p w:rsidR="00000000" w:rsidRPr="009F7721" w:rsidP="009F7721">
      <w:pPr>
        <w:pStyle w:val="BodyText"/>
      </w:pPr>
    </w:p>
    <w:p w:rsidR="00000000" w:rsidRPr="009F7721" w:rsidP="009F7721">
      <w:pPr>
        <w:pStyle w:val="AllowPageBreak"/>
      </w:pPr>
    </w:p>
    <w:p w:rsidR="00000000" w:rsidRPr="009F7721" w:rsidP="009F7721">
      <w:pPr>
        <w:pStyle w:val="Heading1"/>
      </w:pPr>
      <w:bookmarkStart w:id="8" w:name="O_584497"/>
      <w:bookmarkEnd w:id="8"/>
      <w:r w:rsidRPr="009F772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64F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PERFORMANCE CRITERIA</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1</w:t>
            </w:r>
          </w:p>
        </w:tc>
        <w:tc>
          <w:tcPr>
            <w:tcW w:w="2296" w:type="dxa"/>
            <w:vMerge w:val="restart"/>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Prepare to produce routine products.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1.1</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Instructions for preparing the work activity are communicated and confirmed to ensure clear understanding routine products.</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1.2</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OHS policies and procedures are communicated and confirmed to ens</w:t>
            </w:r>
            <w:r w:rsidRPr="009F7721">
              <w:t>ure they are understood as they apply to the carrying out of the work.</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1.3</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 xml:space="preserve">Tools, equipment and personnel protective equipment necessary for the work are identified, scheduled and checked to ensure they work correctly as intended and are safe to use in </w:t>
            </w:r>
            <w:r w:rsidRPr="009F7721">
              <w:t>accordance with established procedures.</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1.4</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Appropriate personnel are consulted to ensure the work is coordinated effectively with others involved.</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1.5</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Resources and materials needed to do the work are confirmed, scheduled and obtained in accordance with established procedures</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1.6</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Schedule of work including practices for working safely are confirmed in accordance with instructions and requirements</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2</w:t>
            </w:r>
          </w:p>
        </w:tc>
        <w:tc>
          <w:tcPr>
            <w:tcW w:w="2296" w:type="dxa"/>
            <w:vMerge w:val="restart"/>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P</w:t>
            </w:r>
            <w:r w:rsidRPr="009F7721">
              <w:t>roduce routine products.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2.1</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OHS policies and procedures and safe work practices are followed to eliminate or minimise incidents products.</w:t>
            </w:r>
          </w:p>
        </w:tc>
      </w:tr>
      <w:tr w:rsidTr="00664FD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2.2</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Schedule of work is followed to ensure work is completed in an agreed time, to a quality standard and with a minimum of waste.</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2.3</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Further instructions are sought from appropriate personnel in the event of unplanned happenings or conditions.</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2.4</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Ongo</w:t>
            </w:r>
            <w:r w:rsidRPr="009F7721">
              <w:t>ing checks of work quality are undertaken in accordance with instructions and requirements</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3</w:t>
            </w:r>
          </w:p>
        </w:tc>
        <w:tc>
          <w:tcPr>
            <w:tcW w:w="2296" w:type="dxa"/>
            <w:vMerge w:val="restart"/>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Check results routine tools and devices produced.</w:t>
            </w: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3.1</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Final checks are made to ensure the completed work conforms with instructions and to requirements routine tools and devises produced.</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3.2</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Appropriate personnel are notified of completion of the work.</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3.3</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Tools, equipment and any surplus resources and</w:t>
            </w:r>
            <w:r w:rsidRPr="009F7721">
              <w:t xml:space="preserve"> materials are, where appropriate, cleaned, checked and returned to storage in accordance with established procedures.</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3.4</w:t>
            </w:r>
          </w:p>
        </w:tc>
        <w:tc>
          <w:tcPr>
            <w:tcW w:w="48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Work area is cleaned up and made safe and sustainable energy practices are followed.</w:t>
            </w:r>
          </w:p>
        </w:tc>
      </w:tr>
      <w:tr w:rsidTr="00664F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3.5</w:t>
            </w:r>
          </w:p>
        </w:tc>
        <w:tc>
          <w:tcPr>
            <w:tcW w:w="486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Appropriate records are updated in accordance with instructions and established procedures</w:t>
            </w:r>
          </w:p>
        </w:tc>
      </w:tr>
    </w:tbl>
    <w:p w:rsidR="00000000" w:rsidRPr="009F7721" w:rsidP="009F7721">
      <w:pPr>
        <w:pStyle w:val="BodyText"/>
      </w:pPr>
    </w:p>
    <w:p w:rsidR="00000000" w:rsidRPr="009F7721" w:rsidP="009F7721">
      <w:pPr>
        <w:pStyle w:val="AllowPageBreak"/>
      </w:pPr>
    </w:p>
    <w:p w:rsidR="00000000" w:rsidRPr="009F7721" w:rsidP="009F7721">
      <w:pPr>
        <w:pStyle w:val="Heading1"/>
      </w:pPr>
      <w:bookmarkStart w:id="9" w:name="O_584496"/>
      <w:bookmarkEnd w:id="9"/>
      <w:r w:rsidRPr="009F7721">
        <w:t>Required Skills and Knowledge</w:t>
      </w:r>
    </w:p>
    <w:tbl>
      <w:tblPr>
        <w:tblW w:w="0" w:type="auto"/>
        <w:tblLayout w:type="fixed"/>
        <w:tblCellMar>
          <w:left w:w="62" w:type="dxa"/>
          <w:right w:w="62" w:type="dxa"/>
        </w:tblCellMar>
        <w:tblLook w:val="0000"/>
      </w:tblPr>
      <w:tblGrid>
        <w:gridCol w:w="8460"/>
      </w:tblGrid>
      <w:tr w:rsidTr="00664F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REQUIRED SKILLS AND KNOWLEDGE</w:t>
            </w:r>
          </w:p>
        </w:tc>
      </w:tr>
      <w:tr w:rsidTr="00664FD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8)</w:t>
            </w:r>
            <w:r w:rsidRPr="009F7721">
              <w:t xml:space="preserve"> This describes the essential skills and knowledge and their level, required for this unit.</w:t>
            </w:r>
          </w:p>
          <w:p w:rsidR="00000000" w:rsidRPr="009F7721" w:rsidP="009F7721">
            <w:pPr>
              <w:pStyle w:val="BodyText"/>
            </w:pPr>
            <w:r w:rsidRPr="009F7721">
              <w:t>Evidence shall show that knowledge has been acquired of safe working practices and producing routine tools/devices for carrying out electrotechnology work activitie</w:t>
            </w:r>
            <w:r w:rsidRPr="009F7721">
              <w:t xml:space="preserve">s. </w:t>
            </w:r>
          </w:p>
          <w:p w:rsidR="00000000" w:rsidRPr="009F7721" w:rsidP="009F7721">
            <w:pPr>
              <w:pStyle w:val="BodyText"/>
            </w:pPr>
            <w:r w:rsidRPr="009F7721">
              <w:t>All knowledge and skills detailed in this unit should be contextualised to current industry practices and technologies.</w:t>
            </w:r>
          </w:p>
          <w:p w:rsidR="00000000" w:rsidRPr="009F7721" w:rsidP="009F7721">
            <w:pPr>
              <w:pStyle w:val="BodyText"/>
            </w:pPr>
            <w:r w:rsidRPr="009F7721">
              <w:rPr>
                <w:rStyle w:val="SpecialBold"/>
              </w:rPr>
              <w:t>KS01-EE143A</w:t>
            </w:r>
            <w:r w:rsidRPr="009F7721">
              <w:rPr>
                <w:rStyle w:val="SpecialBold"/>
              </w:rPr>
              <w:tab/>
              <w:t xml:space="preserve">              Energy sector tools and devices </w:t>
            </w:r>
          </w:p>
          <w:p w:rsidR="00000000" w:rsidRPr="009F7721" w:rsidP="009F7721">
            <w:pPr>
              <w:pStyle w:val="BodyText"/>
            </w:pPr>
            <w:r w:rsidRPr="009F7721">
              <w:t>Evidence shall show an understanding of tools used in the energy sector work environment and engineering practice to an extent indicated by the following aspects:</w:t>
            </w:r>
          </w:p>
          <w:p w:rsidR="00000000" w:rsidRPr="009F7721" w:rsidP="009F7721">
            <w:pPr>
              <w:pStyle w:val="BodyText"/>
            </w:pPr>
            <w:r w:rsidRPr="009F7721">
              <w:t>T1</w:t>
            </w:r>
            <w:r w:rsidRPr="009F7721">
              <w:tab/>
              <w:t xml:space="preserve">Hand tools for cutting, shaping, drilling, threading, tapping, and finishing metallic </w:t>
            </w:r>
            <w:r w:rsidRPr="009F7721">
              <w:tab/>
              <w:t>and</w:t>
            </w:r>
            <w:r w:rsidRPr="009F7721">
              <w:t xml:space="preserve"> non-metallic components encompassing:</w:t>
            </w:r>
          </w:p>
          <w:p w:rsidR="00000000" w:rsidRPr="009F7721" w:rsidP="009F7721">
            <w:pPr>
              <w:pStyle w:val="ListBullet"/>
            </w:pPr>
            <w:r w:rsidRPr="009F7721">
              <w:t>types of tools and their purpose</w:t>
            </w:r>
          </w:p>
          <w:p w:rsidR="00000000" w:rsidRPr="009F7721" w:rsidP="009F7721">
            <w:pPr>
              <w:pStyle w:val="ListBullet"/>
            </w:pPr>
            <w:r w:rsidRPr="009F7721">
              <w:t>techniques for the correct and safe use of these tools</w:t>
            </w:r>
          </w:p>
          <w:p w:rsidR="00000000" w:rsidRPr="009F7721" w:rsidP="009F7721">
            <w:pPr>
              <w:pStyle w:val="ListBullet"/>
            </w:pPr>
            <w:r w:rsidRPr="009F7721">
              <w:t xml:space="preserve">hazards associated with their use </w:t>
            </w:r>
          </w:p>
          <w:p w:rsidR="00000000" w:rsidRPr="009F7721" w:rsidP="009F7721">
            <w:pPr>
              <w:pStyle w:val="ListBullet"/>
            </w:pPr>
            <w:r w:rsidRPr="009F7721">
              <w:t xml:space="preserve">care and maintenance of hand tools </w:t>
            </w:r>
          </w:p>
          <w:p w:rsidR="00000000" w:rsidRPr="009F7721" w:rsidP="009F7721">
            <w:pPr>
              <w:pStyle w:val="BodyText"/>
            </w:pPr>
            <w:r w:rsidRPr="009F7721">
              <w:t>T2</w:t>
            </w:r>
            <w:r w:rsidRPr="009F7721">
              <w:tab/>
              <w:t>Tools for measuring and marking out.</w:t>
            </w:r>
          </w:p>
          <w:p w:rsidR="00000000" w:rsidRPr="009F7721" w:rsidP="009F7721">
            <w:pPr>
              <w:pStyle w:val="ListBullet"/>
            </w:pPr>
            <w:r w:rsidRPr="009F7721">
              <w:t>types of tools a</w:t>
            </w:r>
            <w:r w:rsidRPr="009F7721">
              <w:t>nd their purpose</w:t>
            </w:r>
          </w:p>
          <w:p w:rsidR="00000000" w:rsidRPr="009F7721" w:rsidP="009F7721">
            <w:pPr>
              <w:pStyle w:val="ListBullet"/>
            </w:pPr>
            <w:r w:rsidRPr="009F7721">
              <w:t>techniques for the correct and safe use of these tools</w:t>
            </w:r>
          </w:p>
          <w:p w:rsidR="00000000" w:rsidRPr="009F7721" w:rsidP="009F7721">
            <w:pPr>
              <w:pStyle w:val="ListBullet"/>
            </w:pPr>
            <w:r w:rsidRPr="009F7721">
              <w:t xml:space="preserve">hazards associated with their use </w:t>
            </w:r>
          </w:p>
          <w:p w:rsidR="00000000" w:rsidRPr="009F7721" w:rsidP="009F7721">
            <w:pPr>
              <w:pStyle w:val="ListBullet"/>
            </w:pPr>
            <w:r w:rsidRPr="009F7721">
              <w:t>care and maintenance of hand tools</w:t>
            </w:r>
          </w:p>
          <w:p w:rsidR="00000000" w:rsidRPr="009F7721" w:rsidP="009F7721">
            <w:pPr>
              <w:pStyle w:val="BodyText"/>
            </w:pPr>
            <w:r w:rsidRPr="009F7721">
              <w:t>T3</w:t>
            </w:r>
            <w:r w:rsidRPr="009F7721">
              <w:tab/>
              <w:t xml:space="preserve">Tools for dismantling and assembling electrical and electronic components </w:t>
            </w:r>
            <w:r w:rsidRPr="009F7721">
              <w:tab/>
              <w:t>encompassing:</w:t>
            </w:r>
          </w:p>
          <w:p w:rsidR="00000000" w:rsidRPr="009F7721" w:rsidP="009F7721">
            <w:pPr>
              <w:pStyle w:val="ListBullet"/>
            </w:pPr>
            <w:r w:rsidRPr="009F7721">
              <w:t>types of tools and th</w:t>
            </w:r>
            <w:r w:rsidRPr="009F7721">
              <w:t>eir purpose</w:t>
            </w:r>
          </w:p>
          <w:p w:rsidR="00000000" w:rsidRPr="009F7721" w:rsidP="009F7721">
            <w:pPr>
              <w:pStyle w:val="ListBullet"/>
            </w:pPr>
            <w:r w:rsidRPr="009F7721">
              <w:t>techniques for the correct and safe use of these tools</w:t>
            </w:r>
          </w:p>
          <w:p w:rsidR="00000000" w:rsidRPr="009F7721" w:rsidP="009F7721">
            <w:pPr>
              <w:pStyle w:val="ListBullet"/>
            </w:pPr>
            <w:r w:rsidRPr="009F7721">
              <w:t xml:space="preserve">hazards associated with their use </w:t>
            </w:r>
          </w:p>
          <w:p w:rsidR="00000000" w:rsidRPr="009F7721" w:rsidP="009F7721">
            <w:pPr>
              <w:pStyle w:val="ListBullet"/>
            </w:pPr>
            <w:r w:rsidRPr="009F7721">
              <w:t>care and maintenance of hand tools</w:t>
            </w:r>
          </w:p>
          <w:p w:rsidR="00000000" w:rsidRPr="009F7721" w:rsidP="009F7721">
            <w:pPr>
              <w:pStyle w:val="BodyText"/>
            </w:pPr>
            <w:r w:rsidRPr="009F7721">
              <w:t>T4</w:t>
            </w:r>
            <w:r w:rsidRPr="009F7721">
              <w:tab/>
              <w:t>Fixed power tools for cutting, shaping, drilling, and finishing metallic and non-</w:t>
            </w:r>
            <w:r w:rsidRPr="009F7721">
              <w:tab/>
              <w:t>metallic components encompassing:</w:t>
            </w:r>
          </w:p>
          <w:p w:rsidR="00000000" w:rsidRPr="009F7721" w:rsidP="009F7721">
            <w:pPr>
              <w:pStyle w:val="ListBullet"/>
            </w:pPr>
            <w:r w:rsidRPr="009F7721">
              <w:t>types of tools and their purpose</w:t>
            </w:r>
          </w:p>
          <w:p w:rsidR="00000000" w:rsidRPr="009F7721" w:rsidP="009F7721">
            <w:pPr>
              <w:pStyle w:val="ListBullet"/>
            </w:pPr>
            <w:r w:rsidRPr="009F7721">
              <w:t>techniques for the correct and safe use of these tools</w:t>
            </w:r>
          </w:p>
          <w:p w:rsidR="00000000" w:rsidRPr="009F7721" w:rsidP="009F7721">
            <w:pPr>
              <w:pStyle w:val="ListBullet"/>
            </w:pPr>
            <w:r w:rsidRPr="009F7721">
              <w:t xml:space="preserve">hazards associated with their use </w:t>
            </w:r>
          </w:p>
          <w:p w:rsidR="00000000" w:rsidRPr="009F7721" w:rsidP="009F7721">
            <w:pPr>
              <w:pStyle w:val="ListBullet"/>
            </w:pPr>
            <w:r w:rsidRPr="009F7721">
              <w:t xml:space="preserve">care and maintenance of fixed power tools </w:t>
            </w:r>
          </w:p>
          <w:p w:rsidR="00000000" w:rsidRPr="009F7721" w:rsidP="009F7721">
            <w:pPr>
              <w:pStyle w:val="BodyText"/>
            </w:pPr>
            <w:r w:rsidRPr="009F7721">
              <w:t>T5</w:t>
            </w:r>
            <w:r w:rsidRPr="009F7721">
              <w:tab/>
              <w:t xml:space="preserve">Portable power tools for cutting, shaping, drilling, and structural components </w:t>
            </w:r>
            <w:r w:rsidRPr="009F7721">
              <w:tab/>
            </w:r>
            <w:r w:rsidRPr="009F7721">
              <w:t>encompassing:</w:t>
            </w:r>
          </w:p>
          <w:p w:rsidR="00000000" w:rsidRPr="009F7721" w:rsidP="009F7721">
            <w:pPr>
              <w:pStyle w:val="ListBullet"/>
            </w:pPr>
            <w:r w:rsidRPr="009F7721">
              <w:t>types of tools and their purpose</w:t>
            </w:r>
          </w:p>
          <w:p w:rsidR="00000000" w:rsidRPr="009F7721" w:rsidP="009F7721">
            <w:pPr>
              <w:pStyle w:val="ListBullet"/>
            </w:pPr>
            <w:r w:rsidRPr="009F7721">
              <w:t>techniques for the correct and safe use of these tools</w:t>
            </w:r>
          </w:p>
          <w:p w:rsidR="00000000" w:rsidRPr="009F7721" w:rsidP="009F7721">
            <w:pPr>
              <w:pStyle w:val="ListBullet"/>
            </w:pPr>
            <w:r w:rsidRPr="009F7721">
              <w:t xml:space="preserve">hazards associated with their use </w:t>
            </w:r>
          </w:p>
          <w:p w:rsidR="00000000" w:rsidRPr="009F7721" w:rsidP="009F7721">
            <w:pPr>
              <w:pStyle w:val="ListBullet"/>
            </w:pPr>
            <w:r w:rsidRPr="009F7721">
              <w:t>care and maintenance of fixed power tools</w:t>
            </w:r>
          </w:p>
          <w:p w:rsidR="00000000" w:rsidRPr="009F7721" w:rsidP="009F7721">
            <w:pPr>
              <w:pStyle w:val="ListBullet"/>
            </w:pPr>
            <w:r w:rsidRPr="009F7721">
              <w:t>requirements for use on construction sites.</w:t>
            </w:r>
          </w:p>
          <w:p w:rsidR="00000000" w:rsidRPr="009F7721" w:rsidP="009F7721">
            <w:pPr>
              <w:pStyle w:val="BodyText"/>
            </w:pPr>
            <w:r w:rsidRPr="009F7721">
              <w:t>T6</w:t>
            </w:r>
            <w:r w:rsidRPr="009F7721">
              <w:tab/>
              <w:t>Scope of engineering practice</w:t>
            </w:r>
            <w:r w:rsidRPr="009F7721">
              <w:t xml:space="preserve"> work and responsibilities encompassing:</w:t>
            </w:r>
          </w:p>
          <w:p w:rsidR="00000000" w:rsidRPr="009F7721" w:rsidP="009F7721">
            <w:pPr>
              <w:pStyle w:val="ListBullet"/>
            </w:pPr>
            <w:r w:rsidRPr="009F7721">
              <w:t>Working with others in a project team</w:t>
            </w:r>
          </w:p>
          <w:p w:rsidR="00000000" w:rsidRPr="009F7721" w:rsidP="009F7721">
            <w:pPr>
              <w:pStyle w:val="ListBullet"/>
            </w:pPr>
            <w:r w:rsidRPr="009F7721">
              <w:t>Maintaining currency in technical and regulatory developments</w:t>
            </w:r>
          </w:p>
          <w:p w:rsidR="00000000" w:rsidRPr="009F7721" w:rsidP="009F7721">
            <w:pPr>
              <w:pStyle w:val="ListBullet"/>
            </w:pPr>
            <w:r w:rsidRPr="009F7721">
              <w:t>Applying and working to ethical standards</w:t>
            </w:r>
          </w:p>
        </w:tc>
      </w:tr>
    </w:tbl>
    <w:p w:rsidR="00000000" w:rsidRPr="009F7721" w:rsidP="009F7721">
      <w:pPr>
        <w:pStyle w:val="BodyText"/>
      </w:pPr>
    </w:p>
    <w:p w:rsidR="00000000" w:rsidRPr="009F7721" w:rsidP="009F7721">
      <w:pPr>
        <w:pStyle w:val="AllowPageBreak"/>
      </w:pPr>
    </w:p>
    <w:p w:rsidR="00000000" w:rsidRPr="009F7721" w:rsidP="009F7721">
      <w:pPr>
        <w:pStyle w:val="Heading1"/>
      </w:pPr>
      <w:bookmarkStart w:id="10" w:name="O_584495"/>
      <w:bookmarkEnd w:id="10"/>
      <w:r w:rsidRPr="009F7721">
        <w:t>Evidence Guide</w:t>
      </w:r>
    </w:p>
    <w:tbl>
      <w:tblPr>
        <w:tblW w:w="0" w:type="auto"/>
        <w:tblLayout w:type="fixed"/>
        <w:tblCellMar>
          <w:left w:w="62" w:type="dxa"/>
          <w:right w:w="62" w:type="dxa"/>
        </w:tblCellMar>
        <w:tblLook w:val="0000"/>
      </w:tblPr>
      <w:tblGrid>
        <w:gridCol w:w="8460"/>
      </w:tblGrid>
      <w:tr w:rsidTr="00664F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EVIDENCE GUIDE</w:t>
            </w:r>
          </w:p>
        </w:tc>
      </w:tr>
      <w:tr w:rsidTr="00664F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9)</w:t>
            </w:r>
            <w:r w:rsidRPr="009F7721">
              <w:t xml:space="preserve"> The evidence guide provides advice on assessment and must be read in conjunction with the Performance Criteria, Required Skills and Knowledge, the Range Statement and the Assessment Guidelines for this Training Package. </w:t>
            </w:r>
          </w:p>
          <w:p w:rsidR="00000000" w:rsidRPr="009F7721" w:rsidP="009F7721">
            <w:pPr>
              <w:pStyle w:val="BodyText"/>
            </w:pPr>
            <w:r w:rsidRPr="009F7721">
              <w:t>The Evidence Guide forms an integr</w:t>
            </w:r>
            <w:r w:rsidRPr="009F7721">
              <w:t>al part of this unit. It must be used in conjunction with all parts of the unit and performed in accordance with the Assessment Guidelines of this Training Package.</w:t>
            </w:r>
          </w:p>
        </w:tc>
      </w:tr>
    </w:tbl>
    <w:p w:rsidR="00000000" w:rsidRPr="009F7721" w:rsidP="009F7721">
      <w:pPr>
        <w:pStyle w:val="BodyText"/>
      </w:pPr>
    </w:p>
    <w:tbl>
      <w:tblPr>
        <w:tblW w:w="0" w:type="auto"/>
        <w:tblLayout w:type="fixed"/>
        <w:tblCellMar>
          <w:left w:w="62" w:type="dxa"/>
          <w:right w:w="62" w:type="dxa"/>
        </w:tblCellMar>
        <w:tblLook w:val="0000"/>
      </w:tblPr>
      <w:tblGrid>
        <w:gridCol w:w="1890"/>
        <w:gridCol w:w="6570"/>
      </w:tblGrid>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9.1)</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Longitudinal competency development approaches to assessment, such as Profiling, require data to be reliably gathered in a form that can be consistently interpreted over time. This approach is best utilised in Apprenticeship programs and reduces assessment</w:t>
            </w:r>
            <w:r w:rsidRPr="009F772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F7721">
              <w:t>ncy in a realistically simulated work environment. It is recognised that, in some circumstances, assessment in part or full can occur outside the workplace. However, it must be in accordance with industry and regulatory policy.</w:t>
            </w:r>
          </w:p>
          <w:p w:rsidR="00000000" w:rsidRPr="009F7721" w:rsidP="009F7721">
            <w:pPr>
              <w:pStyle w:val="BodyText"/>
            </w:pPr>
            <w:r w:rsidRPr="009F7721">
              <w:t>Methods chosen for a particu</w:t>
            </w:r>
            <w:r w:rsidRPr="009F7721">
              <w:t>lar assessment will be influenced by various factors. These include the extent of the assessment, the most effective locations for the assessment activities to take place, access to physical resources, additional safety measures that may be required and th</w:t>
            </w:r>
            <w:r w:rsidRPr="009F7721">
              <w:t>e critical nature of the competencies being assessed.</w:t>
            </w:r>
          </w:p>
          <w:p w:rsidR="00000000" w:rsidRPr="009F7721" w:rsidP="009F7721">
            <w:pPr>
              <w:pStyle w:val="BodyText"/>
            </w:pPr>
            <w:r w:rsidRPr="009F7721">
              <w:t>The critical safety nature of working with electricity, electrical equipment, gas or any other hazardous substance/material carries risk in deeming a person competent. Sources of evidence need to be ‘ri</w:t>
            </w:r>
            <w:r w:rsidRPr="009F7721">
              <w:t>ch’ in nature to minimise error in judgment.</w:t>
            </w:r>
          </w:p>
          <w:p w:rsidR="00000000" w:rsidRPr="009F7721" w:rsidP="009F7721">
            <w:pPr>
              <w:pStyle w:val="BodyText"/>
            </w:pPr>
            <w:r w:rsidRPr="009F7721">
              <w:t>Activities associated with normal everyday work have a bearing on the decision as to how much and how detailed the data gathered will contribute to its ‘richness’. Some skills are more critical to safety and ope</w:t>
            </w:r>
            <w:r w:rsidRPr="009F7721">
              <w:t>rational requirements while the same skills may be more or less frequently practised. These points are raised for the assessors to consider when choosing an assessment method and developing assessment instruments. Sample assessment instruments are included</w:t>
            </w:r>
            <w:r w:rsidRPr="009F7721">
              <w:t xml:space="preserve"> for Assessors in the Assessment Guidelines of this Training Package.</w:t>
            </w:r>
          </w:p>
        </w:tc>
      </w:tr>
    </w:tbl>
    <w:p w:rsidR="00000000" w:rsidRPr="009F7721" w:rsidP="009F7721">
      <w:pPr>
        <w:pStyle w:val="BodyText"/>
      </w:pPr>
    </w:p>
    <w:tbl>
      <w:tblPr>
        <w:tblW w:w="0" w:type="auto"/>
        <w:tblLayout w:type="fixed"/>
        <w:tblCellMar>
          <w:left w:w="62" w:type="dxa"/>
          <w:right w:w="62" w:type="dxa"/>
        </w:tblCellMar>
        <w:tblLook w:val="0000"/>
      </w:tblPr>
      <w:tblGrid>
        <w:gridCol w:w="1890"/>
        <w:gridCol w:w="1530"/>
        <w:gridCol w:w="5040"/>
      </w:tblGrid>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9.2)</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Before the critical aspects of evidence are considered all prerequisites must be met.</w:t>
            </w:r>
          </w:p>
          <w:p w:rsidR="00000000" w:rsidRPr="009F7721" w:rsidP="009F7721">
            <w:pPr>
              <w:pStyle w:val="BodyText"/>
            </w:pPr>
            <w:r w:rsidRPr="009F7721">
              <w:t xml:space="preserve">Evidence for </w:t>
            </w:r>
            <w:r w:rsidRPr="009F7721">
              <w:t>competence in this unit shall be considered holistically.  Each element and associated performance criteria shall be demonstrated on at least two occasions in accordance with the ‘Assessment Guidelines – UEE11’.  Evidence shall also comprise:</w:t>
            </w:r>
          </w:p>
          <w:p w:rsidR="00000000" w:rsidRPr="009F7721" w:rsidP="009F7721">
            <w:pPr>
              <w:pStyle w:val="ListBullet"/>
            </w:pPr>
            <w:r w:rsidRPr="009F7721">
              <w:t>A representa</w:t>
            </w:r>
            <w:r w:rsidRPr="009F7721">
              <w:t>tive body of work performance demonstrated within the timeframes typically expected of the discipline, work function and industrial environment. In particular this shall incorporate evidence that shows a candidate is able to:</w:t>
            </w:r>
          </w:p>
          <w:p w:rsidR="00000000" w:rsidRPr="009F7721" w:rsidP="009F7721">
            <w:pPr>
              <w:pStyle w:val="ListBullet2"/>
            </w:pPr>
            <w:r w:rsidRPr="009F7721">
              <w:t>Implement Occupational Health and Safety workplace procedures and practices, including the use of risk control measures as specified in the performance criteria and range statement</w:t>
            </w:r>
          </w:p>
          <w:p w:rsidR="00000000" w:rsidRPr="009F7721" w:rsidP="009F7721">
            <w:pPr>
              <w:pStyle w:val="ListBullet2"/>
            </w:pPr>
            <w:r w:rsidRPr="009F7721">
              <w:t>Apply sustainable energy principles and practices as specified in the perfo</w:t>
            </w:r>
            <w:r w:rsidRPr="009F7721">
              <w:t>rmance criteria and range statement</w:t>
            </w:r>
          </w:p>
          <w:p w:rsidR="00000000" w:rsidRPr="009F7721" w:rsidP="009F7721">
            <w:pPr>
              <w:pStyle w:val="ListBullet2"/>
            </w:pPr>
            <w:r w:rsidRPr="009F7721">
              <w:t>Demonstrate an understanding of the essential knowledge and associated skills as described in this unit.  It may be required by some jurisdictions that RTOs provide a percentile graded result for the purpose of regulator</w:t>
            </w:r>
            <w:r w:rsidRPr="009F7721">
              <w:t xml:space="preserve">y or licensing requirements.   </w:t>
            </w:r>
          </w:p>
          <w:p w:rsidR="00000000" w:rsidRPr="009F7721" w:rsidP="009F7721">
            <w:pPr>
              <w:pStyle w:val="ListBullet2"/>
            </w:pPr>
            <w:r w:rsidRPr="009F7721">
              <w:t>Demonstrate an appropriate level of skills enabling employment</w:t>
            </w:r>
          </w:p>
          <w:p w:rsidR="00000000" w:rsidRPr="009F7721" w:rsidP="009F7721">
            <w:pPr>
              <w:pStyle w:val="ListBullet2"/>
            </w:pPr>
            <w:r w:rsidRPr="009F7721">
              <w:t>Conduct work observing the relevant Anti Discrimination legislation, regulations, polices and workplace procedures</w:t>
            </w:r>
          </w:p>
          <w:p w:rsidR="00000000" w:rsidRPr="009F7721" w:rsidP="009F7721">
            <w:pPr>
              <w:pStyle w:val="ListBullet"/>
            </w:pPr>
            <w:r w:rsidRPr="009F7721">
              <w:t xml:space="preserve">Demonstrated consistent performance across a </w:t>
            </w:r>
            <w:r w:rsidRPr="009F7721">
              <w:t>representative range of contexts from the prescribed items below:</w:t>
            </w:r>
          </w:p>
          <w:p w:rsidR="00000000" w:rsidP="009F7721">
            <w:pPr>
              <w:pStyle w:val="ListBullet2"/>
              <w:rPr>
                <w:lang w:val="en-NZ"/>
              </w:rPr>
            </w:pPr>
            <w:r w:rsidRPr="009F7721">
              <w:t>Produce routine tools/devices for carrying out electrotechnology work activities as described in 8) and including:</w:t>
            </w:r>
          </w:p>
        </w:tc>
      </w:tr>
      <w:tr w:rsidTr="00664FDD">
        <w:tblPrEx>
          <w:tblW w:w="0" w:type="auto"/>
          <w:tblLayout w:type="fixed"/>
          <w:tblCellMar>
            <w:left w:w="62" w:type="dxa"/>
            <w:right w:w="62" w:type="dxa"/>
          </w:tblCellMar>
          <w:tblLook w:val="0000"/>
        </w:tblPrEx>
        <w:trPr>
          <w:trHeight w:val="36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A</w:t>
            </w:r>
          </w:p>
        </w:tc>
        <w:tc>
          <w:tcPr>
            <w:tcW w:w="504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Understanding work instructions.</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B</w:t>
            </w:r>
          </w:p>
        </w:tc>
        <w:tc>
          <w:tcPr>
            <w:tcW w:w="504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Obtaining and checking tools and equipment.</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C</w:t>
            </w:r>
          </w:p>
        </w:tc>
        <w:tc>
          <w:tcPr>
            <w:tcW w:w="504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Following work schedules.</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D</w:t>
            </w:r>
          </w:p>
        </w:tc>
        <w:tc>
          <w:tcPr>
            <w:tcW w:w="504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Producing products in accordance with work schedule.</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E</w:t>
            </w:r>
          </w:p>
        </w:tc>
        <w:tc>
          <w:tcPr>
            <w:tcW w:w="504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Returning tools and surplus resources as required.</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F</w:t>
            </w:r>
          </w:p>
        </w:tc>
        <w:tc>
          <w:tcPr>
            <w:tcW w:w="504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Updating work records.</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G</w:t>
            </w:r>
          </w:p>
        </w:tc>
        <w:tc>
          <w:tcPr>
            <w:tcW w:w="504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t>Dealing with unplanned events by drawing on essential knowledge and skills to provide appropriate solutions incorporated in a holistic assessment with the above listed items.</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 xml:space="preserve">Note: </w:t>
            </w:r>
            <w:r w:rsidRPr="009F7721">
              <w:br/>
              <w:t>Successful completion of relevant vendor training may be used to contrib</w:t>
            </w:r>
            <w:r w:rsidRPr="009F7721">
              <w:t>ute to evidence on which competency is deemed. In these cases the alignment of outcomes of vendor training with performance criteria and critical aspects of evidence shall be clearly identified.</w:t>
            </w:r>
          </w:p>
        </w:tc>
      </w:tr>
    </w:tbl>
    <w:p w:rsidR="00000000" w:rsidRPr="009F7721" w:rsidP="009F7721">
      <w:pPr>
        <w:pStyle w:val="BodyText"/>
      </w:pPr>
    </w:p>
    <w:tbl>
      <w:tblPr>
        <w:tblW w:w="0" w:type="auto"/>
        <w:tblLayout w:type="fixed"/>
        <w:tblCellMar>
          <w:left w:w="62" w:type="dxa"/>
          <w:right w:w="62" w:type="dxa"/>
        </w:tblCellMar>
        <w:tblLook w:val="0000"/>
      </w:tblPr>
      <w:tblGrid>
        <w:gridCol w:w="1890"/>
        <w:gridCol w:w="6570"/>
      </w:tblGrid>
      <w:tr w:rsidTr="00664FD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9.3)</w:t>
            </w:r>
          </w:p>
        </w:tc>
      </w:tr>
      <w:tr w:rsidTr="00664FD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This unit should be assessed as it relates to normal work practice using procedures, information and resources typical of a workplace. This should include:</w:t>
            </w:r>
          </w:p>
          <w:p w:rsidR="00000000" w:rsidRPr="009F7721" w:rsidP="009F7721">
            <w:pPr>
              <w:pStyle w:val="ListBullet"/>
            </w:pPr>
            <w:r w:rsidRPr="009F7721">
              <w:t>OHS policy and work procedures and instructions.</w:t>
            </w:r>
          </w:p>
          <w:p w:rsidR="00000000" w:rsidRPr="009F7721" w:rsidP="009F7721">
            <w:pPr>
              <w:pStyle w:val="ListBullet"/>
            </w:pPr>
            <w:r w:rsidRPr="009F7721">
              <w:t>Suitable work environment, facilities, equipment a</w:t>
            </w:r>
            <w:r w:rsidRPr="009F7721">
              <w:t>nd materials to undertake actual work as prescribed in this unit.</w:t>
            </w:r>
          </w:p>
          <w:p w:rsidR="00000000" w:rsidRPr="009F7721" w:rsidP="009F7721">
            <w:pPr>
              <w:pStyle w:val="BodyText"/>
            </w:pPr>
            <w:r w:rsidRPr="009F7721">
              <w:t>These should be used in the formal learning/assessment environment.</w:t>
            </w:r>
          </w:p>
          <w:p w:rsidR="00000000" w:rsidRPr="009F7721" w:rsidP="009F7721">
            <w:pPr>
              <w:pStyle w:val="BodyText"/>
            </w:pPr>
            <w:r w:rsidRPr="009F7721">
              <w:t>Note:</w:t>
            </w:r>
          </w:p>
          <w:p w:rsidR="00000000" w:rsidRPr="009F7721" w:rsidP="009F7721">
            <w:pPr>
              <w:pStyle w:val="BodyText"/>
            </w:pPr>
            <w:r w:rsidRPr="009F7721">
              <w:t>Where simulation is considered a suitable strategy for assessment, conditions for assessment must be authentic and as far as possible reproduce and replicate the workplace and be consistent with the approved industry simulation policy.</w:t>
            </w:r>
          </w:p>
          <w:p w:rsidR="00000000" w:rsidRPr="009F7721" w:rsidP="009F7721">
            <w:pPr>
              <w:pStyle w:val="BodyText"/>
            </w:pPr>
            <w:r w:rsidRPr="009F7721">
              <w:t>The resources used f</w:t>
            </w:r>
            <w:r w:rsidRPr="009F7721">
              <w:t>or assessment should reflect current industry practices in relation to producing routine tools/devices for carrying out energy sector work activities.</w:t>
            </w:r>
          </w:p>
        </w:tc>
      </w:tr>
    </w:tbl>
    <w:p w:rsidR="00000000" w:rsidRPr="009F7721" w:rsidP="009F7721">
      <w:pPr>
        <w:pStyle w:val="BodyText"/>
      </w:pPr>
    </w:p>
    <w:tbl>
      <w:tblPr>
        <w:tblW w:w="0" w:type="auto"/>
        <w:tblLayout w:type="fixed"/>
        <w:tblCellMar>
          <w:left w:w="62" w:type="dxa"/>
          <w:right w:w="62" w:type="dxa"/>
        </w:tblCellMar>
        <w:tblLook w:val="0000"/>
      </w:tblPr>
      <w:tblGrid>
        <w:gridCol w:w="1890"/>
        <w:gridCol w:w="6570"/>
      </w:tblGrid>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9.4)</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This unit shall be assessed by methods given in Volume 1, Part 3 ‘</w:t>
            </w:r>
            <w:r w:rsidRPr="009F7721">
              <w:t>Assessment Guidelines’.</w:t>
            </w:r>
          </w:p>
          <w:p w:rsidR="00000000" w:rsidRPr="009F7721" w:rsidP="009F7721">
            <w:pPr>
              <w:pStyle w:val="BodyText"/>
            </w:pPr>
            <w:r w:rsidRPr="009F7721">
              <w:t xml:space="preserve">Note: </w:t>
            </w:r>
          </w:p>
          <w:p w:rsidR="00000000" w:rsidRPr="009F7721" w:rsidP="009F7721">
            <w:pPr>
              <w:pStyle w:val="BodyText"/>
            </w:pPr>
            <w:r w:rsidRPr="009F7721">
              <w:t>Competent performance with inherent safe working practices is expected in the Industry to which this unit applies. This requires that the specified essential knowledge and associated skills are assessed in a structured enviro</w:t>
            </w:r>
            <w:r w:rsidRPr="009F7721">
              <w:t>nment which is primarily intended for learning/assessment and incorporates all necessary equipment and facilities for learners to develop and demonstrate the essential knowledge and skills described in this unit.</w:t>
            </w:r>
          </w:p>
        </w:tc>
      </w:tr>
    </w:tbl>
    <w:p w:rsidR="00000000" w:rsidRPr="009F7721" w:rsidP="009F7721">
      <w:pPr>
        <w:pStyle w:val="BodyText"/>
      </w:pPr>
    </w:p>
    <w:tbl>
      <w:tblPr>
        <w:tblW w:w="0" w:type="auto"/>
        <w:tblLayout w:type="fixed"/>
        <w:tblCellMar>
          <w:left w:w="62" w:type="dxa"/>
          <w:right w:w="62" w:type="dxa"/>
        </w:tblCellMar>
        <w:tblLook w:val="0000"/>
      </w:tblPr>
      <w:tblGrid>
        <w:gridCol w:w="1890"/>
        <w:gridCol w:w="6570"/>
      </w:tblGrid>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Concurrent assessment and relationship wi</w:t>
            </w:r>
            <w:r w:rsidRPr="009F7721">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9.5)</w:t>
            </w:r>
          </w:p>
        </w:tc>
      </w:tr>
      <w:tr w:rsidTr="00664F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There are no concurrent assessment recommendations for this unit.</w:t>
            </w:r>
          </w:p>
        </w:tc>
      </w:tr>
    </w:tbl>
    <w:p w:rsidR="00000000" w:rsidRPr="009F7721" w:rsidP="009F7721">
      <w:pPr>
        <w:pStyle w:val="BodyText"/>
      </w:pPr>
    </w:p>
    <w:p w:rsidR="00000000" w:rsidRPr="009F7721" w:rsidP="009F7721">
      <w:pPr>
        <w:pStyle w:val="AllowPageBreak"/>
      </w:pPr>
    </w:p>
    <w:p w:rsidR="00000000" w:rsidRPr="009F7721" w:rsidP="009F7721">
      <w:pPr>
        <w:pStyle w:val="Heading1"/>
      </w:pPr>
      <w:bookmarkStart w:id="11" w:name="O_584494"/>
      <w:bookmarkEnd w:id="11"/>
      <w:r w:rsidRPr="009F7721">
        <w:t>Range Statement</w:t>
      </w:r>
    </w:p>
    <w:tbl>
      <w:tblPr>
        <w:tblW w:w="0" w:type="auto"/>
        <w:tblLayout w:type="fixed"/>
        <w:tblCellMar>
          <w:left w:w="62" w:type="dxa"/>
          <w:right w:w="62" w:type="dxa"/>
        </w:tblCellMar>
        <w:tblLook w:val="0000"/>
      </w:tblPr>
      <w:tblGrid>
        <w:gridCol w:w="8460"/>
      </w:tblGrid>
      <w:tr w:rsidTr="00664F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RANGE STATEMENT</w:t>
            </w:r>
          </w:p>
        </w:tc>
      </w:tr>
      <w:tr w:rsidTr="00664F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10)</w:t>
            </w:r>
            <w:r w:rsidRPr="009F7721">
              <w:t xml:space="preserve"> This relates to the unit as a whole providing the range of contexts and conditions to which the </w:t>
            </w:r>
            <w:r w:rsidRPr="009F7721">
              <w:t>performance criteria apply. It allows for different work environments and situations that will affect performance.</w:t>
            </w:r>
          </w:p>
          <w:p w:rsidR="00000000" w:rsidRPr="009F7721" w:rsidP="009F7721">
            <w:pPr>
              <w:pStyle w:val="BodyText"/>
            </w:pPr>
            <w:r w:rsidRPr="009F7721">
              <w:t>This unit shall be demonstrated in relation to producing routine tools/devices for carrying out energy sector work activities in any of the f</w:t>
            </w:r>
            <w:r w:rsidRPr="009F7721">
              <w:t>ollowing disciplines:</w:t>
            </w:r>
          </w:p>
          <w:p w:rsidR="00000000" w:rsidRPr="009F7721" w:rsidP="009F7721">
            <w:pPr>
              <w:pStyle w:val="ListBullet3"/>
            </w:pPr>
            <w:r w:rsidRPr="009F7721">
              <w:t>Appliances</w:t>
            </w:r>
          </w:p>
          <w:p w:rsidR="00000000" w:rsidRPr="009F7721" w:rsidP="009F7721">
            <w:pPr>
              <w:pStyle w:val="ListBullet3"/>
            </w:pPr>
            <w:r w:rsidRPr="009F7721">
              <w:t>Business equipment</w:t>
            </w:r>
          </w:p>
          <w:p w:rsidR="00000000" w:rsidRPr="009F7721" w:rsidP="009F7721">
            <w:pPr>
              <w:pStyle w:val="ListBullet3"/>
            </w:pPr>
            <w:r w:rsidRPr="009F7721">
              <w:t xml:space="preserve">Computers </w:t>
            </w:r>
          </w:p>
          <w:p w:rsidR="00000000" w:rsidRPr="009F7721" w:rsidP="009F7721">
            <w:pPr>
              <w:pStyle w:val="ListBullet3"/>
            </w:pPr>
            <w:r w:rsidRPr="009F7721">
              <w:t>Data Communications</w:t>
            </w:r>
          </w:p>
          <w:p w:rsidR="00000000" w:rsidRPr="009F7721" w:rsidP="009F7721">
            <w:pPr>
              <w:pStyle w:val="ListBullet3"/>
            </w:pPr>
            <w:r w:rsidRPr="009F7721">
              <w:t>Electrical</w:t>
            </w:r>
          </w:p>
          <w:p w:rsidR="00000000" w:rsidRPr="009F7721" w:rsidP="009F7721">
            <w:pPr>
              <w:pStyle w:val="ListBullet3"/>
            </w:pPr>
            <w:r w:rsidRPr="009F7721">
              <w:t>Electrical Machines</w:t>
            </w:r>
          </w:p>
          <w:p w:rsidR="00000000" w:rsidRPr="009F7721" w:rsidP="009F7721">
            <w:pPr>
              <w:pStyle w:val="ListBullet3"/>
            </w:pPr>
            <w:r w:rsidRPr="009F7721">
              <w:t>Electronics</w:t>
            </w:r>
          </w:p>
          <w:p w:rsidR="00000000" w:rsidRPr="009F7721" w:rsidP="009F7721">
            <w:pPr>
              <w:pStyle w:val="ListBullet3"/>
            </w:pPr>
            <w:r w:rsidRPr="009F7721">
              <w:t>Fire protection</w:t>
            </w:r>
          </w:p>
          <w:p w:rsidR="00000000" w:rsidRPr="009F7721" w:rsidP="009F7721">
            <w:pPr>
              <w:pStyle w:val="ListBullet3"/>
            </w:pPr>
            <w:r w:rsidRPr="009F7721">
              <w:t>Instrumentation</w:t>
            </w:r>
          </w:p>
          <w:p w:rsidR="00000000" w:rsidRPr="009F7721" w:rsidP="009F7721">
            <w:pPr>
              <w:pStyle w:val="ListBullet3"/>
            </w:pPr>
            <w:r w:rsidRPr="009F7721">
              <w:t>Refrigeration and Air Conditioning</w:t>
            </w:r>
          </w:p>
          <w:p w:rsidR="00000000" w:rsidRPr="009F7721" w:rsidP="009F7721">
            <w:pPr>
              <w:pStyle w:val="ListBullet3"/>
            </w:pPr>
            <w:r w:rsidRPr="009F7721">
              <w:t>Renewable / sustainable energy, and</w:t>
            </w:r>
          </w:p>
          <w:p w:rsidR="00000000" w:rsidRPr="009F7721" w:rsidP="009F7721">
            <w:pPr>
              <w:pStyle w:val="ListBullet3"/>
            </w:pPr>
            <w:r w:rsidRPr="009F7721">
              <w:t>Security technology</w:t>
            </w:r>
          </w:p>
          <w:p w:rsidR="00000000" w:rsidRPr="009F7721" w:rsidP="009F7721">
            <w:pPr>
              <w:pStyle w:val="BodyText"/>
            </w:pPr>
            <w:r w:rsidRPr="009F7721">
              <w:t>Generic terms used throughout this Vocational Standard shall be regarded as part of the Range Statement in which competency is demonstrated. The definition of these and other terms that apply are given in Volume 2, Part 2.1.</w:t>
            </w:r>
          </w:p>
        </w:tc>
      </w:tr>
    </w:tbl>
    <w:p w:rsidR="00000000" w:rsidRPr="009F7721" w:rsidP="009F7721">
      <w:pPr>
        <w:pStyle w:val="BodyText"/>
      </w:pPr>
    </w:p>
    <w:p w:rsidR="00000000" w:rsidRPr="009F7721" w:rsidP="009F7721">
      <w:pPr>
        <w:pStyle w:val="AllowPageBreak"/>
      </w:pPr>
    </w:p>
    <w:p w:rsidR="00000000" w:rsidRPr="009F7721" w:rsidP="009F7721">
      <w:pPr>
        <w:pStyle w:val="Heading1"/>
      </w:pPr>
      <w:bookmarkStart w:id="12" w:name="O_584493"/>
      <w:bookmarkEnd w:id="12"/>
      <w:r w:rsidRPr="009F7721">
        <w:t>Unit Sector(</w:t>
      </w:r>
      <w:r w:rsidRPr="009F7721">
        <w:t>s)</w:t>
      </w:r>
    </w:p>
    <w:p w:rsidR="00000000" w:rsidRPr="009F7721" w:rsidP="009F7721">
      <w:pPr>
        <w:pStyle w:val="BodyText"/>
      </w:pPr>
      <w:r w:rsidRPr="009F7721">
        <w:t>Not applicable.</w:t>
      </w:r>
    </w:p>
    <w:p w:rsidR="00000000" w:rsidRPr="009F7721" w:rsidP="009F7721">
      <w:pPr>
        <w:pStyle w:val="AllowPageBreak"/>
      </w:pPr>
    </w:p>
    <w:p w:rsidR="00000000" w:rsidRPr="009F7721" w:rsidP="009F7721">
      <w:pPr>
        <w:pStyle w:val="Heading1"/>
      </w:pPr>
      <w:bookmarkStart w:id="13" w:name="O_584492"/>
      <w:bookmarkEnd w:id="13"/>
      <w:r w:rsidRPr="009F7721">
        <w:t>Competency Field</w:t>
      </w:r>
    </w:p>
    <w:tbl>
      <w:tblPr>
        <w:tblW w:w="0" w:type="auto"/>
        <w:tblLayout w:type="fixed"/>
        <w:tblCellMar>
          <w:left w:w="62" w:type="dxa"/>
          <w:right w:w="62" w:type="dxa"/>
        </w:tblCellMar>
        <w:tblLook w:val="0000"/>
      </w:tblPr>
      <w:tblGrid>
        <w:gridCol w:w="2700"/>
        <w:gridCol w:w="5760"/>
      </w:tblGrid>
      <w:tr w:rsidTr="00664F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F7721">
            <w:pPr>
              <w:pStyle w:val="BodyText"/>
              <w:rPr>
                <w:lang w:val="en-NZ"/>
              </w:rPr>
            </w:pPr>
            <w:r w:rsidRPr="009F7721">
              <w:rPr>
                <w:rStyle w:val="SpecialBold"/>
              </w:rPr>
              <w:t xml:space="preserve">11) </w:t>
            </w:r>
          </w:p>
        </w:tc>
      </w:tr>
      <w:tr w:rsidTr="00664F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7721" w:rsidP="009F7721">
            <w:pPr>
              <w:pStyle w:val="BodyText"/>
            </w:pPr>
            <w:r w:rsidRPr="009F7721">
              <w:t>Electrotechnology</w:t>
            </w:r>
          </w:p>
        </w:tc>
      </w:tr>
    </w:tbl>
    <w:p w:rsidR="00000000" w:rsidRPr="009F7721" w:rsidP="009F7721">
      <w:pPr>
        <w:pStyle w:val="BodyText"/>
      </w:pPr>
    </w:p>
    <w:p w:rsidR="00000000" w:rsidRPr="009F7721" w:rsidP="009F7721"/>
    <w:sectPr w:rsidSect="009F77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21" w:rsidRPr="00664FDD" w:rsidP="00664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DD" w:rsidP="009F7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64FDD" w:rsidP="009F77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64FDD" w:rsidP="009F77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21" w:rsidRPr="00664FDD" w:rsidP="00664F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DD" w:rsidRPr="002D2AF8" w:rsidP="009F7721">
    <w:pPr>
      <w:pStyle w:val="Header"/>
      <w:framePr w:wrap="around"/>
    </w:pPr>
    <w:r>
      <w:fldChar w:fldCharType="begin"/>
    </w:r>
    <w:r>
      <w:instrText xml:space="preserve"> TITLE   \* MERGEFORMAT </w:instrText>
    </w:r>
    <w:r>
      <w:fldChar w:fldCharType="separate"/>
    </w:r>
    <w:r>
      <w:t>UEENEEE143A Produce routine tools/devices for carrying out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64FDD" w:rsidP="009F7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08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7E2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6C4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721"/>
    <w:pPr>
      <w:spacing w:before="360" w:after="60"/>
      <w:outlineLvl w:val="0"/>
    </w:pPr>
    <w:rPr>
      <w:sz w:val="32"/>
    </w:rPr>
  </w:style>
  <w:style w:type="paragraph" w:styleId="Heading2">
    <w:name w:val="heading 2"/>
    <w:basedOn w:val="HeadingBase"/>
    <w:next w:val="BodyText"/>
    <w:link w:val="Heading2Char"/>
    <w:qFormat/>
    <w:rsid w:val="009F7721"/>
    <w:pPr>
      <w:keepLines/>
      <w:spacing w:before="240" w:after="120"/>
      <w:outlineLvl w:val="1"/>
    </w:pPr>
    <w:rPr>
      <w:sz w:val="28"/>
      <w:szCs w:val="40"/>
    </w:rPr>
  </w:style>
  <w:style w:type="paragraph" w:styleId="Heading3">
    <w:name w:val="heading 3"/>
    <w:basedOn w:val="HeadingBase"/>
    <w:next w:val="BodyText"/>
    <w:link w:val="Heading3Char"/>
    <w:qFormat/>
    <w:rsid w:val="009F7721"/>
    <w:pPr>
      <w:spacing w:before="180" w:after="120"/>
      <w:outlineLvl w:val="2"/>
    </w:pPr>
    <w:rPr>
      <w:spacing w:val="-10"/>
      <w:kern w:val="32"/>
    </w:rPr>
  </w:style>
  <w:style w:type="paragraph" w:styleId="Heading4">
    <w:name w:val="heading 4"/>
    <w:basedOn w:val="HeadingBase"/>
    <w:next w:val="BodyText"/>
    <w:link w:val="Heading4Char"/>
    <w:qFormat/>
    <w:rsid w:val="009F7721"/>
    <w:pPr>
      <w:spacing w:before="160" w:after="120"/>
      <w:outlineLvl w:val="3"/>
    </w:pPr>
    <w:rPr>
      <w:sz w:val="22"/>
    </w:rPr>
  </w:style>
  <w:style w:type="paragraph" w:styleId="Heading5">
    <w:name w:val="heading 5"/>
    <w:basedOn w:val="HeadingBase"/>
    <w:next w:val="Normal"/>
    <w:link w:val="Heading5Char"/>
    <w:qFormat/>
    <w:rsid w:val="009F7721"/>
    <w:pPr>
      <w:spacing w:before="80"/>
      <w:outlineLvl w:val="4"/>
    </w:pPr>
    <w:rPr>
      <w:color w:val="918585"/>
      <w:sz w:val="20"/>
    </w:rPr>
  </w:style>
  <w:style w:type="paragraph" w:styleId="Heading6">
    <w:name w:val="heading 6"/>
    <w:basedOn w:val="HeadingBase"/>
    <w:next w:val="Normal"/>
    <w:link w:val="Heading6Char"/>
    <w:qFormat/>
    <w:rsid w:val="009F7721"/>
    <w:pPr>
      <w:spacing w:before="60"/>
      <w:outlineLvl w:val="5"/>
    </w:pPr>
    <w:rPr>
      <w:color w:val="918585"/>
      <w:sz w:val="20"/>
    </w:rPr>
  </w:style>
  <w:style w:type="paragraph" w:styleId="Heading7">
    <w:name w:val="heading 7"/>
    <w:basedOn w:val="Normal"/>
    <w:next w:val="Normal"/>
    <w:link w:val="Heading7Char"/>
    <w:qFormat/>
    <w:rsid w:val="009F7721"/>
    <w:pPr>
      <w:ind w:left="720"/>
      <w:outlineLvl w:val="6"/>
    </w:pPr>
    <w:rPr>
      <w:i/>
    </w:rPr>
  </w:style>
  <w:style w:type="paragraph" w:styleId="Heading8">
    <w:name w:val="heading 8"/>
    <w:basedOn w:val="Normal"/>
    <w:next w:val="Normal"/>
    <w:link w:val="Heading8Char"/>
    <w:qFormat/>
    <w:rsid w:val="009F7721"/>
    <w:pPr>
      <w:ind w:left="720"/>
      <w:outlineLvl w:val="7"/>
    </w:pPr>
    <w:rPr>
      <w:i/>
    </w:rPr>
  </w:style>
  <w:style w:type="paragraph" w:styleId="Heading9">
    <w:name w:val="heading 9"/>
    <w:basedOn w:val="Normal"/>
    <w:next w:val="Normal"/>
    <w:link w:val="Heading9Char"/>
    <w:qFormat/>
    <w:rsid w:val="009F7721"/>
    <w:pPr>
      <w:ind w:left="720"/>
      <w:outlineLvl w:val="8"/>
    </w:pPr>
    <w:rPr>
      <w:i/>
    </w:rPr>
  </w:style>
  <w:style w:type="character" w:default="1" w:styleId="DefaultParagraphFont">
    <w:name w:val="Default Paragraph Font"/>
    <w:uiPriority w:val="1"/>
    <w:unhideWhenUsed/>
    <w:rsid w:val="009F7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721"/>
  </w:style>
  <w:style w:type="character" w:customStyle="1" w:styleId="Heading1Char">
    <w:name w:val="Heading 1 Char"/>
    <w:basedOn w:val="DefaultParagraphFont"/>
    <w:link w:val="Heading1"/>
    <w:rsid w:val="009F7721"/>
    <w:rPr>
      <w:rFonts w:ascii="Times New Roman" w:eastAsia="Times New Roman" w:hAnsi="Times New Roman" w:cs="Times New Roman"/>
      <w:b/>
      <w:sz w:val="32"/>
      <w:szCs w:val="20"/>
      <w:lang w:eastAsia="en-US"/>
    </w:rPr>
  </w:style>
  <w:style w:type="paragraph" w:styleId="BodyText">
    <w:name w:val="Body Text"/>
    <w:basedOn w:val="Normal"/>
    <w:link w:val="BodyTextChar"/>
    <w:rsid w:val="009F77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7721"/>
    <w:rPr>
      <w:rFonts w:ascii="Times New Roman" w:eastAsia="Times New Roman" w:hAnsi="Times New Roman" w:cs="Times New Roman"/>
      <w:sz w:val="24"/>
      <w:lang w:eastAsia="en-US"/>
    </w:rPr>
  </w:style>
  <w:style w:type="paragraph" w:styleId="ListBullet">
    <w:name w:val="List Bullet"/>
    <w:basedOn w:val="List"/>
    <w:rsid w:val="009F7721"/>
    <w:pPr>
      <w:numPr>
        <w:numId w:val="14"/>
      </w:numPr>
      <w:tabs>
        <w:tab w:val="clear" w:pos="340"/>
      </w:tabs>
      <w:spacing w:before="40" w:after="40"/>
    </w:pPr>
  </w:style>
  <w:style w:type="character" w:customStyle="1" w:styleId="SpecialBold">
    <w:name w:val="Special Bold"/>
    <w:basedOn w:val="DefaultParagraphFont"/>
    <w:rsid w:val="009F7721"/>
    <w:rPr>
      <w:b/>
      <w:spacing w:val="0"/>
    </w:rPr>
  </w:style>
  <w:style w:type="paragraph" w:styleId="ListBullet2">
    <w:name w:val="List Bullet 2"/>
    <w:basedOn w:val="List2"/>
    <w:rsid w:val="009F7721"/>
    <w:pPr>
      <w:numPr>
        <w:numId w:val="15"/>
      </w:numPr>
      <w:tabs>
        <w:tab w:val="clear" w:pos="680"/>
      </w:tabs>
    </w:pPr>
  </w:style>
  <w:style w:type="paragraph" w:customStyle="1" w:styleId="SuperHeading">
    <w:name w:val="SuperHeading"/>
    <w:basedOn w:val="Normal"/>
    <w:rsid w:val="009F7721"/>
    <w:pPr>
      <w:spacing w:before="240" w:after="120"/>
      <w:outlineLvl w:val="0"/>
    </w:pPr>
    <w:rPr>
      <w:rFonts w:ascii="Times New Roman" w:hAnsi="Times New Roman"/>
      <w:b/>
      <w:sz w:val="32"/>
    </w:rPr>
  </w:style>
  <w:style w:type="paragraph" w:customStyle="1" w:styleId="AllowPageBreak">
    <w:name w:val="AllowPageBreak"/>
    <w:rsid w:val="009F77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7721"/>
    <w:pPr>
      <w:numPr>
        <w:numId w:val="3"/>
      </w:numPr>
      <w:tabs>
        <w:tab w:val="clear" w:pos="1021"/>
      </w:tabs>
      <w:ind w:left="1037" w:hanging="357"/>
    </w:pPr>
  </w:style>
  <w:style w:type="character" w:customStyle="1" w:styleId="Heading2Char">
    <w:name w:val="Heading 2 Char"/>
    <w:basedOn w:val="DefaultParagraphFont"/>
    <w:link w:val="Heading2"/>
    <w:rsid w:val="009F7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721"/>
    <w:rPr>
      <w:rFonts w:ascii="Courier New" w:eastAsia="Times New Roman" w:hAnsi="Courier New" w:cs="Times New Roman"/>
      <w:i/>
      <w:szCs w:val="20"/>
      <w:lang w:eastAsia="en-US"/>
    </w:rPr>
  </w:style>
  <w:style w:type="paragraph" w:customStyle="1" w:styleId="HeadingBase">
    <w:name w:val="Heading Base"/>
    <w:rsid w:val="009F7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721"/>
    <w:pPr>
      <w:tabs>
        <w:tab w:val="right" w:leader="dot" w:pos="9072"/>
      </w:tabs>
      <w:ind w:left="567"/>
    </w:pPr>
    <w:rPr>
      <w:szCs w:val="22"/>
    </w:rPr>
  </w:style>
  <w:style w:type="paragraph" w:customStyle="1" w:styleId="TOCBase">
    <w:name w:val="TOC Base"/>
    <w:rsid w:val="009F7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721"/>
    <w:pPr>
      <w:tabs>
        <w:tab w:val="right" w:leader="dot" w:pos="9072"/>
      </w:tabs>
      <w:spacing w:before="40" w:after="40"/>
      <w:ind w:left="284"/>
    </w:pPr>
    <w:rPr>
      <w:rFonts w:ascii="Times New Roman" w:hAnsi="Times New Roman"/>
    </w:rPr>
  </w:style>
  <w:style w:type="paragraph" w:styleId="TOC1">
    <w:name w:val="toc 1"/>
    <w:basedOn w:val="TOCBase"/>
    <w:next w:val="Normal"/>
    <w:rsid w:val="009F7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721"/>
    <w:rPr>
      <w:rFonts w:ascii="Times New Roman" w:eastAsia="Times New Roman" w:hAnsi="Times New Roman" w:cs="Times New Roman"/>
      <w:sz w:val="16"/>
      <w:lang w:eastAsia="en-US"/>
    </w:rPr>
  </w:style>
  <w:style w:type="paragraph" w:styleId="Title">
    <w:name w:val="Title"/>
    <w:basedOn w:val="HeadingBase"/>
    <w:link w:val="TitleChar"/>
    <w:qFormat/>
    <w:rsid w:val="009F7721"/>
    <w:pPr>
      <w:spacing w:before="5040"/>
      <w:jc w:val="center"/>
    </w:pPr>
    <w:rPr>
      <w:sz w:val="48"/>
      <w:szCs w:val="72"/>
      <w:lang w:val="en-US"/>
    </w:rPr>
  </w:style>
  <w:style w:type="character" w:customStyle="1" w:styleId="TitleChar">
    <w:name w:val="Title Char"/>
    <w:basedOn w:val="DefaultParagraphFont"/>
    <w:link w:val="Title"/>
    <w:rsid w:val="009F7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721"/>
    <w:pPr>
      <w:tabs>
        <w:tab w:val="left" w:pos="3600"/>
        <w:tab w:val="left" w:pos="3958"/>
      </w:tabs>
    </w:pPr>
  </w:style>
  <w:style w:type="paragraph" w:styleId="List">
    <w:name w:val="List"/>
    <w:basedOn w:val="BodyText"/>
    <w:next w:val="BodyText"/>
    <w:rsid w:val="009F7721"/>
    <w:pPr>
      <w:tabs>
        <w:tab w:val="left" w:pos="340"/>
      </w:tabs>
      <w:spacing w:before="60" w:after="60"/>
      <w:ind w:left="340" w:hanging="340"/>
    </w:pPr>
  </w:style>
  <w:style w:type="paragraph" w:customStyle="1" w:styleId="Note">
    <w:name w:val="Note"/>
    <w:basedOn w:val="BodyText"/>
    <w:rsid w:val="009F7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721"/>
    <w:pPr>
      <w:framePr w:wrap="auto" w:hAnchor="text" w:y="6049"/>
    </w:pPr>
    <w:rPr>
      <w:color w:val="000000"/>
      <w:sz w:val="40"/>
    </w:rPr>
  </w:style>
  <w:style w:type="paragraph" w:customStyle="1" w:styleId="TOCTitle">
    <w:name w:val="TOCTitle"/>
    <w:basedOn w:val="Heading1"/>
    <w:rsid w:val="009F7721"/>
    <w:pPr>
      <w:spacing w:after="240"/>
      <w:jc w:val="center"/>
      <w:outlineLvl w:val="9"/>
    </w:pPr>
    <w:rPr>
      <w:caps/>
    </w:rPr>
  </w:style>
  <w:style w:type="paragraph" w:customStyle="1" w:styleId="Version">
    <w:name w:val="Version"/>
    <w:rsid w:val="009F77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721"/>
    <w:pPr>
      <w:keepNext w:val="0"/>
      <w:tabs>
        <w:tab w:val="right" w:pos="4176"/>
      </w:tabs>
      <w:ind w:left="198" w:hanging="198"/>
    </w:pPr>
    <w:rPr>
      <w:rFonts w:ascii="Garamond" w:hAnsi="Garamond"/>
    </w:rPr>
  </w:style>
  <w:style w:type="paragraph" w:styleId="IndexHeading">
    <w:name w:val="index heading"/>
    <w:basedOn w:val="Normal"/>
    <w:next w:val="Index1"/>
    <w:semiHidden/>
    <w:rsid w:val="009F7721"/>
    <w:pPr>
      <w:spacing w:before="120" w:after="120"/>
    </w:pPr>
    <w:rPr>
      <w:rFonts w:ascii="Arial" w:hAnsi="Arial"/>
      <w:b/>
      <w:color w:val="918585"/>
      <w:sz w:val="24"/>
    </w:rPr>
  </w:style>
  <w:style w:type="paragraph" w:styleId="Header">
    <w:name w:val="header"/>
    <w:basedOn w:val="Normal"/>
    <w:link w:val="HeaderChar"/>
    <w:rsid w:val="009F7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721"/>
    <w:rPr>
      <w:rFonts w:ascii="Times New Roman" w:eastAsia="Times New Roman" w:hAnsi="Times New Roman" w:cs="Times New Roman"/>
      <w:sz w:val="16"/>
      <w:szCs w:val="20"/>
      <w:lang w:val="en-GB" w:eastAsia="en-US"/>
    </w:rPr>
  </w:style>
  <w:style w:type="paragraph" w:customStyle="1" w:styleId="Chapter">
    <w:name w:val="Chapter"/>
    <w:basedOn w:val="Normal"/>
    <w:rsid w:val="009F7721"/>
    <w:pPr>
      <w:spacing w:before="240"/>
    </w:pPr>
    <w:rPr>
      <w:rFonts w:ascii="Times New Roman" w:hAnsi="Times New Roman"/>
      <w:smallCaps/>
      <w:spacing w:val="80"/>
      <w:sz w:val="28"/>
    </w:rPr>
  </w:style>
  <w:style w:type="paragraph" w:customStyle="1" w:styleId="InChapter">
    <w:name w:val="InChapter"/>
    <w:basedOn w:val="Heading3"/>
    <w:rsid w:val="009F7721"/>
    <w:pPr>
      <w:spacing w:after="240"/>
      <w:outlineLvl w:val="9"/>
    </w:pPr>
    <w:rPr>
      <w:noProof/>
    </w:rPr>
  </w:style>
  <w:style w:type="paragraph" w:styleId="Index2">
    <w:name w:val="index 2"/>
    <w:basedOn w:val="Normal"/>
    <w:next w:val="Normal"/>
    <w:semiHidden/>
    <w:rsid w:val="009F7721"/>
    <w:pPr>
      <w:tabs>
        <w:tab w:val="right" w:pos="4176"/>
      </w:tabs>
      <w:ind w:left="568" w:hanging="284"/>
    </w:pPr>
    <w:rPr>
      <w:rFonts w:ascii="Garamond" w:hAnsi="Garamond"/>
    </w:rPr>
  </w:style>
  <w:style w:type="paragraph" w:customStyle="1" w:styleId="Byline">
    <w:name w:val="Byline"/>
    <w:rsid w:val="009F7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721"/>
    <w:pPr>
      <w:tabs>
        <w:tab w:val="clear" w:pos="3600"/>
        <w:tab w:val="clear" w:pos="3958"/>
      </w:tabs>
      <w:jc w:val="right"/>
    </w:pPr>
  </w:style>
  <w:style w:type="character" w:styleId="Emphasis">
    <w:name w:val="Emphasis"/>
    <w:basedOn w:val="DefaultParagraphFont"/>
    <w:qFormat/>
    <w:rsid w:val="009F7721"/>
    <w:rPr>
      <w:i/>
    </w:rPr>
  </w:style>
  <w:style w:type="paragraph" w:styleId="Caption">
    <w:name w:val="caption"/>
    <w:basedOn w:val="BodyText"/>
    <w:next w:val="Normal"/>
    <w:qFormat/>
    <w:rsid w:val="009F7721"/>
    <w:pPr>
      <w:framePr w:w="2268" w:hSpace="181" w:vSpace="181" w:wrap="around" w:vAnchor="text" w:hAnchor="page" w:x="1135" w:y="285" w:anchorLock="1"/>
    </w:pPr>
    <w:rPr>
      <w:i/>
    </w:rPr>
  </w:style>
  <w:style w:type="paragraph" w:customStyle="1" w:styleId="MiniTOCTitle">
    <w:name w:val="MiniTOCTitle"/>
    <w:basedOn w:val="Heading4"/>
    <w:rsid w:val="009F7721"/>
    <w:pPr>
      <w:spacing w:before="240"/>
      <w:outlineLvl w:val="9"/>
    </w:pPr>
    <w:rPr>
      <w:noProof/>
      <w:sz w:val="24"/>
    </w:rPr>
  </w:style>
  <w:style w:type="paragraph" w:customStyle="1" w:styleId="MiniTOCItem">
    <w:name w:val="MiniTOCItem"/>
    <w:basedOn w:val="ListBullet"/>
    <w:rsid w:val="009F7721"/>
    <w:pPr>
      <w:numPr>
        <w:numId w:val="0"/>
      </w:numPr>
      <w:tabs>
        <w:tab w:val="right" w:leader="dot" w:pos="6521"/>
      </w:tabs>
      <w:spacing w:before="0" w:after="0"/>
    </w:pPr>
  </w:style>
  <w:style w:type="paragraph" w:customStyle="1" w:styleId="TOFTitle">
    <w:name w:val="TOFTitle"/>
    <w:basedOn w:val="TOCTitle"/>
    <w:rsid w:val="009F7721"/>
  </w:style>
  <w:style w:type="paragraph" w:styleId="TableofFigures">
    <w:name w:val="table of figures"/>
    <w:basedOn w:val="Normal"/>
    <w:next w:val="Normal"/>
    <w:semiHidden/>
    <w:rsid w:val="009F7721"/>
    <w:pPr>
      <w:tabs>
        <w:tab w:val="right" w:leader="dot" w:pos="9072"/>
      </w:tabs>
      <w:ind w:left="970" w:hanging="403"/>
    </w:pPr>
    <w:rPr>
      <w:rFonts w:ascii="Times New Roman" w:hAnsi="Times New Roman"/>
      <w:b/>
    </w:rPr>
  </w:style>
  <w:style w:type="paragraph" w:styleId="ListNumber">
    <w:name w:val="List Number"/>
    <w:basedOn w:val="List"/>
    <w:rsid w:val="009F7721"/>
    <w:pPr>
      <w:numPr>
        <w:numId w:val="12"/>
      </w:numPr>
    </w:pPr>
  </w:style>
  <w:style w:type="character" w:customStyle="1" w:styleId="WingdingSymbols">
    <w:name w:val="Wingding Symbols"/>
    <w:rsid w:val="009F7721"/>
    <w:rPr>
      <w:rFonts w:ascii="Wingdings" w:hAnsi="Wingdings"/>
    </w:rPr>
  </w:style>
  <w:style w:type="paragraph" w:customStyle="1" w:styleId="TableHeading">
    <w:name w:val="Table Heading"/>
    <w:basedOn w:val="HeadingBase"/>
    <w:rsid w:val="009F7721"/>
    <w:pPr>
      <w:keepLines/>
      <w:pBdr>
        <w:bottom w:val="single" w:sz="6" w:space="1" w:color="918585"/>
      </w:pBdr>
      <w:spacing w:before="240"/>
    </w:pPr>
  </w:style>
  <w:style w:type="character" w:customStyle="1" w:styleId="HotSpot">
    <w:name w:val="HotSpot"/>
    <w:rsid w:val="009F7721"/>
    <w:rPr>
      <w:color w:val="0033CC"/>
      <w:u w:val="none"/>
    </w:rPr>
  </w:style>
  <w:style w:type="paragraph" w:customStyle="1" w:styleId="BodyTextRight">
    <w:name w:val="Body Text Right"/>
    <w:basedOn w:val="BodyText"/>
    <w:rsid w:val="009F7721"/>
    <w:pPr>
      <w:spacing w:before="0" w:after="0"/>
      <w:jc w:val="right"/>
    </w:pPr>
  </w:style>
  <w:style w:type="paragraph" w:styleId="Index3">
    <w:name w:val="index 3"/>
    <w:basedOn w:val="ListNumber2"/>
    <w:next w:val="Normal"/>
    <w:semiHidden/>
    <w:rsid w:val="009F7721"/>
    <w:pPr>
      <w:numPr>
        <w:numId w:val="0"/>
      </w:numPr>
      <w:tabs>
        <w:tab w:val="right" w:leader="dot" w:pos="4176"/>
      </w:tabs>
    </w:pPr>
  </w:style>
  <w:style w:type="paragraph" w:styleId="ListNumber2">
    <w:name w:val="List Number 2"/>
    <w:basedOn w:val="List2"/>
    <w:rsid w:val="009F7721"/>
    <w:pPr>
      <w:numPr>
        <w:numId w:val="11"/>
      </w:numPr>
      <w:tabs>
        <w:tab w:val="clear" w:pos="1060"/>
      </w:tabs>
    </w:pPr>
  </w:style>
  <w:style w:type="paragraph" w:customStyle="1" w:styleId="MarginNote">
    <w:name w:val="Margin Note"/>
    <w:basedOn w:val="BodyText"/>
    <w:rsid w:val="009F7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721"/>
    <w:rPr>
      <w:sz w:val="32"/>
    </w:rPr>
  </w:style>
  <w:style w:type="paragraph" w:customStyle="1" w:styleId="HeadingProcedure">
    <w:name w:val="Heading Procedure"/>
    <w:basedOn w:val="HeadingBase"/>
    <w:next w:val="Normal"/>
    <w:rsid w:val="009F7721"/>
    <w:pPr>
      <w:tabs>
        <w:tab w:val="left" w:pos="0"/>
      </w:tabs>
      <w:spacing w:before="120" w:after="60"/>
    </w:pPr>
    <w:rPr>
      <w:i/>
      <w:color w:val="918585"/>
      <w:sz w:val="22"/>
    </w:rPr>
  </w:style>
  <w:style w:type="paragraph" w:customStyle="1" w:styleId="TableBodyText">
    <w:name w:val="Table Body Text"/>
    <w:basedOn w:val="BodyText"/>
    <w:rsid w:val="009F7721"/>
    <w:pPr>
      <w:spacing w:before="60" w:after="60"/>
    </w:pPr>
  </w:style>
  <w:style w:type="paragraph" w:styleId="ListContinue">
    <w:name w:val="List Continue"/>
    <w:basedOn w:val="List"/>
    <w:rsid w:val="009F7721"/>
    <w:pPr>
      <w:ind w:firstLine="0"/>
    </w:pPr>
  </w:style>
  <w:style w:type="paragraph" w:customStyle="1" w:styleId="ListNote">
    <w:name w:val="List Note"/>
    <w:basedOn w:val="List"/>
    <w:rsid w:val="009F7721"/>
    <w:pPr>
      <w:pBdr>
        <w:top w:val="single" w:sz="6" w:space="2" w:color="918585"/>
        <w:bottom w:val="single" w:sz="6" w:space="2" w:color="918585"/>
      </w:pBdr>
      <w:tabs>
        <w:tab w:val="left" w:pos="1021"/>
      </w:tabs>
      <w:ind w:firstLine="0"/>
    </w:pPr>
  </w:style>
  <w:style w:type="paragraph" w:customStyle="1" w:styleId="Warning">
    <w:name w:val="Warning"/>
    <w:basedOn w:val="BodyText"/>
    <w:rsid w:val="009F7721"/>
    <w:pPr>
      <w:shd w:val="clear" w:color="auto" w:fill="D9D9D9"/>
      <w:tabs>
        <w:tab w:val="left" w:pos="992"/>
      </w:tabs>
      <w:ind w:left="119" w:right="119"/>
    </w:pPr>
    <w:rPr>
      <w:sz w:val="20"/>
    </w:rPr>
  </w:style>
  <w:style w:type="paragraph" w:customStyle="1" w:styleId="MarginIcons">
    <w:name w:val="Margin Icons"/>
    <w:basedOn w:val="BodyText"/>
    <w:rsid w:val="009F7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721"/>
    <w:rPr>
      <w:rFonts w:ascii="Courier New" w:hAnsi="Courier New"/>
    </w:rPr>
  </w:style>
  <w:style w:type="paragraph" w:customStyle="1" w:styleId="NoteBullet">
    <w:name w:val="Note Bullet"/>
    <w:basedOn w:val="Note"/>
    <w:rsid w:val="009F7721"/>
    <w:pPr>
      <w:tabs>
        <w:tab w:val="clear" w:pos="680"/>
      </w:tabs>
      <w:spacing w:before="60" w:after="60"/>
    </w:pPr>
  </w:style>
  <w:style w:type="paragraph" w:customStyle="1" w:styleId="SubHeading2">
    <w:name w:val="SubHeading2"/>
    <w:basedOn w:val="HeadingBase"/>
    <w:rsid w:val="009F7721"/>
    <w:pPr>
      <w:spacing w:before="240" w:after="60"/>
    </w:pPr>
    <w:rPr>
      <w:sz w:val="20"/>
    </w:rPr>
  </w:style>
  <w:style w:type="paragraph" w:customStyle="1" w:styleId="SubHeading1">
    <w:name w:val="SubHeading1"/>
    <w:basedOn w:val="HeadingBase"/>
    <w:rsid w:val="009F7721"/>
    <w:pPr>
      <w:spacing w:before="240" w:after="60"/>
    </w:pPr>
    <w:rPr>
      <w:color w:val="918585"/>
      <w:sz w:val="22"/>
    </w:rPr>
  </w:style>
  <w:style w:type="paragraph" w:customStyle="1" w:styleId="SideHeading">
    <w:name w:val="Side Heading"/>
    <w:basedOn w:val="HeadingBase"/>
    <w:rsid w:val="009F7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721"/>
    <w:pPr>
      <w:numPr>
        <w:numId w:val="13"/>
      </w:numPr>
    </w:pPr>
  </w:style>
  <w:style w:type="paragraph" w:styleId="PlainText">
    <w:name w:val="Plain Text"/>
    <w:basedOn w:val="Normal"/>
    <w:link w:val="PlainTextChar"/>
    <w:rsid w:val="009F7721"/>
    <w:rPr>
      <w:sz w:val="20"/>
    </w:rPr>
  </w:style>
  <w:style w:type="character" w:customStyle="1" w:styleId="PlainTextChar">
    <w:name w:val="Plain Text Char"/>
    <w:basedOn w:val="DefaultParagraphFont"/>
    <w:link w:val="PlainText"/>
    <w:rsid w:val="009F7721"/>
    <w:rPr>
      <w:rFonts w:ascii="Courier New" w:eastAsia="Times New Roman" w:hAnsi="Courier New" w:cs="Times New Roman"/>
      <w:sz w:val="20"/>
      <w:szCs w:val="20"/>
      <w:lang w:eastAsia="en-US"/>
    </w:rPr>
  </w:style>
  <w:style w:type="character" w:customStyle="1" w:styleId="MenuOption">
    <w:name w:val="Menu Option"/>
    <w:basedOn w:val="DefaultParagraphFont"/>
    <w:rsid w:val="009F7721"/>
    <w:rPr>
      <w:b/>
      <w:smallCaps/>
    </w:rPr>
  </w:style>
  <w:style w:type="paragraph" w:customStyle="1" w:styleId="TableListNumber">
    <w:name w:val="Table List Number"/>
    <w:basedOn w:val="ListNumber"/>
    <w:rsid w:val="009F7721"/>
    <w:pPr>
      <w:numPr>
        <w:numId w:val="0"/>
      </w:numPr>
    </w:pPr>
  </w:style>
  <w:style w:type="paragraph" w:styleId="TOC4">
    <w:name w:val="toc 4"/>
    <w:basedOn w:val="TOCBase"/>
    <w:next w:val="Normal"/>
    <w:semiHidden/>
    <w:rsid w:val="009F7721"/>
    <w:pPr>
      <w:tabs>
        <w:tab w:val="right" w:leader="dot" w:pos="9071"/>
      </w:tabs>
      <w:ind w:left="1701"/>
    </w:pPr>
  </w:style>
  <w:style w:type="paragraph" w:customStyle="1" w:styleId="ListAlpha">
    <w:name w:val="List Alpha"/>
    <w:basedOn w:val="List"/>
    <w:rsid w:val="009F7721"/>
    <w:pPr>
      <w:numPr>
        <w:numId w:val="10"/>
      </w:numPr>
    </w:pPr>
  </w:style>
  <w:style w:type="paragraph" w:customStyle="1" w:styleId="ListAlpha2">
    <w:name w:val="List Alpha 2"/>
    <w:basedOn w:val="List2"/>
    <w:rsid w:val="009F7721"/>
    <w:pPr>
      <w:numPr>
        <w:numId w:val="9"/>
      </w:numPr>
    </w:pPr>
  </w:style>
  <w:style w:type="paragraph" w:styleId="List2">
    <w:name w:val="List 2"/>
    <w:basedOn w:val="BodyText"/>
    <w:rsid w:val="009F7721"/>
    <w:pPr>
      <w:tabs>
        <w:tab w:val="left" w:pos="680"/>
      </w:tabs>
      <w:spacing w:before="60" w:after="60"/>
      <w:ind w:left="680" w:hanging="340"/>
    </w:pPr>
  </w:style>
  <w:style w:type="paragraph" w:styleId="List3">
    <w:name w:val="List 3"/>
    <w:basedOn w:val="BodyText"/>
    <w:rsid w:val="009F7721"/>
    <w:pPr>
      <w:tabs>
        <w:tab w:val="left" w:pos="1021"/>
      </w:tabs>
      <w:spacing w:before="60" w:after="60"/>
      <w:ind w:left="1020" w:hanging="340"/>
    </w:pPr>
  </w:style>
  <w:style w:type="paragraph" w:styleId="List4">
    <w:name w:val="List 4"/>
    <w:basedOn w:val="BodyText"/>
    <w:rsid w:val="009F7721"/>
    <w:pPr>
      <w:tabs>
        <w:tab w:val="left" w:pos="1361"/>
      </w:tabs>
      <w:spacing w:before="60" w:after="60"/>
      <w:ind w:left="1361" w:hanging="340"/>
    </w:pPr>
  </w:style>
  <w:style w:type="paragraph" w:styleId="List5">
    <w:name w:val="List 5"/>
    <w:basedOn w:val="BodyText"/>
    <w:rsid w:val="009F7721"/>
    <w:pPr>
      <w:tabs>
        <w:tab w:val="left" w:pos="1701"/>
      </w:tabs>
      <w:spacing w:before="60" w:after="60"/>
      <w:ind w:left="1701" w:hanging="340"/>
    </w:pPr>
  </w:style>
  <w:style w:type="paragraph" w:styleId="ListBullet4">
    <w:name w:val="List Bullet 4"/>
    <w:basedOn w:val="List4"/>
    <w:rsid w:val="009F7721"/>
    <w:pPr>
      <w:numPr>
        <w:numId w:val="4"/>
      </w:numPr>
    </w:pPr>
  </w:style>
  <w:style w:type="paragraph" w:styleId="ListBullet5">
    <w:name w:val="List Bullet 5"/>
    <w:basedOn w:val="List5"/>
    <w:rsid w:val="009F7721"/>
    <w:pPr>
      <w:numPr>
        <w:numId w:val="5"/>
      </w:numPr>
    </w:pPr>
  </w:style>
  <w:style w:type="paragraph" w:styleId="ListContinue2">
    <w:name w:val="List Continue 2"/>
    <w:basedOn w:val="List2"/>
    <w:rsid w:val="009F7721"/>
    <w:pPr>
      <w:ind w:firstLine="0"/>
    </w:pPr>
  </w:style>
  <w:style w:type="paragraph" w:styleId="ListContinue3">
    <w:name w:val="List Continue 3"/>
    <w:basedOn w:val="List3"/>
    <w:rsid w:val="009F7721"/>
    <w:pPr>
      <w:ind w:left="1021" w:firstLine="0"/>
    </w:pPr>
  </w:style>
  <w:style w:type="paragraph" w:styleId="ListContinue4">
    <w:name w:val="List Continue 4"/>
    <w:basedOn w:val="List4"/>
    <w:rsid w:val="009F7721"/>
    <w:pPr>
      <w:ind w:firstLine="0"/>
    </w:pPr>
  </w:style>
  <w:style w:type="paragraph" w:styleId="ListContinue5">
    <w:name w:val="List Continue 5"/>
    <w:basedOn w:val="List5"/>
    <w:rsid w:val="009F7721"/>
    <w:pPr>
      <w:ind w:firstLine="0"/>
    </w:pPr>
  </w:style>
  <w:style w:type="paragraph" w:styleId="ListNumber3">
    <w:name w:val="List Number 3"/>
    <w:basedOn w:val="List3"/>
    <w:rsid w:val="009F7721"/>
    <w:pPr>
      <w:numPr>
        <w:numId w:val="6"/>
      </w:numPr>
    </w:pPr>
  </w:style>
  <w:style w:type="paragraph" w:styleId="ListNumber4">
    <w:name w:val="List Number 4"/>
    <w:basedOn w:val="List4"/>
    <w:rsid w:val="009F7721"/>
    <w:pPr>
      <w:numPr>
        <w:numId w:val="7"/>
      </w:numPr>
    </w:pPr>
  </w:style>
  <w:style w:type="paragraph" w:styleId="ListNumber5">
    <w:name w:val="List Number 5"/>
    <w:basedOn w:val="List5"/>
    <w:rsid w:val="009F7721"/>
    <w:pPr>
      <w:numPr>
        <w:numId w:val="8"/>
      </w:numPr>
    </w:pPr>
  </w:style>
  <w:style w:type="paragraph" w:styleId="BlockText">
    <w:name w:val="Block Text"/>
    <w:basedOn w:val="Normal"/>
    <w:rsid w:val="009F7721"/>
    <w:pPr>
      <w:spacing w:after="120"/>
      <w:ind w:left="1440" w:right="1440"/>
    </w:pPr>
  </w:style>
  <w:style w:type="character" w:customStyle="1" w:styleId="Subscript">
    <w:name w:val="Subscript"/>
    <w:basedOn w:val="DefaultParagraphFont"/>
    <w:rsid w:val="009F7721"/>
    <w:rPr>
      <w:sz w:val="16"/>
      <w:vertAlign w:val="subscript"/>
    </w:rPr>
  </w:style>
  <w:style w:type="character" w:customStyle="1" w:styleId="Superscript">
    <w:name w:val="Superscript"/>
    <w:basedOn w:val="DefaultParagraphFont"/>
    <w:rsid w:val="009F7721"/>
    <w:rPr>
      <w:sz w:val="16"/>
      <w:vertAlign w:val="superscript"/>
    </w:rPr>
  </w:style>
  <w:style w:type="character" w:customStyle="1" w:styleId="Symbols">
    <w:name w:val="Symbols"/>
    <w:basedOn w:val="DefaultParagraphFont"/>
    <w:rsid w:val="009F7721"/>
    <w:rPr>
      <w:rFonts w:ascii="Symbol" w:hAnsi="Symbol"/>
    </w:rPr>
  </w:style>
  <w:style w:type="character" w:customStyle="1" w:styleId="MenuOptions">
    <w:name w:val="Menu Options"/>
    <w:basedOn w:val="DefaultParagraphFont"/>
    <w:rsid w:val="009F7721"/>
    <w:rPr>
      <w:rFonts w:ascii="Arial Narrow" w:hAnsi="Arial Narrow"/>
      <w:smallCaps/>
    </w:rPr>
  </w:style>
  <w:style w:type="character" w:customStyle="1" w:styleId="Buttons">
    <w:name w:val="Buttons"/>
    <w:basedOn w:val="DefaultParagraphFont"/>
    <w:rsid w:val="009F7721"/>
    <w:rPr>
      <w:b/>
    </w:rPr>
  </w:style>
  <w:style w:type="character" w:customStyle="1" w:styleId="Underlined">
    <w:name w:val="Underlined"/>
    <w:basedOn w:val="DefaultParagraphFont"/>
    <w:rsid w:val="009F7721"/>
    <w:rPr>
      <w:u w:val="single"/>
    </w:rPr>
  </w:style>
  <w:style w:type="paragraph" w:customStyle="1" w:styleId="TableBodyTextRight">
    <w:name w:val="Table Body Text Right"/>
    <w:basedOn w:val="TableBodyText"/>
    <w:rsid w:val="009F7721"/>
    <w:pPr>
      <w:widowControl w:val="0"/>
      <w:autoSpaceDE w:val="0"/>
      <w:autoSpaceDN w:val="0"/>
      <w:adjustRightInd w:val="0"/>
      <w:jc w:val="right"/>
    </w:pPr>
    <w:rPr>
      <w:rFonts w:cs="Arial"/>
      <w:szCs w:val="18"/>
    </w:rPr>
  </w:style>
  <w:style w:type="paragraph" w:customStyle="1" w:styleId="CopyrightText">
    <w:name w:val="Copyright Text"/>
    <w:basedOn w:val="BodyText"/>
    <w:rsid w:val="009F7721"/>
    <w:rPr>
      <w:sz w:val="18"/>
    </w:rPr>
  </w:style>
  <w:style w:type="paragraph" w:customStyle="1" w:styleId="BodySmallRight">
    <w:name w:val="Body Small Right"/>
    <w:basedOn w:val="BodyTextRight"/>
    <w:rsid w:val="009F7721"/>
    <w:rPr>
      <w:sz w:val="18"/>
      <w:szCs w:val="18"/>
    </w:rPr>
  </w:style>
  <w:style w:type="paragraph" w:customStyle="1" w:styleId="MarginEdition">
    <w:name w:val="Margin Edition"/>
    <w:basedOn w:val="MarginNote"/>
    <w:rsid w:val="009F7721"/>
    <w:pPr>
      <w:spacing w:before="0" w:after="0"/>
    </w:pPr>
    <w:rPr>
      <w:rFonts w:ascii="Times New Roman" w:hAnsi="Times New Roman"/>
      <w:color w:val="999999"/>
    </w:rPr>
  </w:style>
  <w:style w:type="paragraph" w:customStyle="1" w:styleId="Spacer">
    <w:name w:val="Spacer"/>
    <w:basedOn w:val="Normal"/>
    <w:rsid w:val="009F7721"/>
    <w:rPr>
      <w:sz w:val="2"/>
      <w:szCs w:val="2"/>
    </w:rPr>
  </w:style>
  <w:style w:type="character" w:customStyle="1" w:styleId="Small">
    <w:name w:val="Small"/>
    <w:basedOn w:val="DefaultParagraphFont"/>
    <w:rsid w:val="009F7721"/>
    <w:rPr>
      <w:sz w:val="16"/>
    </w:rPr>
  </w:style>
  <w:style w:type="paragraph" w:customStyle="1" w:styleId="WideTable">
    <w:name w:val="Wide Table"/>
    <w:basedOn w:val="Normal"/>
    <w:rsid w:val="009F7721"/>
    <w:pPr>
      <w:ind w:left="-1418"/>
    </w:pPr>
    <w:rPr>
      <w:sz w:val="2"/>
      <w:szCs w:val="2"/>
    </w:rPr>
  </w:style>
  <w:style w:type="character" w:styleId="PageNumber">
    <w:name w:val="page number"/>
    <w:basedOn w:val="DefaultParagraphFont"/>
    <w:rsid w:val="009F7721"/>
  </w:style>
  <w:style w:type="paragraph" w:styleId="Quote">
    <w:name w:val="Quote"/>
    <w:basedOn w:val="Heading1"/>
    <w:link w:val="QuoteChar"/>
    <w:qFormat/>
    <w:rsid w:val="009F7721"/>
    <w:rPr>
      <w:b w:val="0"/>
      <w:sz w:val="72"/>
      <w:szCs w:val="72"/>
      <w:lang w:val="en-NZ"/>
    </w:rPr>
  </w:style>
  <w:style w:type="character" w:customStyle="1" w:styleId="QuoteChar">
    <w:name w:val="Quote Char"/>
    <w:basedOn w:val="DefaultParagraphFont"/>
    <w:link w:val="Quote"/>
    <w:rsid w:val="009F7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721"/>
    <w:pPr>
      <w:pageBreakBefore/>
    </w:pPr>
  </w:style>
  <w:style w:type="paragraph" w:customStyle="1" w:styleId="Border">
    <w:name w:val="Border"/>
    <w:basedOn w:val="Normal"/>
    <w:qFormat/>
    <w:rsid w:val="009F7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721"/>
    <w:rPr>
      <w:b/>
      <w:bCs/>
      <w:i/>
      <w:iCs/>
      <w:color w:val="auto"/>
    </w:rPr>
  </w:style>
  <w:style w:type="paragraph" w:styleId="IntenseQuote">
    <w:name w:val="Intense Quote"/>
    <w:basedOn w:val="Normal"/>
    <w:next w:val="Normal"/>
    <w:link w:val="IntenseQuoteChar"/>
    <w:uiPriority w:val="30"/>
    <w:qFormat/>
    <w:rsid w:val="009F7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721"/>
    <w:rPr>
      <w:smallCaps/>
      <w:color w:val="auto"/>
      <w:u w:val="single"/>
    </w:rPr>
  </w:style>
  <w:style w:type="character" w:styleId="IntenseReference">
    <w:name w:val="Intense Reference"/>
    <w:basedOn w:val="DefaultParagraphFont"/>
    <w:uiPriority w:val="32"/>
    <w:qFormat/>
    <w:rsid w:val="009F7721"/>
    <w:rPr>
      <w:b/>
      <w:bCs/>
      <w:smallCaps/>
      <w:color w:val="auto"/>
      <w:spacing w:val="5"/>
      <w:u w:val="single"/>
    </w:rPr>
  </w:style>
  <w:style w:type="paragraph" w:customStyle="1" w:styleId="2ColumnHeading">
    <w:name w:val="2Column Heading"/>
    <w:basedOn w:val="BodyText"/>
    <w:qFormat/>
    <w:rsid w:val="009F7721"/>
    <w:pPr>
      <w:spacing w:after="60"/>
      <w:ind w:left="-2268"/>
    </w:pPr>
    <w:rPr>
      <w:b/>
    </w:rPr>
  </w:style>
  <w:style w:type="paragraph" w:customStyle="1" w:styleId="Heading1TOC">
    <w:name w:val="Heading1 TOC"/>
    <w:basedOn w:val="Normal"/>
    <w:qFormat/>
    <w:rsid w:val="009F7721"/>
    <w:pPr>
      <w:spacing w:before="240" w:after="120"/>
    </w:pPr>
    <w:rPr>
      <w:rFonts w:ascii="Times New Roman" w:hAnsi="Times New Roman"/>
      <w:b/>
      <w:sz w:val="32"/>
    </w:rPr>
  </w:style>
  <w:style w:type="paragraph" w:customStyle="1" w:styleId="Heading2TOC">
    <w:name w:val="Heading2 TOC"/>
    <w:basedOn w:val="Normal"/>
    <w:qFormat/>
    <w:rsid w:val="009F7721"/>
    <w:pPr>
      <w:spacing w:before="240" w:after="60"/>
    </w:pPr>
    <w:rPr>
      <w:rFonts w:ascii="Times New Roman" w:hAnsi="Times New Roman"/>
      <w:b/>
      <w:sz w:val="28"/>
    </w:rPr>
  </w:style>
  <w:style w:type="character" w:customStyle="1" w:styleId="Underline">
    <w:name w:val="Underline"/>
    <w:basedOn w:val="DefaultParagraphFont"/>
    <w:qFormat/>
    <w:rsid w:val="009F7721"/>
    <w:rPr>
      <w:u w:val="single"/>
    </w:rPr>
  </w:style>
  <w:style w:type="character" w:customStyle="1" w:styleId="BoldandItalics">
    <w:name w:val="Bold and Italics"/>
    <w:qFormat/>
    <w:rsid w:val="009F7721"/>
    <w:rPr>
      <w:b/>
      <w:i/>
      <w:u w:val="none"/>
    </w:rPr>
  </w:style>
  <w:style w:type="paragraph" w:styleId="BalloonText">
    <w:name w:val="Balloon Text"/>
    <w:basedOn w:val="Normal"/>
    <w:link w:val="BalloonTextChar"/>
    <w:rsid w:val="009F7721"/>
    <w:rPr>
      <w:rFonts w:ascii="Tahoma" w:hAnsi="Tahoma" w:cs="Tahoma"/>
      <w:sz w:val="16"/>
      <w:szCs w:val="16"/>
    </w:rPr>
  </w:style>
  <w:style w:type="character" w:customStyle="1" w:styleId="BalloonTextChar">
    <w:name w:val="Balloon Text Char"/>
    <w:basedOn w:val="DefaultParagraphFont"/>
    <w:link w:val="BalloonText"/>
    <w:rsid w:val="009F7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7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7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721"/>
    <w:rPr>
      <w:b/>
      <w:color w:val="660033"/>
      <w:spacing w:val="0"/>
    </w:rPr>
  </w:style>
  <w:style w:type="paragraph" w:customStyle="1" w:styleId="Nameditemlist">
    <w:name w:val="Named item list"/>
    <w:basedOn w:val="BodyText"/>
    <w:qFormat/>
    <w:rsid w:val="009F77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2068</Words>
  <Characters>12173</Characters>
  <Application>Microsoft Office Word</Application>
  <DocSecurity>0</DocSecurity>
  <Lines>455</Lines>
  <Paragraphs>199</Paragraphs>
  <ScaleCrop>false</ScaleCrop>
  <Company>Author-it Software Corporation Ltd.</Company>
  <LinksUpToDate>false</LinksUpToDate>
  <CharactersWithSpaces>14130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UEENEEE143A Produce routine tools/devices for carrying out energy sector work activities</dc:title>
  <dc:subject>Approved</dc:subject>
  <dc:creator>E-OZ Training Standards</dc:creator>
  <cp:keywords>Release: 2</cp:keywords>
  <dc:description>Review Date: 12 April 2008</dc:description>
  <cp:lastModifiedBy>TPCMS</cp:lastModifiedBy>
  <cp:revision>3</cp:revision>
  <dcterms:created xsi:type="dcterms:W3CDTF">2013-10-25T06:22:00Z</dcterms:created>
  <dcterms:modified xsi:type="dcterms:W3CDTF">2013-10-25T06:22:00Z</dcterms:modified>
</cp:coreProperties>
</file>