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F88" w:rsidP="00A87F88">
      <w:pPr>
        <w:pStyle w:val="Title"/>
      </w:pPr>
      <w:bookmarkStart w:id="0" w:name="_GoBack"/>
      <w:bookmarkEnd w:id="0"/>
      <w:r>
        <w:fldChar w:fldCharType="begin"/>
      </w:r>
      <w:r>
        <w:instrText xml:space="preserve"> TITLE   \* MERGEFORMAT </w:instrText>
      </w:r>
      <w:r>
        <w:fldChar w:fldCharType="separate"/>
      </w:r>
      <w:r>
        <w:t>UEENEEE142A Produce products for carrying out energy sector work activities</w:t>
      </w:r>
      <w:r>
        <w:fldChar w:fldCharType="end"/>
      </w:r>
    </w:p>
    <w:p w:rsidR="00A87F88" w:rsidP="00A87F88">
      <w:pPr>
        <w:pStyle w:val="Version"/>
        <w:sectPr w:rsidSect="00144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643" w:rsidP="00144643">
      <w:pPr>
        <w:pStyle w:val="SuperHeading"/>
      </w:pPr>
      <w:r w:rsidRPr="00144643">
        <w:t>UEENEEE142A Produce products for carrying out energy sector work activities</w:t>
      </w:r>
    </w:p>
    <w:p w:rsidR="00000000" w:rsidRPr="00144643" w:rsidP="00144643">
      <w:pPr>
        <w:pStyle w:val="Heading1"/>
      </w:pPr>
      <w:bookmarkStart w:id="1" w:name="O_418378"/>
      <w:bookmarkEnd w:id="1"/>
      <w:r w:rsidRPr="00144643">
        <w:t>Modification History</w:t>
      </w:r>
    </w:p>
    <w:p w:rsidR="00000000" w:rsidRPr="00144643" w:rsidP="00144643">
      <w:pPr>
        <w:pStyle w:val="BodyText"/>
      </w:pPr>
      <w:r w:rsidRPr="00144643">
        <w:t>Not applicable.</w:t>
      </w:r>
    </w:p>
    <w:p w:rsidR="00000000" w:rsidRPr="00144643" w:rsidP="00144643">
      <w:pPr>
        <w:pStyle w:val="AllowPageBreak"/>
      </w:pPr>
    </w:p>
    <w:p w:rsidR="00000000" w:rsidRPr="00144643" w:rsidP="00144643">
      <w:pPr>
        <w:pStyle w:val="Heading1"/>
      </w:pPr>
      <w:bookmarkStart w:id="2" w:name="O_418376"/>
      <w:bookmarkEnd w:id="2"/>
      <w:r w:rsidRPr="00144643">
        <w:t>Unit Descriptor</w:t>
      </w:r>
    </w:p>
    <w:tbl>
      <w:tblPr>
        <w:tblW w:w="0" w:type="auto"/>
        <w:tblLayout w:type="fixed"/>
        <w:tblCellMar>
          <w:left w:w="62" w:type="dxa"/>
          <w:right w:w="62" w:type="dxa"/>
        </w:tblCellMar>
        <w:tblLook w:val="0000"/>
      </w:tblPr>
      <w:tblGrid>
        <w:gridCol w:w="2700"/>
        <w:gridCol w:w="5760"/>
      </w:tblGrid>
      <w:tr w:rsidTr="00A87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Unit</w:t>
            </w:r>
            <w:r w:rsidRPr="00144643">
              <w:rPr>
                <w:rStyle w:val="SpecialBold"/>
              </w:rPr>
              <w:t xml:space="preserve"> Descriptor</w:t>
            </w:r>
          </w:p>
        </w:tc>
        <w:tc>
          <w:tcPr>
            <w:tcW w:w="57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1)</w:t>
            </w:r>
            <w:r w:rsidRPr="00144643">
              <w:t xml:space="preserve"> </w:t>
            </w:r>
            <w:r w:rsidRPr="00144643">
              <w:rPr>
                <w:rStyle w:val="SpecialBold"/>
              </w:rPr>
              <w:t>Scope:</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6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1.1) Descriptor</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 xml:space="preserve">This unit covers products required to do work in the energy sector environment are produced in accordance with the schedule of work ensuring </w:t>
            </w:r>
            <w:r w:rsidRPr="00144643">
              <w:t>work is completed in an agreed time, to a quality standard and with a minimum waste.</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3" w:name="O_418365"/>
      <w:bookmarkEnd w:id="3"/>
      <w:r w:rsidRPr="00144643">
        <w:t>Application of the Unit</w:t>
      </w:r>
    </w:p>
    <w:tbl>
      <w:tblPr>
        <w:tblW w:w="0" w:type="auto"/>
        <w:tblLayout w:type="fixed"/>
        <w:tblCellMar>
          <w:left w:w="62" w:type="dxa"/>
          <w:right w:w="62" w:type="dxa"/>
        </w:tblCellMar>
        <w:tblLook w:val="0000"/>
      </w:tblPr>
      <w:tblGrid>
        <w:gridCol w:w="2672"/>
        <w:gridCol w:w="5699"/>
      </w:tblGrid>
      <w:tr w:rsidTr="00A87F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2)</w:t>
            </w:r>
          </w:p>
        </w:tc>
      </w:tr>
      <w:tr w:rsidTr="00A87F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This unit shall apply to persons entering work in energy sector and may be used in school-based vocational programs.</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4" w:name="O_418372"/>
      <w:bookmarkEnd w:id="4"/>
      <w:r w:rsidRPr="00144643">
        <w:t>Licensing/Regulatory Information</w:t>
      </w:r>
    </w:p>
    <w:tbl>
      <w:tblPr>
        <w:tblW w:w="0" w:type="auto"/>
        <w:tblLayout w:type="fixed"/>
        <w:tblCellMar>
          <w:left w:w="62" w:type="dxa"/>
          <w:right w:w="62" w:type="dxa"/>
        </w:tblCellMar>
        <w:tblLook w:val="0000"/>
      </w:tblPr>
      <w:tblGrid>
        <w:gridCol w:w="2700"/>
        <w:gridCol w:w="5760"/>
      </w:tblGrid>
      <w:tr w:rsidTr="00A87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 xml:space="preserve">3) </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The skills and knowledge described in this unit do not requir</w:t>
            </w:r>
            <w:r w:rsidRPr="00144643">
              <w:t>e a license to practice in the workplace. However practice in this unit is subject to regulations directly related to occupational health and safe and contracts of training such as new apprenticeships.</w:t>
            </w:r>
          </w:p>
          <w:p w:rsidR="00000000" w:rsidRPr="00144643" w:rsidP="00144643">
            <w:pPr>
              <w:pStyle w:val="BodyText"/>
            </w:pPr>
            <w:r w:rsidRPr="00144643">
              <w:t xml:space="preserve">Note: </w:t>
            </w:r>
          </w:p>
          <w:p w:rsidR="00000000" w:rsidRPr="00144643" w:rsidP="00144643">
            <w:pPr>
              <w:pStyle w:val="BodyText"/>
            </w:pPr>
            <w:r w:rsidRPr="00144643">
              <w:t>1. Compliance with permits may be required in v</w:t>
            </w:r>
            <w:r w:rsidRPr="00144643">
              <w:t xml:space="preserve">arious jurisdictions and typically relates to the operation of plant, machinery and equipment such as elevating work platforms, powder operated fixing tools, and power </w:t>
            </w:r>
            <w:r w:rsidRPr="00144643">
              <w:t>operated tools, vehicles, road signage and traffic control, lifting equipment. Permits m</w:t>
            </w:r>
            <w:r w:rsidRPr="00144643">
              <w:t>ay also be required for some work environments such as confined spaces, working aloft, near live electrical apparatus and site rehabilitation.</w:t>
            </w:r>
          </w:p>
          <w:p w:rsidR="00000000" w:rsidRPr="00144643" w:rsidP="00144643">
            <w:pPr>
              <w:pStyle w:val="BodyText"/>
            </w:pPr>
            <w:r w:rsidRPr="00144643">
              <w:t>2. Compliance may be required in various jurisdictions relating to currency in First Aid, confined space, lifting</w:t>
            </w:r>
            <w:r w:rsidRPr="00144643">
              <w:t xml:space="preserve"> and risk safety measures.</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5" w:name="O_418373"/>
      <w:bookmarkEnd w:id="5"/>
      <w:r w:rsidRPr="00144643">
        <w:t>Pre-Requisites</w:t>
      </w:r>
    </w:p>
    <w:tbl>
      <w:tblPr>
        <w:tblW w:w="0" w:type="auto"/>
        <w:tblLayout w:type="fixed"/>
        <w:tblCellMar>
          <w:left w:w="62" w:type="dxa"/>
          <w:right w:w="62" w:type="dxa"/>
        </w:tblCellMar>
        <w:tblLook w:val="0000"/>
      </w:tblPr>
      <w:tblGrid>
        <w:gridCol w:w="2700"/>
        <w:gridCol w:w="1440"/>
        <w:gridCol w:w="4320"/>
      </w:tblGrid>
      <w:tr w:rsidTr="00A87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 xml:space="preserve">4) </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4.1)</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Granting competency in this unit shall be made only after competency in the following unit(s) has/have been confirmed.</w:t>
            </w:r>
          </w:p>
        </w:tc>
      </w:tr>
      <w:tr w:rsidTr="00A87F8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UEENEEE101A</w:t>
            </w:r>
          </w:p>
        </w:tc>
        <w:tc>
          <w:tcPr>
            <w:tcW w:w="43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Apply Occupational Health and Safety regulations, codes and practices in the workplace</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UEENEEE102A</w:t>
            </w:r>
          </w:p>
        </w:tc>
        <w:tc>
          <w:tcPr>
            <w:tcW w:w="432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Fabricate, assemble and dismantle utilities industry components</w:t>
            </w:r>
          </w:p>
        </w:tc>
      </w:tr>
    </w:tbl>
    <w:p w:rsidR="00000000" w:rsidRPr="00144643" w:rsidP="0014464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87F8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 xml:space="preserve">4.2) </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Participants are best equipped to achieve competency in this unit if they have reading, writing and numeracy skills indicated by the following scales. Description of each scale is given in Volume 2, Part 3 ‘Literacy and Numeracy’</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Reading</w:t>
            </w:r>
          </w:p>
        </w:tc>
        <w:tc>
          <w:tcPr>
            <w:tcW w:w="81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w:t>
            </w:r>
          </w:p>
        </w:tc>
        <w:tc>
          <w:tcPr>
            <w:tcW w:w="99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Writing</w:t>
            </w: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w:t>
            </w:r>
          </w:p>
        </w:tc>
        <w:tc>
          <w:tcPr>
            <w:tcW w:w="12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Numeracy</w:t>
            </w:r>
          </w:p>
        </w:tc>
        <w:tc>
          <w:tcPr>
            <w:tcW w:w="72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3</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6" w:name="O_418369"/>
      <w:bookmarkEnd w:id="6"/>
      <w:r w:rsidRPr="00144643">
        <w:t>Employability Skills Information</w:t>
      </w:r>
    </w:p>
    <w:tbl>
      <w:tblPr>
        <w:tblW w:w="0" w:type="auto"/>
        <w:tblLayout w:type="fixed"/>
        <w:tblCellMar>
          <w:left w:w="62" w:type="dxa"/>
          <w:right w:w="62" w:type="dxa"/>
        </w:tblCellMar>
        <w:tblLook w:val="0000"/>
      </w:tblPr>
      <w:tblGrid>
        <w:gridCol w:w="2700"/>
        <w:gridCol w:w="5760"/>
      </w:tblGrid>
      <w:tr w:rsidTr="00A87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 xml:space="preserve">5) </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This unit contains Employability Skills</w:t>
            </w:r>
          </w:p>
          <w:p w:rsidR="00000000" w:rsidRPr="00144643" w:rsidP="00144643">
            <w:pPr>
              <w:pStyle w:val="BodyText"/>
            </w:pPr>
            <w:r w:rsidRPr="00144643">
              <w:t>The required outcomes described in this unit of competency contain ap</w:t>
            </w:r>
            <w:r w:rsidRPr="00144643">
              <w:t>plicable facets of Employability Skills. The Employability Skills Summary of the qualification in which this unit of competency is packaged will assist in identifying Employability Skill requirements.</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7" w:name="O_418368"/>
      <w:bookmarkEnd w:id="7"/>
      <w:r w:rsidRPr="00144643">
        <w:t>Elements and Performance Criteria Pr</w:t>
      </w:r>
      <w:r w:rsidRPr="00144643">
        <w:t>e-Content</w:t>
      </w:r>
    </w:p>
    <w:tbl>
      <w:tblPr>
        <w:tblW w:w="0" w:type="auto"/>
        <w:tblLayout w:type="fixed"/>
        <w:tblCellMar>
          <w:left w:w="62" w:type="dxa"/>
          <w:right w:w="62" w:type="dxa"/>
        </w:tblCellMar>
        <w:tblLook w:val="0000"/>
      </w:tblPr>
      <w:tblGrid>
        <w:gridCol w:w="2700"/>
        <w:gridCol w:w="5760"/>
      </w:tblGrid>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6)</w:t>
            </w:r>
            <w:r w:rsidRPr="0014464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Performance Criteria describe the required performance needed to demonstrate achievement of the element. Assessment of performance is to be consistent with the Evidence Gui</w:t>
            </w:r>
            <w:r w:rsidRPr="00144643">
              <w:t>de.</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8" w:name="O_418367"/>
      <w:bookmarkEnd w:id="8"/>
      <w:r w:rsidRPr="0014464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87F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PERFORMANCE CRITERIA</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w:t>
            </w:r>
          </w:p>
        </w:tc>
        <w:tc>
          <w:tcPr>
            <w:tcW w:w="2296" w:type="dxa"/>
            <w:vMerge w:val="restart"/>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Prepare to produce routine products.</w:t>
            </w: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1.1</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Instructions for preparing the work activity are communicated and confirmed to ensure clear understanding routine products.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1.2</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OHS policies and procedures are communicated and confirmed to ensure they are understood as they apply to the carrying out of the work.</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1.3</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Necessary tools, equipment and personnel protective equipment are identified, scheduled and checked to ensure they work correctly as intended and are safe to use in accordance with established procedures.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1.4</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Appropriate personnel are consulted to ensur</w:t>
            </w:r>
            <w:r w:rsidRPr="00144643">
              <w:t>e the work is coordinated effectively with others involved.</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1.5</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Resources and materials needed to do the work are confirmed, scheduled and obtained in accordance with established procedures.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1.6</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Schedule of work including practices for working safely are confirmed in accordance with instructions and requirements.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2</w:t>
            </w:r>
          </w:p>
        </w:tc>
        <w:tc>
          <w:tcPr>
            <w:tcW w:w="2296" w:type="dxa"/>
            <w:vMerge w:val="restart"/>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Produce routine products.</w:t>
            </w: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2.1</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OHS policies and procedures and safe work practices are followed to eliminate or minimise incidents pro</w:t>
            </w:r>
            <w:r w:rsidRPr="00144643">
              <w:t>ducts.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2.2</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Schedule of work is followed to ensure work is completed in an agreed time, to a quality standard and with a minimum of waste.</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2.3</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Further instructions are sought from appropriate personnel in the event of unplanned happenings or conditions.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2.4</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Ongoing checks of work quality are undertaken in accordance with instructions and requirements.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w:t>
            </w:r>
          </w:p>
        </w:tc>
        <w:tc>
          <w:tcPr>
            <w:tcW w:w="2296" w:type="dxa"/>
            <w:vMerge w:val="restart"/>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Check results of products produced.</w:t>
            </w: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3.1</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Final checks are made to ensure the completed work conforms with instructions and to requirements products produced.</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3.2</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Appropriate personnel are notified of completion of the work.</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3.3</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 xml:space="preserve">Tools, equipment and any surplus resources and materials are, </w:t>
            </w:r>
            <w:r w:rsidRPr="00144643">
              <w:t>where appropriate, cleaned, checked and returned to storage in accordance with established procedures.</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3.4</w:t>
            </w:r>
          </w:p>
        </w:tc>
        <w:tc>
          <w:tcPr>
            <w:tcW w:w="48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Work area is cleaned up and made safe and sustainable energy practices are followed.</w:t>
            </w:r>
          </w:p>
        </w:tc>
      </w:tr>
      <w:tr w:rsidTr="00A87F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3.5</w:t>
            </w:r>
          </w:p>
        </w:tc>
        <w:tc>
          <w:tcPr>
            <w:tcW w:w="48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Appropriate records are updated in accordance with instructions and established procedures.</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9" w:name="O_418375"/>
      <w:bookmarkEnd w:id="9"/>
      <w:r w:rsidRPr="00144643">
        <w:t>Required Skills and Knowledge</w:t>
      </w:r>
    </w:p>
    <w:tbl>
      <w:tblPr>
        <w:tblW w:w="0" w:type="auto"/>
        <w:tblLayout w:type="fixed"/>
        <w:tblCellMar>
          <w:left w:w="62" w:type="dxa"/>
          <w:right w:w="62" w:type="dxa"/>
        </w:tblCellMar>
        <w:tblLook w:val="0000"/>
      </w:tblPr>
      <w:tblGrid>
        <w:gridCol w:w="8460"/>
      </w:tblGrid>
      <w:tr w:rsidTr="00A87F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REQUIRED SKILLS AND KNOWLEDGE</w:t>
            </w:r>
          </w:p>
        </w:tc>
      </w:tr>
      <w:tr w:rsidTr="00A87F8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8)</w:t>
            </w:r>
            <w:r w:rsidRPr="00144643">
              <w:t xml:space="preserve"> This describes the essential skills and knowledge and their level, required for t</w:t>
            </w:r>
            <w:r w:rsidRPr="00144643">
              <w:t>his unit.</w:t>
            </w:r>
          </w:p>
          <w:p w:rsidR="00000000" w:rsidRPr="00144643" w:rsidP="00144643">
            <w:pPr>
              <w:pStyle w:val="BodyText"/>
            </w:pPr>
            <w:r w:rsidRPr="00144643">
              <w:t>Evidence shall show that knowledge has been acquired of safe working practices and producing routine products for carrying out electrotechnology work activities.</w:t>
            </w:r>
          </w:p>
          <w:p w:rsidR="00000000" w:rsidRPr="00144643" w:rsidP="00144643">
            <w:pPr>
              <w:pStyle w:val="BodyText"/>
            </w:pPr>
            <w:r w:rsidRPr="00144643">
              <w:t>All knowledge and skills detailed in this unit should be contextualised to current industry practices and technologies.</w:t>
            </w:r>
          </w:p>
          <w:p w:rsidR="00000000" w:rsidRPr="00144643" w:rsidP="00144643">
            <w:pPr>
              <w:pStyle w:val="BodyText"/>
            </w:pPr>
            <w:r w:rsidRPr="00144643">
              <w:rPr>
                <w:rStyle w:val="SpecialBold"/>
              </w:rPr>
              <w:t>KS01-EE142A</w:t>
            </w:r>
            <w:r w:rsidRPr="00144643">
              <w:rPr>
                <w:rStyle w:val="SpecialBold"/>
              </w:rPr>
              <w:tab/>
              <w:t xml:space="preserve">              Energy sector engineering practices</w:t>
            </w:r>
          </w:p>
          <w:p w:rsidR="00000000" w:rsidRPr="00144643" w:rsidP="00144643">
            <w:pPr>
              <w:pStyle w:val="BodyText"/>
            </w:pPr>
            <w:r w:rsidRPr="00144643">
              <w:t>Evidence shall show an understanding of drawings interpretation and sketch</w:t>
            </w:r>
            <w:r w:rsidRPr="00144643">
              <w:t>ing, hand tools/ fixed and portable tools and their use, techniques for assembling and dismantling electrotechnology apparatus and welding to an extent indicated by the following aspects:</w:t>
            </w:r>
          </w:p>
          <w:p w:rsidR="00000000" w:rsidRPr="00144643" w:rsidP="00144643">
            <w:pPr>
              <w:pStyle w:val="BodyText"/>
            </w:pPr>
            <w:r w:rsidRPr="00144643">
              <w:t>T1</w:t>
            </w:r>
            <w:r w:rsidRPr="00144643">
              <w:tab/>
              <w:t>Basic technical drawing conventions and symbols</w:t>
            </w:r>
          </w:p>
          <w:p w:rsidR="00000000" w:rsidRPr="00144643" w:rsidP="00144643">
            <w:pPr>
              <w:pStyle w:val="BodyText"/>
            </w:pPr>
            <w:r w:rsidRPr="00144643">
              <w:t>T2</w:t>
            </w:r>
            <w:r w:rsidRPr="00144643">
              <w:tab/>
              <w:t>Freehand techn</w:t>
            </w:r>
            <w:r w:rsidRPr="00144643">
              <w:t>ical sketching techniques</w:t>
            </w:r>
          </w:p>
          <w:p w:rsidR="00000000" w:rsidRPr="00144643" w:rsidP="00144643">
            <w:pPr>
              <w:pStyle w:val="BodyText"/>
            </w:pPr>
            <w:r w:rsidRPr="00144643">
              <w:t>T3</w:t>
            </w:r>
            <w:r w:rsidRPr="00144643">
              <w:tab/>
              <w:t xml:space="preserve">Hand tools for cutting, shaping, drilling, threading, tapping, and finishing metallic </w:t>
            </w:r>
            <w:r w:rsidRPr="00144643">
              <w:tab/>
              <w:t>and non-metallic components encompassing:</w:t>
            </w:r>
          </w:p>
          <w:p w:rsidR="00000000" w:rsidRPr="00144643" w:rsidP="00144643">
            <w:pPr>
              <w:pStyle w:val="ListBullet"/>
            </w:pPr>
            <w:r w:rsidRPr="00144643">
              <w:t>types of tools and their purpose</w:t>
            </w:r>
          </w:p>
          <w:p w:rsidR="00000000" w:rsidRPr="00144643" w:rsidP="00144643">
            <w:pPr>
              <w:pStyle w:val="ListBullet"/>
            </w:pPr>
            <w:r w:rsidRPr="00144643">
              <w:t>techniques for the correct and safe use of these tools</w:t>
            </w:r>
          </w:p>
          <w:p w:rsidR="00000000" w:rsidRPr="00144643" w:rsidP="00144643">
            <w:pPr>
              <w:pStyle w:val="ListBullet"/>
            </w:pPr>
            <w:r w:rsidRPr="00144643">
              <w:t>hazards as</w:t>
            </w:r>
            <w:r w:rsidRPr="00144643">
              <w:t xml:space="preserve">sociated with their use </w:t>
            </w:r>
          </w:p>
          <w:p w:rsidR="00000000" w:rsidRPr="00144643" w:rsidP="00144643">
            <w:pPr>
              <w:pStyle w:val="ListBullet"/>
            </w:pPr>
            <w:r w:rsidRPr="00144643">
              <w:t xml:space="preserve">care and maintenance of hand tools </w:t>
            </w:r>
          </w:p>
          <w:p w:rsidR="00000000" w:rsidRPr="00144643" w:rsidP="00144643">
            <w:pPr>
              <w:pStyle w:val="BodyText"/>
            </w:pPr>
            <w:r w:rsidRPr="00144643">
              <w:t>T4</w:t>
            </w:r>
            <w:r w:rsidRPr="00144643">
              <w:tab/>
              <w:t>Tools for measuring and marking out.</w:t>
            </w:r>
          </w:p>
          <w:p w:rsidR="00000000" w:rsidRPr="00144643" w:rsidP="00144643">
            <w:pPr>
              <w:pStyle w:val="ListBullet"/>
            </w:pPr>
            <w:r w:rsidRPr="00144643">
              <w:t>types of tools and their purpose</w:t>
            </w:r>
          </w:p>
          <w:p w:rsidR="00000000" w:rsidRPr="00144643" w:rsidP="00144643">
            <w:pPr>
              <w:pStyle w:val="ListBullet"/>
            </w:pPr>
            <w:r w:rsidRPr="00144643">
              <w:t>techniques for the correct and safe use of these tools</w:t>
            </w:r>
          </w:p>
          <w:p w:rsidR="00000000" w:rsidRPr="00144643" w:rsidP="00144643">
            <w:pPr>
              <w:pStyle w:val="ListBullet"/>
            </w:pPr>
            <w:r w:rsidRPr="00144643">
              <w:t xml:space="preserve">hazards associated with their use </w:t>
            </w:r>
          </w:p>
          <w:p w:rsidR="00000000" w:rsidRPr="00144643" w:rsidP="00144643">
            <w:pPr>
              <w:pStyle w:val="ListBullet"/>
            </w:pPr>
            <w:r w:rsidRPr="00144643">
              <w:t>care and maintenance of hand too</w:t>
            </w:r>
            <w:r w:rsidRPr="00144643">
              <w:t>ls</w:t>
            </w:r>
          </w:p>
          <w:p w:rsidR="00000000" w:rsidRPr="00144643" w:rsidP="00144643">
            <w:pPr>
              <w:pStyle w:val="BodyText"/>
            </w:pPr>
            <w:r w:rsidRPr="00144643">
              <w:t>T5</w:t>
            </w:r>
            <w:r w:rsidRPr="00144643">
              <w:tab/>
              <w:t xml:space="preserve">Tools for dismantling and assembling electrical and electronic components </w:t>
            </w:r>
            <w:r w:rsidRPr="00144643">
              <w:tab/>
              <w:t>encompassing:</w:t>
            </w:r>
          </w:p>
          <w:p w:rsidR="00000000" w:rsidRPr="00144643" w:rsidP="00144643">
            <w:pPr>
              <w:pStyle w:val="ListBullet"/>
            </w:pPr>
            <w:r w:rsidRPr="00144643">
              <w:t>types of tools and their purpose</w:t>
            </w:r>
          </w:p>
          <w:p w:rsidR="00000000" w:rsidRPr="00144643" w:rsidP="00144643">
            <w:pPr>
              <w:pStyle w:val="ListBullet"/>
            </w:pPr>
            <w:r w:rsidRPr="00144643">
              <w:t>techniques for the correct and safe use of these tools</w:t>
            </w:r>
          </w:p>
          <w:p w:rsidR="00000000" w:rsidRPr="00144643" w:rsidP="00144643">
            <w:pPr>
              <w:pStyle w:val="ListBullet"/>
            </w:pPr>
            <w:r w:rsidRPr="00144643">
              <w:t xml:space="preserve">hazards associated with their use </w:t>
            </w:r>
          </w:p>
          <w:p w:rsidR="00000000" w:rsidRPr="00144643" w:rsidP="00144643">
            <w:pPr>
              <w:pStyle w:val="ListBullet"/>
            </w:pPr>
            <w:r w:rsidRPr="00144643">
              <w:t>care and maintenance of hand tools</w:t>
            </w:r>
          </w:p>
          <w:p w:rsidR="00000000" w:rsidRPr="00144643" w:rsidP="00144643">
            <w:pPr>
              <w:pStyle w:val="BodyText"/>
            </w:pPr>
            <w:r w:rsidRPr="00144643">
              <w:t>T6</w:t>
            </w:r>
            <w:r w:rsidRPr="00144643">
              <w:tab/>
            </w:r>
            <w:r w:rsidRPr="00144643">
              <w:t>Fixed power tools for cutting, shaping, drilling, and finishing metallic and non-</w:t>
            </w:r>
            <w:r w:rsidRPr="00144643">
              <w:tab/>
              <w:t>metallic components encompassing:</w:t>
            </w:r>
          </w:p>
          <w:p w:rsidR="00000000" w:rsidRPr="00144643" w:rsidP="00144643">
            <w:pPr>
              <w:pStyle w:val="ListBullet"/>
            </w:pPr>
            <w:r w:rsidRPr="00144643">
              <w:t>types of tools and their purpose</w:t>
            </w:r>
          </w:p>
          <w:p w:rsidR="00000000" w:rsidRPr="00144643" w:rsidP="00144643">
            <w:pPr>
              <w:pStyle w:val="ListBullet"/>
            </w:pPr>
            <w:r w:rsidRPr="00144643">
              <w:t>techniques for the correct and safe use of these tools</w:t>
            </w:r>
          </w:p>
          <w:p w:rsidR="00000000" w:rsidRPr="00144643" w:rsidP="00144643">
            <w:pPr>
              <w:pStyle w:val="ListBullet"/>
            </w:pPr>
            <w:r w:rsidRPr="00144643">
              <w:t xml:space="preserve">hazards associated with their use </w:t>
            </w:r>
          </w:p>
          <w:p w:rsidR="00000000" w:rsidRPr="00144643" w:rsidP="00144643">
            <w:pPr>
              <w:pStyle w:val="ListBullet"/>
            </w:pPr>
            <w:r w:rsidRPr="00144643">
              <w:t>care and maintena</w:t>
            </w:r>
            <w:r w:rsidRPr="00144643">
              <w:t xml:space="preserve">nce of fixed power tools </w:t>
            </w:r>
          </w:p>
          <w:p w:rsidR="00000000" w:rsidRPr="00144643" w:rsidP="00144643">
            <w:pPr>
              <w:pStyle w:val="BodyText"/>
            </w:pPr>
            <w:r w:rsidRPr="00144643">
              <w:t>T7</w:t>
            </w:r>
            <w:r w:rsidRPr="00144643">
              <w:tab/>
              <w:t xml:space="preserve">Portable power tools for cutting, shaping, drilling, and structural components </w:t>
            </w:r>
            <w:r w:rsidRPr="00144643">
              <w:tab/>
              <w:t>encompassing:</w:t>
            </w:r>
          </w:p>
          <w:p w:rsidR="00000000" w:rsidRPr="00144643" w:rsidP="00144643">
            <w:pPr>
              <w:pStyle w:val="ListBullet"/>
            </w:pPr>
            <w:r w:rsidRPr="00144643">
              <w:t>types of tools and their purpose</w:t>
            </w:r>
          </w:p>
          <w:p w:rsidR="00000000" w:rsidRPr="00144643" w:rsidP="00144643">
            <w:pPr>
              <w:pStyle w:val="ListBullet"/>
            </w:pPr>
            <w:r w:rsidRPr="00144643">
              <w:t>techniques for the correct and safe use of these tools</w:t>
            </w:r>
          </w:p>
          <w:p w:rsidR="00000000" w:rsidRPr="00144643" w:rsidP="00144643">
            <w:pPr>
              <w:pStyle w:val="ListBullet"/>
            </w:pPr>
            <w:r w:rsidRPr="00144643">
              <w:t xml:space="preserve">hazards associated with their use </w:t>
            </w:r>
          </w:p>
          <w:p w:rsidR="00000000" w:rsidRPr="00144643" w:rsidP="00144643">
            <w:pPr>
              <w:pStyle w:val="ListBullet"/>
            </w:pPr>
            <w:r w:rsidRPr="00144643">
              <w:t>care and maintenance of fixed power tools</w:t>
            </w:r>
          </w:p>
          <w:p w:rsidR="00000000" w:rsidRPr="00144643" w:rsidP="00144643">
            <w:pPr>
              <w:pStyle w:val="ListBullet"/>
            </w:pPr>
            <w:r w:rsidRPr="00144643">
              <w:t>requirements for use on construction sites.</w:t>
            </w:r>
          </w:p>
          <w:p w:rsidR="00000000" w:rsidRPr="00144643" w:rsidP="00144643">
            <w:pPr>
              <w:pStyle w:val="BodyText"/>
            </w:pPr>
            <w:r w:rsidRPr="00144643">
              <w:t>T8</w:t>
            </w:r>
            <w:r w:rsidRPr="00144643">
              <w:tab/>
              <w:t>Purpose of sequencing dismantling and assembling.</w:t>
            </w:r>
          </w:p>
          <w:p w:rsidR="00000000" w:rsidRPr="00144643" w:rsidP="00144643">
            <w:pPr>
              <w:pStyle w:val="BodyText"/>
            </w:pPr>
            <w:r w:rsidRPr="00144643">
              <w:t>T9</w:t>
            </w:r>
            <w:r w:rsidRPr="00144643">
              <w:tab/>
              <w:t>Importance of marking/labelling and storing parts</w:t>
            </w:r>
          </w:p>
          <w:p w:rsidR="00000000" w:rsidRPr="00144643" w:rsidP="00144643">
            <w:pPr>
              <w:pStyle w:val="BodyText"/>
            </w:pPr>
            <w:r w:rsidRPr="00144643">
              <w:t>T10</w:t>
            </w:r>
            <w:r w:rsidRPr="00144643">
              <w:tab/>
              <w:t>Techniques for dismantling and assembling close fitting part</w:t>
            </w:r>
            <w:r w:rsidRPr="00144643">
              <w:t>s.</w:t>
            </w:r>
          </w:p>
          <w:p w:rsidR="00000000" w:rsidRPr="00144643" w:rsidP="00144643">
            <w:pPr>
              <w:pStyle w:val="BodyText"/>
            </w:pPr>
            <w:r w:rsidRPr="00144643">
              <w:t>T11</w:t>
            </w:r>
            <w:r w:rsidRPr="00144643">
              <w:tab/>
              <w:t>Use of gasket and seals.</w:t>
            </w:r>
          </w:p>
          <w:p w:rsidR="00000000" w:rsidRPr="00144643" w:rsidP="00144643">
            <w:pPr>
              <w:pStyle w:val="BodyText"/>
            </w:pPr>
            <w:r w:rsidRPr="00144643">
              <w:t>T12</w:t>
            </w:r>
            <w:r w:rsidRPr="00144643">
              <w:tab/>
              <w:t>Hazards associated with welding activities and equipment</w:t>
            </w:r>
          </w:p>
          <w:p w:rsidR="00000000" w:rsidRPr="00144643" w:rsidP="00144643">
            <w:pPr>
              <w:pStyle w:val="BodyText"/>
            </w:pPr>
            <w:r w:rsidRPr="00144643">
              <w:t>T13</w:t>
            </w:r>
            <w:r w:rsidRPr="00144643">
              <w:tab/>
              <w:t>Welding processes and industry applications</w:t>
            </w:r>
          </w:p>
          <w:p w:rsidR="00000000" w:rsidRPr="00144643" w:rsidP="00144643">
            <w:pPr>
              <w:pStyle w:val="BodyText"/>
            </w:pPr>
            <w:r w:rsidRPr="00144643">
              <w:t>T14</w:t>
            </w:r>
            <w:r w:rsidRPr="00144643">
              <w:tab/>
              <w:t>Thermal cutting techniques</w:t>
            </w:r>
          </w:p>
          <w:p w:rsidR="00000000" w:rsidRPr="00144643" w:rsidP="00144643">
            <w:pPr>
              <w:pStyle w:val="BodyText"/>
            </w:pPr>
            <w:r w:rsidRPr="00144643">
              <w:t>T15</w:t>
            </w:r>
            <w:r w:rsidRPr="00144643">
              <w:tab/>
              <w:t>Manual metal arc welding processes</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10" w:name="O_418370"/>
      <w:bookmarkEnd w:id="10"/>
      <w:r w:rsidRPr="00144643">
        <w:t>Evidence Guide</w:t>
      </w:r>
    </w:p>
    <w:tbl>
      <w:tblPr>
        <w:tblW w:w="0" w:type="auto"/>
        <w:tblLayout w:type="fixed"/>
        <w:tblCellMar>
          <w:left w:w="62" w:type="dxa"/>
          <w:right w:w="62" w:type="dxa"/>
        </w:tblCellMar>
        <w:tblLook w:val="0000"/>
      </w:tblPr>
      <w:tblGrid>
        <w:gridCol w:w="8460"/>
      </w:tblGrid>
      <w:tr w:rsidTr="00A87F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EVIDENCE GUIDE</w:t>
            </w:r>
          </w:p>
        </w:tc>
      </w:tr>
      <w:tr w:rsidTr="00A87F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9)</w:t>
            </w:r>
            <w:r w:rsidRPr="00144643">
              <w:t xml:space="preserve"> The evidence guide provides advice on assessment and must be read in conjunction with the Performance Criteria, Required Skills and Knowledge, the Range Statement and the Assessment Guidelines for this Training Package. </w:t>
            </w:r>
          </w:p>
          <w:p w:rsidR="00000000" w:rsidRPr="00144643" w:rsidP="00144643">
            <w:pPr>
              <w:pStyle w:val="BodyText"/>
            </w:pPr>
            <w:r w:rsidRPr="00144643">
              <w:t>The Evidence Gui</w:t>
            </w:r>
            <w:r w:rsidRPr="00144643">
              <w:t>de forms an integral part of this unit. It must be used in conjunction with all parts of the unit and performed in accordance with the Assessment Guidelines of this Training Package.</w:t>
            </w:r>
          </w:p>
        </w:tc>
      </w:tr>
    </w:tbl>
    <w:p w:rsidR="00000000" w:rsidRPr="00144643" w:rsidP="00144643">
      <w:pPr>
        <w:pStyle w:val="BodyText"/>
      </w:pPr>
    </w:p>
    <w:tbl>
      <w:tblPr>
        <w:tblW w:w="0" w:type="auto"/>
        <w:tblLayout w:type="fixed"/>
        <w:tblCellMar>
          <w:left w:w="62" w:type="dxa"/>
          <w:right w:w="62" w:type="dxa"/>
        </w:tblCellMar>
        <w:tblLook w:val="0000"/>
      </w:tblPr>
      <w:tblGrid>
        <w:gridCol w:w="1890"/>
        <w:gridCol w:w="6570"/>
      </w:tblGrid>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9.1)</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Longitudinal competency development appro</w:t>
            </w:r>
            <w:r w:rsidRPr="00144643">
              <w:t>aches to assessment, such as Profiling, require data to be reliably gathered in a form that can be consistently interpreted over time. This approach is best utilised in Apprenticeship programs and reduces assessment intervention. It is the industry-preferr</w:t>
            </w:r>
            <w:r w:rsidRPr="00144643">
              <w:t>ed model for apprenticeships. However, where summative (or final) assessment is used it is to include the application of the competency in the normal work environment or, at a minimum, the application of the competency in a realistically simulated work env</w:t>
            </w:r>
            <w:r w:rsidRPr="00144643">
              <w:t>ironment. It is recognised that, in some circumstances, assessment in part or full can occur outside the workplace. However, it must be in accordance with industry and regulatory policy.</w:t>
            </w:r>
          </w:p>
          <w:p w:rsidR="00000000" w:rsidRPr="00144643" w:rsidP="00144643">
            <w:pPr>
              <w:pStyle w:val="BodyText"/>
            </w:pPr>
            <w:r w:rsidRPr="00144643">
              <w:t>Methods chosen for a particular assessment will be influenced by various factors. These include the extent of the assessment, the most effective locations for the assessment activities to take place, access to physical resources, additional safety measures</w:t>
            </w:r>
            <w:r w:rsidRPr="00144643">
              <w:t xml:space="preserve"> that may be required and the critical nature of the competencies being assessed.</w:t>
            </w:r>
          </w:p>
          <w:p w:rsidR="00000000" w:rsidRPr="00144643" w:rsidP="00144643">
            <w:pPr>
              <w:pStyle w:val="BodyText"/>
            </w:pPr>
            <w:r w:rsidRPr="00144643">
              <w:t>The critical safety nature of working with electricity, electrical equipment, gas or any other hazardous substance/material carries risk in deeming a person competent. Source</w:t>
            </w:r>
            <w:r w:rsidRPr="00144643">
              <w:t>s of evidence need to be ‘rich’ in nature to minimise error in judgment.</w:t>
            </w:r>
          </w:p>
          <w:p w:rsidR="00000000" w:rsidRPr="00144643" w:rsidP="00144643">
            <w:pPr>
              <w:pStyle w:val="BodyText"/>
            </w:pPr>
            <w:r w:rsidRPr="00144643">
              <w:t>Activities associated with normal everyday work have a bearing on the decision as to how much and how detailed the data gathered will contribute to its ‘richness’. Some skills are mor</w:t>
            </w:r>
            <w:r w:rsidRPr="00144643">
              <w:t>e critical to safety and operational requirements while the same skills may be more or less frequently practised. These points are raised for the assessors to consider when choosing an assessment method and developing assessment instruments. Sample assessm</w:t>
            </w:r>
            <w:r w:rsidRPr="00144643">
              <w:t>ent instruments are included for Assessors in the Assessment Guidelines of this Training Package.</w:t>
            </w:r>
          </w:p>
        </w:tc>
      </w:tr>
    </w:tbl>
    <w:p w:rsidR="00000000" w:rsidRPr="00144643" w:rsidP="00144643">
      <w:pPr>
        <w:pStyle w:val="BodyText"/>
      </w:pPr>
    </w:p>
    <w:tbl>
      <w:tblPr>
        <w:tblW w:w="0" w:type="auto"/>
        <w:tblLayout w:type="fixed"/>
        <w:tblCellMar>
          <w:left w:w="62" w:type="dxa"/>
          <w:right w:w="62" w:type="dxa"/>
        </w:tblCellMar>
        <w:tblLook w:val="0000"/>
      </w:tblPr>
      <w:tblGrid>
        <w:gridCol w:w="1890"/>
        <w:gridCol w:w="1620"/>
        <w:gridCol w:w="4950"/>
      </w:tblGrid>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9.2)</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Before the critical aspects of evidence are considered all prerequisite</w:t>
            </w:r>
            <w:r w:rsidRPr="00144643">
              <w:t>s must be met.</w:t>
            </w:r>
          </w:p>
          <w:p w:rsidR="00000000" w:rsidRPr="00144643" w:rsidP="00144643">
            <w:pPr>
              <w:pStyle w:val="BodyText"/>
            </w:pPr>
            <w:r w:rsidRPr="00144643">
              <w:t xml:space="preserve">Evidence for competence in this unit shall be considered holistically.  Each element and associated performance criteria shall be demonstrated on at least two occasions in accordance with the ‘Assessment Guidelines – UEE11’.  Evidence shall </w:t>
            </w:r>
            <w:r w:rsidRPr="00144643">
              <w:t>also comprise:</w:t>
            </w:r>
          </w:p>
          <w:p w:rsidR="00000000" w:rsidRPr="00144643" w:rsidP="00144643">
            <w:pPr>
              <w:pStyle w:val="ListBullet"/>
            </w:pPr>
            <w:r w:rsidRPr="00144643">
              <w:t>A representative body of work performance demonstrated within the timeframes typically expected of the discipline, work function and industrial environment. In particular this shall incorporate evidence that shows a candidate is able to:</w:t>
            </w:r>
          </w:p>
          <w:p w:rsidR="00000000" w:rsidRPr="00144643" w:rsidP="00144643">
            <w:pPr>
              <w:pStyle w:val="ListBullet2"/>
            </w:pPr>
            <w:r w:rsidRPr="00144643">
              <w:t>Implement Occupational Health and Safety workplace procedures and practices, including the use of risk control measures as specified in the performance criteria and range statement</w:t>
            </w:r>
          </w:p>
          <w:p w:rsidR="00000000" w:rsidRPr="00144643" w:rsidP="00144643">
            <w:pPr>
              <w:pStyle w:val="ListBullet2"/>
            </w:pPr>
            <w:r w:rsidRPr="00144643">
              <w:t>Apply sustainable energy principles and practices as specified in the perfo</w:t>
            </w:r>
            <w:r w:rsidRPr="00144643">
              <w:t>rmance criteria and range statement</w:t>
            </w:r>
          </w:p>
          <w:p w:rsidR="00000000" w:rsidRPr="00144643" w:rsidP="00144643">
            <w:pPr>
              <w:pStyle w:val="ListBullet2"/>
            </w:pPr>
            <w:r w:rsidRPr="00144643">
              <w:t>Demonstrate an understanding of the essential knowledge and associated skills as described in this unit.  It may be required by some jurisdictions that RTOs provide a percentile graded result for the purpose of regulator</w:t>
            </w:r>
            <w:r w:rsidRPr="00144643">
              <w:t xml:space="preserve">y or licensing requirements.   </w:t>
            </w:r>
          </w:p>
          <w:p w:rsidR="00000000" w:rsidRPr="00144643" w:rsidP="00144643">
            <w:pPr>
              <w:pStyle w:val="ListBullet2"/>
            </w:pPr>
            <w:r w:rsidRPr="00144643">
              <w:t>Demonstrate an appropriate level of skills enabling employment</w:t>
            </w:r>
          </w:p>
          <w:p w:rsidR="00000000" w:rsidRPr="00144643" w:rsidP="00144643">
            <w:pPr>
              <w:pStyle w:val="ListBullet2"/>
            </w:pPr>
            <w:r w:rsidRPr="00144643">
              <w:t>Conduct work observing the relevant Anti Discrimination legislation, regulations, polices and workplace procedures</w:t>
            </w:r>
          </w:p>
          <w:p w:rsidR="00000000" w:rsidRPr="00144643" w:rsidP="00144643">
            <w:pPr>
              <w:pStyle w:val="ListBullet"/>
            </w:pPr>
            <w:r w:rsidRPr="00144643">
              <w:t>Demonstrated consistent performance across a r</w:t>
            </w:r>
            <w:r w:rsidRPr="00144643">
              <w:t>epresentative range of contexts from the prescribed items below:</w:t>
            </w:r>
          </w:p>
          <w:p w:rsidR="00000000" w:rsidP="00144643">
            <w:pPr>
              <w:pStyle w:val="ListBullet2"/>
              <w:rPr>
                <w:lang w:val="en-NZ"/>
              </w:rPr>
            </w:pPr>
            <w:r w:rsidRPr="00144643">
              <w:t>Produce routine products for carrying out energy sector work activities as described in 8) and including:</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A</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Understanding work instructions.</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B</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Obtaining and checking tools and equipment.</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C</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Following work schedules.</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D</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Producing products in accordance with work schedule.</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E</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Returning tools and surplus resources as required.</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F</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Updating work records.</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G</w:t>
            </w:r>
          </w:p>
        </w:tc>
        <w:tc>
          <w:tcPr>
            <w:tcW w:w="495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t>Dealing with unplanned events by drawing on essential knowledge and skills to provide appropriate solutions incorporated in a holistic assessment with the above listed items.</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 xml:space="preserve">Note: </w:t>
            </w:r>
          </w:p>
          <w:p w:rsidR="00000000" w:rsidRPr="00144643" w:rsidP="00144643">
            <w:pPr>
              <w:pStyle w:val="BodyText"/>
            </w:pPr>
            <w:r w:rsidRPr="00144643">
              <w:t>Successful completion of relevant vendor training may be used to contrib</w:t>
            </w:r>
            <w:r w:rsidRPr="00144643">
              <w:t>ute to evidence on which competency is deemed. In these cases the alignment of outcomes of vendor training with performance criteria and critical aspects of evidence shall be clearly identified.</w:t>
            </w:r>
          </w:p>
        </w:tc>
      </w:tr>
    </w:tbl>
    <w:p w:rsidR="00000000" w:rsidRPr="00144643" w:rsidP="00144643">
      <w:pPr>
        <w:pStyle w:val="BodyText"/>
      </w:pPr>
    </w:p>
    <w:tbl>
      <w:tblPr>
        <w:tblW w:w="0" w:type="auto"/>
        <w:tblLayout w:type="fixed"/>
        <w:tblCellMar>
          <w:left w:w="62" w:type="dxa"/>
          <w:right w:w="62" w:type="dxa"/>
        </w:tblCellMar>
        <w:tblLook w:val="0000"/>
      </w:tblPr>
      <w:tblGrid>
        <w:gridCol w:w="1890"/>
        <w:gridCol w:w="6570"/>
      </w:tblGrid>
      <w:tr w:rsidTr="00A87F8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9.3)</w:t>
            </w:r>
          </w:p>
        </w:tc>
      </w:tr>
      <w:tr w:rsidTr="00A87F8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This unit should be assessed as it relates to normal work practice using procedures, information and resources typical of a workplace. This should include:</w:t>
            </w:r>
          </w:p>
          <w:p w:rsidR="00000000" w:rsidRPr="00144643" w:rsidP="00144643">
            <w:pPr>
              <w:pStyle w:val="ListBullet"/>
            </w:pPr>
            <w:r w:rsidRPr="00144643">
              <w:t>OHS policy and work procedures and instructions.</w:t>
            </w:r>
          </w:p>
          <w:p w:rsidR="00000000" w:rsidRPr="00144643" w:rsidP="00144643">
            <w:pPr>
              <w:pStyle w:val="ListBullet"/>
            </w:pPr>
            <w:r w:rsidRPr="00144643">
              <w:t>Suitable work environment, facilities, equipment an</w:t>
            </w:r>
            <w:r w:rsidRPr="00144643">
              <w:t>d materials to undertake actual work as prescribed in this unit.</w:t>
            </w:r>
          </w:p>
          <w:p w:rsidR="00000000" w:rsidRPr="00144643" w:rsidP="00144643">
            <w:pPr>
              <w:pStyle w:val="BodyText"/>
            </w:pPr>
            <w:r w:rsidRPr="00144643">
              <w:t>These should be used in the formal learning/assessment environment.</w:t>
            </w:r>
          </w:p>
          <w:p w:rsidR="00000000" w:rsidRPr="00144643" w:rsidP="00144643">
            <w:pPr>
              <w:pStyle w:val="BodyText"/>
            </w:pPr>
            <w:r w:rsidRPr="00144643">
              <w:t>Note:</w:t>
            </w:r>
          </w:p>
          <w:p w:rsidR="00000000" w:rsidRPr="00144643" w:rsidP="00144643">
            <w:pPr>
              <w:pStyle w:val="BodyText"/>
            </w:pPr>
            <w:r w:rsidRPr="00144643">
              <w:t>Where simulation is considered a suitable strategy for assessment, conditions for assessment must be authentic and as</w:t>
            </w:r>
            <w:r w:rsidRPr="00144643">
              <w:t xml:space="preserve"> far as possible reproduce and replicate the workplace and be consistent with the approved industry simulation policy.</w:t>
            </w:r>
          </w:p>
          <w:p w:rsidR="00000000" w:rsidRPr="00144643" w:rsidP="00144643">
            <w:pPr>
              <w:pStyle w:val="BodyText"/>
            </w:pPr>
            <w:r w:rsidRPr="00144643">
              <w:t>The resources used for assessment should reflect current industry practices in relation to producing routine products for carrying out en</w:t>
            </w:r>
            <w:r w:rsidRPr="00144643">
              <w:t>ergy sector work activities.</w:t>
            </w:r>
          </w:p>
        </w:tc>
      </w:tr>
    </w:tbl>
    <w:p w:rsidR="00000000" w:rsidRPr="00144643" w:rsidP="00144643">
      <w:pPr>
        <w:pStyle w:val="BodyText"/>
      </w:pPr>
    </w:p>
    <w:tbl>
      <w:tblPr>
        <w:tblW w:w="0" w:type="auto"/>
        <w:tblLayout w:type="fixed"/>
        <w:tblCellMar>
          <w:left w:w="62" w:type="dxa"/>
          <w:right w:w="62" w:type="dxa"/>
        </w:tblCellMar>
        <w:tblLook w:val="0000"/>
      </w:tblPr>
      <w:tblGrid>
        <w:gridCol w:w="1890"/>
        <w:gridCol w:w="6570"/>
      </w:tblGrid>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9.4)</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This unit shall be assessed by methods given in Volume 1, Part 3 ‘Assessment Guidelines’.</w:t>
            </w:r>
          </w:p>
          <w:p w:rsidR="00000000" w:rsidRPr="00144643" w:rsidP="00144643">
            <w:pPr>
              <w:pStyle w:val="BodyText"/>
            </w:pPr>
            <w:r w:rsidRPr="00144643">
              <w:t xml:space="preserve">Note: </w:t>
            </w:r>
          </w:p>
          <w:p w:rsidR="00000000" w:rsidRPr="00144643" w:rsidP="00144643">
            <w:pPr>
              <w:pStyle w:val="BodyText"/>
            </w:pPr>
            <w:r w:rsidRPr="00144643">
              <w:t>Competent performance with inherent safe working practices is expected in the Industry to which this unit applies. This requires that the specified essential knowledge and associated skills are assessed in a structured environment which is primarily intend</w:t>
            </w:r>
            <w:r w:rsidRPr="00144643">
              <w:t>ed for learning/assessment and incorporates all necessary equipment and facilities for learners to develop and demonstrate the essential knowledge and skills described in this unit.</w:t>
            </w:r>
          </w:p>
        </w:tc>
      </w:tr>
    </w:tbl>
    <w:p w:rsidR="00000000" w:rsidRPr="00144643" w:rsidP="00144643">
      <w:pPr>
        <w:pStyle w:val="BodyText"/>
      </w:pPr>
    </w:p>
    <w:tbl>
      <w:tblPr>
        <w:tblW w:w="0" w:type="auto"/>
        <w:tblLayout w:type="fixed"/>
        <w:tblCellMar>
          <w:left w:w="62" w:type="dxa"/>
          <w:right w:w="62" w:type="dxa"/>
        </w:tblCellMar>
        <w:tblLook w:val="0000"/>
      </w:tblPr>
      <w:tblGrid>
        <w:gridCol w:w="1890"/>
        <w:gridCol w:w="6570"/>
      </w:tblGrid>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9.5)</w:t>
            </w:r>
          </w:p>
        </w:tc>
      </w:tr>
      <w:tr w:rsidTr="00A87F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There are</w:t>
            </w:r>
            <w:r w:rsidRPr="00144643">
              <w:t xml:space="preserve"> no concurrent assessment recommendations for this unit.</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11" w:name="O_418374"/>
      <w:bookmarkEnd w:id="11"/>
      <w:r w:rsidRPr="00144643">
        <w:t>Range Statement</w:t>
      </w:r>
    </w:p>
    <w:tbl>
      <w:tblPr>
        <w:tblW w:w="0" w:type="auto"/>
        <w:tblLayout w:type="fixed"/>
        <w:tblCellMar>
          <w:left w:w="62" w:type="dxa"/>
          <w:right w:w="62" w:type="dxa"/>
        </w:tblCellMar>
        <w:tblLook w:val="0000"/>
      </w:tblPr>
      <w:tblGrid>
        <w:gridCol w:w="8460"/>
      </w:tblGrid>
      <w:tr w:rsidTr="00A87F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RANGE STATEMENT</w:t>
            </w:r>
          </w:p>
        </w:tc>
      </w:tr>
      <w:tr w:rsidTr="00A87F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10)</w:t>
            </w:r>
            <w:r w:rsidRPr="00144643">
              <w:t xml:space="preserve"> This relates to the unit as a whole providing the range of contexts and conditions to which </w:t>
            </w:r>
            <w:r w:rsidRPr="00144643">
              <w:t>the performance criteria apply. It allows for different work environments and situations that will affect performance.</w:t>
            </w:r>
          </w:p>
          <w:p w:rsidR="00000000" w:rsidRPr="00144643" w:rsidP="00144643">
            <w:pPr>
              <w:pStyle w:val="BodyText"/>
            </w:pPr>
            <w:r w:rsidRPr="00144643">
              <w:t>This unit shall be demonstrated in relation to producing routine products for carrying out energy sector work activities in any of the fo</w:t>
            </w:r>
            <w:r w:rsidRPr="00144643">
              <w:t>llowing disciplines:</w:t>
            </w:r>
          </w:p>
          <w:p w:rsidR="00000000" w:rsidRPr="00144643" w:rsidP="00144643">
            <w:pPr>
              <w:pStyle w:val="ListBullet3"/>
            </w:pPr>
            <w:r w:rsidRPr="00144643">
              <w:t>Appliances</w:t>
            </w:r>
          </w:p>
          <w:p w:rsidR="00000000" w:rsidRPr="00144643" w:rsidP="00144643">
            <w:pPr>
              <w:pStyle w:val="ListBullet3"/>
            </w:pPr>
            <w:r w:rsidRPr="00144643">
              <w:t>Business equipment</w:t>
            </w:r>
          </w:p>
          <w:p w:rsidR="00000000" w:rsidRPr="00144643" w:rsidP="00144643">
            <w:pPr>
              <w:pStyle w:val="ListBullet3"/>
            </w:pPr>
            <w:r w:rsidRPr="00144643">
              <w:t xml:space="preserve">Computers </w:t>
            </w:r>
          </w:p>
          <w:p w:rsidR="00000000" w:rsidRPr="00144643" w:rsidP="00144643">
            <w:pPr>
              <w:pStyle w:val="ListBullet3"/>
            </w:pPr>
            <w:r w:rsidRPr="00144643">
              <w:t>Data Communications</w:t>
            </w:r>
          </w:p>
          <w:p w:rsidR="00000000" w:rsidRPr="00144643" w:rsidP="00144643">
            <w:pPr>
              <w:pStyle w:val="ListBullet3"/>
            </w:pPr>
            <w:r w:rsidRPr="00144643">
              <w:t>Electrical</w:t>
            </w:r>
          </w:p>
          <w:p w:rsidR="00000000" w:rsidRPr="00144643" w:rsidP="00144643">
            <w:pPr>
              <w:pStyle w:val="ListBullet3"/>
            </w:pPr>
            <w:r w:rsidRPr="00144643">
              <w:t>Electrical Machines</w:t>
            </w:r>
          </w:p>
          <w:p w:rsidR="00000000" w:rsidRPr="00144643" w:rsidP="00144643">
            <w:pPr>
              <w:pStyle w:val="ListBullet3"/>
            </w:pPr>
            <w:r w:rsidRPr="00144643">
              <w:t>Electronics</w:t>
            </w:r>
          </w:p>
          <w:p w:rsidR="00000000" w:rsidRPr="00144643" w:rsidP="00144643">
            <w:pPr>
              <w:pStyle w:val="ListBullet3"/>
            </w:pPr>
            <w:r w:rsidRPr="00144643">
              <w:t>Fire protection</w:t>
            </w:r>
          </w:p>
          <w:p w:rsidR="00000000" w:rsidRPr="00144643" w:rsidP="00144643">
            <w:pPr>
              <w:pStyle w:val="ListBullet3"/>
            </w:pPr>
            <w:r w:rsidRPr="00144643">
              <w:t>Instrumentation</w:t>
            </w:r>
          </w:p>
          <w:p w:rsidR="00000000" w:rsidRPr="00144643" w:rsidP="00144643">
            <w:pPr>
              <w:pStyle w:val="ListBullet3"/>
            </w:pPr>
            <w:r w:rsidRPr="00144643">
              <w:t>Refrigeration and Air Conditioning</w:t>
            </w:r>
          </w:p>
          <w:p w:rsidR="00000000" w:rsidRPr="00144643" w:rsidP="00144643">
            <w:pPr>
              <w:pStyle w:val="ListBullet3"/>
            </w:pPr>
            <w:r w:rsidRPr="00144643">
              <w:t>Renewable / sustainable energy, and</w:t>
            </w:r>
          </w:p>
          <w:p w:rsidR="00000000" w:rsidRPr="00144643" w:rsidP="00144643">
            <w:pPr>
              <w:pStyle w:val="ListBullet3"/>
            </w:pPr>
            <w:r w:rsidRPr="00144643">
              <w:t>Security technology</w:t>
            </w:r>
          </w:p>
          <w:p w:rsidR="00000000" w:rsidRPr="00144643" w:rsidP="00144643">
            <w:pPr>
              <w:pStyle w:val="BodyText"/>
            </w:pPr>
            <w:r w:rsidRPr="00144643">
              <w:t>Generic terms used throughout this Vocational Standard shall be regarded as part of the Range Statement in which competency is demonstrated. The definition of these and other terms that apply are given in Volume 2, Part 2.1.</w:t>
            </w:r>
          </w:p>
        </w:tc>
      </w:tr>
    </w:tbl>
    <w:p w:rsidR="00000000" w:rsidRPr="00144643" w:rsidP="00144643">
      <w:pPr>
        <w:pStyle w:val="BodyText"/>
      </w:pPr>
    </w:p>
    <w:p w:rsidR="00000000" w:rsidRPr="00144643" w:rsidP="00144643">
      <w:pPr>
        <w:pStyle w:val="AllowPageBreak"/>
      </w:pPr>
    </w:p>
    <w:p w:rsidR="00000000" w:rsidRPr="00144643" w:rsidP="00144643">
      <w:pPr>
        <w:pStyle w:val="Heading1"/>
      </w:pPr>
      <w:bookmarkStart w:id="12" w:name="O_418377"/>
      <w:bookmarkEnd w:id="12"/>
      <w:r w:rsidRPr="00144643">
        <w:t>Unit Sector(</w:t>
      </w:r>
      <w:r w:rsidRPr="00144643">
        <w:t>s)</w:t>
      </w:r>
    </w:p>
    <w:p w:rsidR="00000000" w:rsidRPr="00144643" w:rsidP="00144643">
      <w:pPr>
        <w:pStyle w:val="BodyText"/>
      </w:pPr>
      <w:r w:rsidRPr="00144643">
        <w:t>Not applicable.</w:t>
      </w:r>
    </w:p>
    <w:p w:rsidR="00000000" w:rsidRPr="00144643" w:rsidP="00144643">
      <w:pPr>
        <w:pStyle w:val="AllowPageBreak"/>
      </w:pPr>
    </w:p>
    <w:p w:rsidR="00000000" w:rsidRPr="00144643" w:rsidP="00144643">
      <w:pPr>
        <w:pStyle w:val="Heading1"/>
      </w:pPr>
      <w:bookmarkStart w:id="13" w:name="O_418366"/>
      <w:bookmarkEnd w:id="13"/>
      <w:r w:rsidRPr="00144643">
        <w:t>Competency Field</w:t>
      </w:r>
    </w:p>
    <w:tbl>
      <w:tblPr>
        <w:tblW w:w="0" w:type="auto"/>
        <w:tblLayout w:type="fixed"/>
        <w:tblCellMar>
          <w:left w:w="62" w:type="dxa"/>
          <w:right w:w="62" w:type="dxa"/>
        </w:tblCellMar>
        <w:tblLook w:val="0000"/>
      </w:tblPr>
      <w:tblGrid>
        <w:gridCol w:w="2700"/>
        <w:gridCol w:w="5760"/>
      </w:tblGrid>
      <w:tr w:rsidTr="00A87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4643">
            <w:pPr>
              <w:pStyle w:val="BodyText"/>
              <w:rPr>
                <w:lang w:val="en-NZ"/>
              </w:rPr>
            </w:pPr>
            <w:r w:rsidRPr="00144643">
              <w:rPr>
                <w:rStyle w:val="SpecialBold"/>
              </w:rPr>
              <w:t xml:space="preserve">11) </w:t>
            </w:r>
          </w:p>
        </w:tc>
      </w:tr>
      <w:tr w:rsidTr="00A87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643" w:rsidP="00144643">
            <w:pPr>
              <w:pStyle w:val="BodyText"/>
            </w:pPr>
            <w:r w:rsidRPr="00144643">
              <w:t>Electrotechnology</w:t>
            </w:r>
          </w:p>
        </w:tc>
      </w:tr>
    </w:tbl>
    <w:p w:rsidR="00000000" w:rsidRPr="00144643" w:rsidP="00144643">
      <w:pPr>
        <w:pStyle w:val="BodyText"/>
      </w:pPr>
    </w:p>
    <w:p w:rsidR="00000000" w:rsidRPr="00144643" w:rsidP="00144643"/>
    <w:sectPr w:rsidSect="00144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F88" w:rsidP="00A87F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88" w:rsidP="001446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7F88" w:rsidP="00144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87F88" w:rsidP="00144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43" w:rsidRPr="00A87F88" w:rsidP="00A87F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88" w:rsidRPr="002D2AF8" w:rsidP="00144643">
    <w:pPr>
      <w:pStyle w:val="Header"/>
      <w:framePr w:wrap="around"/>
    </w:pPr>
    <w:r>
      <w:fldChar w:fldCharType="begin"/>
    </w:r>
    <w:r>
      <w:instrText xml:space="preserve"> TITLE   \* MERGEFORMAT </w:instrText>
    </w:r>
    <w:r>
      <w:fldChar w:fldCharType="separate"/>
    </w:r>
    <w:r>
      <w:t>UEENEEE142A Produce products for carrying out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87F88" w:rsidP="00144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AE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2E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80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643"/>
    <w:pPr>
      <w:spacing w:before="360" w:after="60"/>
      <w:outlineLvl w:val="0"/>
    </w:pPr>
    <w:rPr>
      <w:sz w:val="32"/>
    </w:rPr>
  </w:style>
  <w:style w:type="paragraph" w:styleId="Heading2">
    <w:name w:val="heading 2"/>
    <w:basedOn w:val="HeadingBase"/>
    <w:next w:val="BodyText"/>
    <w:link w:val="Heading2Char"/>
    <w:qFormat/>
    <w:rsid w:val="00144643"/>
    <w:pPr>
      <w:keepLines/>
      <w:spacing w:before="240" w:after="120"/>
      <w:outlineLvl w:val="1"/>
    </w:pPr>
    <w:rPr>
      <w:sz w:val="28"/>
      <w:szCs w:val="40"/>
    </w:rPr>
  </w:style>
  <w:style w:type="paragraph" w:styleId="Heading3">
    <w:name w:val="heading 3"/>
    <w:basedOn w:val="HeadingBase"/>
    <w:next w:val="BodyText"/>
    <w:link w:val="Heading3Char"/>
    <w:qFormat/>
    <w:rsid w:val="00144643"/>
    <w:pPr>
      <w:spacing w:before="180" w:after="120"/>
      <w:outlineLvl w:val="2"/>
    </w:pPr>
    <w:rPr>
      <w:spacing w:val="-10"/>
      <w:kern w:val="32"/>
    </w:rPr>
  </w:style>
  <w:style w:type="paragraph" w:styleId="Heading4">
    <w:name w:val="heading 4"/>
    <w:basedOn w:val="HeadingBase"/>
    <w:next w:val="BodyText"/>
    <w:link w:val="Heading4Char"/>
    <w:qFormat/>
    <w:rsid w:val="00144643"/>
    <w:pPr>
      <w:spacing w:before="160" w:after="120"/>
      <w:outlineLvl w:val="3"/>
    </w:pPr>
    <w:rPr>
      <w:sz w:val="22"/>
    </w:rPr>
  </w:style>
  <w:style w:type="paragraph" w:styleId="Heading5">
    <w:name w:val="heading 5"/>
    <w:basedOn w:val="HeadingBase"/>
    <w:next w:val="Normal"/>
    <w:link w:val="Heading5Char"/>
    <w:qFormat/>
    <w:rsid w:val="00144643"/>
    <w:pPr>
      <w:spacing w:before="80"/>
      <w:outlineLvl w:val="4"/>
    </w:pPr>
    <w:rPr>
      <w:color w:val="918585"/>
      <w:sz w:val="20"/>
    </w:rPr>
  </w:style>
  <w:style w:type="paragraph" w:styleId="Heading6">
    <w:name w:val="heading 6"/>
    <w:basedOn w:val="HeadingBase"/>
    <w:next w:val="Normal"/>
    <w:link w:val="Heading6Char"/>
    <w:qFormat/>
    <w:rsid w:val="00144643"/>
    <w:pPr>
      <w:spacing w:before="60"/>
      <w:outlineLvl w:val="5"/>
    </w:pPr>
    <w:rPr>
      <w:color w:val="918585"/>
      <w:sz w:val="20"/>
    </w:rPr>
  </w:style>
  <w:style w:type="paragraph" w:styleId="Heading7">
    <w:name w:val="heading 7"/>
    <w:basedOn w:val="Normal"/>
    <w:next w:val="Normal"/>
    <w:link w:val="Heading7Char"/>
    <w:qFormat/>
    <w:rsid w:val="00144643"/>
    <w:pPr>
      <w:ind w:left="720"/>
      <w:outlineLvl w:val="6"/>
    </w:pPr>
    <w:rPr>
      <w:i/>
    </w:rPr>
  </w:style>
  <w:style w:type="paragraph" w:styleId="Heading8">
    <w:name w:val="heading 8"/>
    <w:basedOn w:val="Normal"/>
    <w:next w:val="Normal"/>
    <w:link w:val="Heading8Char"/>
    <w:qFormat/>
    <w:rsid w:val="00144643"/>
    <w:pPr>
      <w:ind w:left="720"/>
      <w:outlineLvl w:val="7"/>
    </w:pPr>
    <w:rPr>
      <w:i/>
    </w:rPr>
  </w:style>
  <w:style w:type="paragraph" w:styleId="Heading9">
    <w:name w:val="heading 9"/>
    <w:basedOn w:val="Normal"/>
    <w:next w:val="Normal"/>
    <w:link w:val="Heading9Char"/>
    <w:qFormat/>
    <w:rsid w:val="00144643"/>
    <w:pPr>
      <w:ind w:left="720"/>
      <w:outlineLvl w:val="8"/>
    </w:pPr>
    <w:rPr>
      <w:i/>
    </w:rPr>
  </w:style>
  <w:style w:type="character" w:default="1" w:styleId="DefaultParagraphFont">
    <w:name w:val="Default Paragraph Font"/>
    <w:uiPriority w:val="1"/>
    <w:unhideWhenUsed/>
    <w:rsid w:val="00144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643"/>
  </w:style>
  <w:style w:type="character" w:customStyle="1" w:styleId="Heading1Char">
    <w:name w:val="Heading 1 Char"/>
    <w:basedOn w:val="DefaultParagraphFont"/>
    <w:link w:val="Heading1"/>
    <w:rsid w:val="00144643"/>
    <w:rPr>
      <w:rFonts w:ascii="Times New Roman" w:eastAsia="Times New Roman" w:hAnsi="Times New Roman" w:cs="Times New Roman"/>
      <w:b/>
      <w:sz w:val="32"/>
      <w:szCs w:val="20"/>
      <w:lang w:eastAsia="en-US"/>
    </w:rPr>
  </w:style>
  <w:style w:type="paragraph" w:styleId="BodyText">
    <w:name w:val="Body Text"/>
    <w:basedOn w:val="Normal"/>
    <w:link w:val="BodyTextChar"/>
    <w:rsid w:val="00144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643"/>
    <w:rPr>
      <w:rFonts w:ascii="Times New Roman" w:eastAsia="Times New Roman" w:hAnsi="Times New Roman" w:cs="Times New Roman"/>
      <w:sz w:val="24"/>
      <w:lang w:eastAsia="en-US"/>
    </w:rPr>
  </w:style>
  <w:style w:type="paragraph" w:styleId="Footer">
    <w:name w:val="footer"/>
    <w:basedOn w:val="Normal"/>
    <w:link w:val="FooterChar"/>
    <w:rsid w:val="00144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643"/>
    <w:rPr>
      <w:rFonts w:ascii="Times New Roman" w:eastAsia="Times New Roman" w:hAnsi="Times New Roman" w:cs="Times New Roman"/>
      <w:sz w:val="16"/>
      <w:lang w:eastAsia="en-US"/>
    </w:rPr>
  </w:style>
  <w:style w:type="paragraph" w:styleId="ListBullet">
    <w:name w:val="List Bullet"/>
    <w:basedOn w:val="List"/>
    <w:rsid w:val="00144643"/>
    <w:pPr>
      <w:numPr>
        <w:numId w:val="14"/>
      </w:numPr>
      <w:tabs>
        <w:tab w:val="clear" w:pos="340"/>
      </w:tabs>
      <w:spacing w:before="40" w:after="40"/>
    </w:pPr>
  </w:style>
  <w:style w:type="character" w:customStyle="1" w:styleId="SpecialBold">
    <w:name w:val="Special Bold"/>
    <w:basedOn w:val="DefaultParagraphFont"/>
    <w:rsid w:val="00144643"/>
    <w:rPr>
      <w:b/>
      <w:spacing w:val="0"/>
    </w:rPr>
  </w:style>
  <w:style w:type="paragraph" w:styleId="ListBullet2">
    <w:name w:val="List Bullet 2"/>
    <w:basedOn w:val="List2"/>
    <w:rsid w:val="00144643"/>
    <w:pPr>
      <w:numPr>
        <w:numId w:val="15"/>
      </w:numPr>
      <w:tabs>
        <w:tab w:val="clear" w:pos="680"/>
      </w:tabs>
    </w:pPr>
  </w:style>
  <w:style w:type="paragraph" w:customStyle="1" w:styleId="SuperHeading">
    <w:name w:val="SuperHeading"/>
    <w:basedOn w:val="Normal"/>
    <w:rsid w:val="00144643"/>
    <w:pPr>
      <w:spacing w:before="240" w:after="120"/>
      <w:outlineLvl w:val="0"/>
    </w:pPr>
    <w:rPr>
      <w:rFonts w:ascii="Times New Roman" w:hAnsi="Times New Roman"/>
      <w:b/>
      <w:sz w:val="28"/>
    </w:rPr>
  </w:style>
  <w:style w:type="paragraph" w:customStyle="1" w:styleId="AllowPageBreak">
    <w:name w:val="AllowPageBreak"/>
    <w:rsid w:val="001446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4643"/>
    <w:pPr>
      <w:numPr>
        <w:numId w:val="3"/>
      </w:numPr>
      <w:tabs>
        <w:tab w:val="clear" w:pos="1021"/>
      </w:tabs>
      <w:ind w:left="1037" w:hanging="357"/>
    </w:pPr>
  </w:style>
  <w:style w:type="character" w:customStyle="1" w:styleId="Heading2Char">
    <w:name w:val="Heading 2 Char"/>
    <w:basedOn w:val="DefaultParagraphFont"/>
    <w:link w:val="Heading2"/>
    <w:rsid w:val="00144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643"/>
    <w:rPr>
      <w:rFonts w:ascii="Courier New" w:eastAsia="Times New Roman" w:hAnsi="Courier New" w:cs="Times New Roman"/>
      <w:i/>
      <w:szCs w:val="20"/>
      <w:lang w:eastAsia="en-US"/>
    </w:rPr>
  </w:style>
  <w:style w:type="paragraph" w:customStyle="1" w:styleId="HeadingBase">
    <w:name w:val="Heading Base"/>
    <w:rsid w:val="00144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643"/>
    <w:pPr>
      <w:tabs>
        <w:tab w:val="right" w:leader="dot" w:pos="9072"/>
      </w:tabs>
      <w:ind w:left="567"/>
    </w:pPr>
    <w:rPr>
      <w:szCs w:val="22"/>
    </w:rPr>
  </w:style>
  <w:style w:type="paragraph" w:customStyle="1" w:styleId="TOCBase">
    <w:name w:val="TOC Base"/>
    <w:rsid w:val="00144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643"/>
    <w:pPr>
      <w:tabs>
        <w:tab w:val="right" w:leader="dot" w:pos="9072"/>
      </w:tabs>
      <w:spacing w:before="40" w:after="40"/>
      <w:ind w:left="284"/>
    </w:pPr>
    <w:rPr>
      <w:rFonts w:ascii="Times New Roman" w:hAnsi="Times New Roman"/>
    </w:rPr>
  </w:style>
  <w:style w:type="paragraph" w:styleId="TOC1">
    <w:name w:val="toc 1"/>
    <w:basedOn w:val="TOCBase"/>
    <w:next w:val="Normal"/>
    <w:rsid w:val="00144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643"/>
    <w:pPr>
      <w:spacing w:before="5040"/>
      <w:jc w:val="center"/>
    </w:pPr>
    <w:rPr>
      <w:sz w:val="48"/>
      <w:szCs w:val="72"/>
      <w:lang w:val="en-US"/>
    </w:rPr>
  </w:style>
  <w:style w:type="character" w:customStyle="1" w:styleId="TitleChar">
    <w:name w:val="Title Char"/>
    <w:basedOn w:val="DefaultParagraphFont"/>
    <w:link w:val="Title"/>
    <w:rsid w:val="00144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643"/>
    <w:pPr>
      <w:tabs>
        <w:tab w:val="left" w:pos="3600"/>
        <w:tab w:val="left" w:pos="3958"/>
      </w:tabs>
    </w:pPr>
  </w:style>
  <w:style w:type="paragraph" w:styleId="List">
    <w:name w:val="List"/>
    <w:basedOn w:val="BodyText"/>
    <w:next w:val="BodyText"/>
    <w:rsid w:val="00144643"/>
    <w:pPr>
      <w:tabs>
        <w:tab w:val="left" w:pos="340"/>
      </w:tabs>
      <w:spacing w:before="60" w:after="60"/>
      <w:ind w:left="340" w:hanging="340"/>
    </w:pPr>
  </w:style>
  <w:style w:type="paragraph" w:customStyle="1" w:styleId="Note">
    <w:name w:val="Note"/>
    <w:basedOn w:val="BodyText"/>
    <w:rsid w:val="00144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643"/>
    <w:pPr>
      <w:framePr w:wrap="auto" w:hAnchor="text" w:y="6049"/>
    </w:pPr>
    <w:rPr>
      <w:color w:val="000000"/>
      <w:sz w:val="40"/>
    </w:rPr>
  </w:style>
  <w:style w:type="paragraph" w:customStyle="1" w:styleId="TOCTitle">
    <w:name w:val="TOCTitle"/>
    <w:basedOn w:val="Heading1"/>
    <w:rsid w:val="00144643"/>
    <w:pPr>
      <w:spacing w:after="240"/>
      <w:jc w:val="center"/>
      <w:outlineLvl w:val="9"/>
    </w:pPr>
    <w:rPr>
      <w:caps/>
    </w:rPr>
  </w:style>
  <w:style w:type="paragraph" w:customStyle="1" w:styleId="Version">
    <w:name w:val="Version"/>
    <w:rsid w:val="00144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643"/>
    <w:pPr>
      <w:keepNext w:val="0"/>
      <w:tabs>
        <w:tab w:val="right" w:pos="4176"/>
      </w:tabs>
      <w:ind w:left="198" w:hanging="198"/>
    </w:pPr>
    <w:rPr>
      <w:rFonts w:ascii="Garamond" w:hAnsi="Garamond"/>
    </w:rPr>
  </w:style>
  <w:style w:type="paragraph" w:styleId="IndexHeading">
    <w:name w:val="index heading"/>
    <w:basedOn w:val="Normal"/>
    <w:next w:val="Index1"/>
    <w:semiHidden/>
    <w:rsid w:val="00144643"/>
    <w:pPr>
      <w:spacing w:before="120" w:after="120"/>
    </w:pPr>
    <w:rPr>
      <w:rFonts w:ascii="Arial" w:hAnsi="Arial"/>
      <w:b/>
      <w:color w:val="918585"/>
      <w:sz w:val="24"/>
    </w:rPr>
  </w:style>
  <w:style w:type="paragraph" w:styleId="Header">
    <w:name w:val="header"/>
    <w:basedOn w:val="Normal"/>
    <w:link w:val="HeaderChar"/>
    <w:rsid w:val="00144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643"/>
    <w:rPr>
      <w:rFonts w:ascii="Times New Roman" w:eastAsia="Times New Roman" w:hAnsi="Times New Roman" w:cs="Times New Roman"/>
      <w:sz w:val="16"/>
      <w:szCs w:val="20"/>
      <w:lang w:val="en-GB" w:eastAsia="en-US"/>
    </w:rPr>
  </w:style>
  <w:style w:type="paragraph" w:customStyle="1" w:styleId="Chapter">
    <w:name w:val="Chapter"/>
    <w:basedOn w:val="Normal"/>
    <w:rsid w:val="00144643"/>
    <w:pPr>
      <w:spacing w:before="240"/>
    </w:pPr>
    <w:rPr>
      <w:rFonts w:ascii="Times New Roman" w:hAnsi="Times New Roman"/>
      <w:smallCaps/>
      <w:spacing w:val="80"/>
      <w:sz w:val="28"/>
    </w:rPr>
  </w:style>
  <w:style w:type="paragraph" w:customStyle="1" w:styleId="InChapter">
    <w:name w:val="InChapter"/>
    <w:basedOn w:val="Heading3"/>
    <w:rsid w:val="00144643"/>
    <w:pPr>
      <w:spacing w:after="240"/>
      <w:outlineLvl w:val="9"/>
    </w:pPr>
    <w:rPr>
      <w:noProof/>
    </w:rPr>
  </w:style>
  <w:style w:type="paragraph" w:styleId="Index2">
    <w:name w:val="index 2"/>
    <w:basedOn w:val="Normal"/>
    <w:next w:val="Normal"/>
    <w:semiHidden/>
    <w:rsid w:val="00144643"/>
    <w:pPr>
      <w:tabs>
        <w:tab w:val="right" w:pos="4176"/>
      </w:tabs>
      <w:ind w:left="568" w:hanging="284"/>
    </w:pPr>
    <w:rPr>
      <w:rFonts w:ascii="Garamond" w:hAnsi="Garamond"/>
    </w:rPr>
  </w:style>
  <w:style w:type="paragraph" w:customStyle="1" w:styleId="Byline">
    <w:name w:val="Byline"/>
    <w:rsid w:val="00144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643"/>
    <w:pPr>
      <w:tabs>
        <w:tab w:val="clear" w:pos="3600"/>
        <w:tab w:val="clear" w:pos="3958"/>
      </w:tabs>
      <w:jc w:val="right"/>
    </w:pPr>
  </w:style>
  <w:style w:type="character" w:styleId="Emphasis">
    <w:name w:val="Emphasis"/>
    <w:basedOn w:val="DefaultParagraphFont"/>
    <w:qFormat/>
    <w:rsid w:val="00144643"/>
    <w:rPr>
      <w:i/>
    </w:rPr>
  </w:style>
  <w:style w:type="paragraph" w:styleId="Caption">
    <w:name w:val="caption"/>
    <w:basedOn w:val="BodyText"/>
    <w:next w:val="Normal"/>
    <w:qFormat/>
    <w:rsid w:val="00144643"/>
    <w:pPr>
      <w:framePr w:w="2268" w:hSpace="181" w:vSpace="181" w:wrap="around" w:vAnchor="text" w:hAnchor="page" w:x="1135" w:y="285" w:anchorLock="1"/>
    </w:pPr>
    <w:rPr>
      <w:i/>
    </w:rPr>
  </w:style>
  <w:style w:type="paragraph" w:customStyle="1" w:styleId="MiniTOCTitle">
    <w:name w:val="MiniTOCTitle"/>
    <w:basedOn w:val="Heading4"/>
    <w:rsid w:val="00144643"/>
    <w:pPr>
      <w:spacing w:before="240"/>
      <w:outlineLvl w:val="9"/>
    </w:pPr>
    <w:rPr>
      <w:noProof/>
      <w:sz w:val="24"/>
    </w:rPr>
  </w:style>
  <w:style w:type="paragraph" w:customStyle="1" w:styleId="MiniTOCItem">
    <w:name w:val="MiniTOCItem"/>
    <w:basedOn w:val="ListBullet"/>
    <w:rsid w:val="00144643"/>
    <w:pPr>
      <w:numPr>
        <w:numId w:val="0"/>
      </w:numPr>
      <w:tabs>
        <w:tab w:val="right" w:leader="dot" w:pos="6521"/>
      </w:tabs>
      <w:spacing w:before="0" w:after="0"/>
    </w:pPr>
  </w:style>
  <w:style w:type="paragraph" w:customStyle="1" w:styleId="TOFTitle">
    <w:name w:val="TOFTitle"/>
    <w:basedOn w:val="TOCTitle"/>
    <w:rsid w:val="00144643"/>
  </w:style>
  <w:style w:type="paragraph" w:styleId="TableofFigures">
    <w:name w:val="table of figures"/>
    <w:basedOn w:val="Normal"/>
    <w:next w:val="Normal"/>
    <w:semiHidden/>
    <w:rsid w:val="00144643"/>
    <w:pPr>
      <w:tabs>
        <w:tab w:val="right" w:leader="dot" w:pos="9072"/>
      </w:tabs>
      <w:ind w:left="970" w:hanging="403"/>
    </w:pPr>
    <w:rPr>
      <w:rFonts w:ascii="Times New Roman" w:hAnsi="Times New Roman"/>
      <w:b/>
    </w:rPr>
  </w:style>
  <w:style w:type="paragraph" w:styleId="ListNumber">
    <w:name w:val="List Number"/>
    <w:basedOn w:val="List"/>
    <w:rsid w:val="00144643"/>
    <w:pPr>
      <w:numPr>
        <w:numId w:val="12"/>
      </w:numPr>
    </w:pPr>
  </w:style>
  <w:style w:type="character" w:customStyle="1" w:styleId="WingdingSymbols">
    <w:name w:val="Wingding Symbols"/>
    <w:rsid w:val="00144643"/>
    <w:rPr>
      <w:rFonts w:ascii="Wingdings" w:hAnsi="Wingdings"/>
    </w:rPr>
  </w:style>
  <w:style w:type="paragraph" w:customStyle="1" w:styleId="TableHeading">
    <w:name w:val="Table Heading"/>
    <w:basedOn w:val="HeadingBase"/>
    <w:rsid w:val="00144643"/>
    <w:pPr>
      <w:keepLines/>
      <w:pBdr>
        <w:bottom w:val="single" w:sz="6" w:space="1" w:color="918585"/>
      </w:pBdr>
      <w:spacing w:before="240"/>
    </w:pPr>
  </w:style>
  <w:style w:type="character" w:customStyle="1" w:styleId="HotSpot">
    <w:name w:val="HotSpot"/>
    <w:rsid w:val="00144643"/>
    <w:rPr>
      <w:color w:val="0033CC"/>
      <w:u w:val="none"/>
    </w:rPr>
  </w:style>
  <w:style w:type="paragraph" w:customStyle="1" w:styleId="BodyTextRight">
    <w:name w:val="Body Text Right"/>
    <w:basedOn w:val="BodyText"/>
    <w:rsid w:val="00144643"/>
    <w:pPr>
      <w:spacing w:before="0" w:after="0"/>
      <w:jc w:val="right"/>
    </w:pPr>
  </w:style>
  <w:style w:type="paragraph" w:styleId="Index3">
    <w:name w:val="index 3"/>
    <w:basedOn w:val="ListNumber2"/>
    <w:next w:val="Normal"/>
    <w:semiHidden/>
    <w:rsid w:val="00144643"/>
    <w:pPr>
      <w:numPr>
        <w:numId w:val="0"/>
      </w:numPr>
      <w:tabs>
        <w:tab w:val="right" w:leader="dot" w:pos="4176"/>
      </w:tabs>
    </w:pPr>
  </w:style>
  <w:style w:type="paragraph" w:styleId="ListNumber2">
    <w:name w:val="List Number 2"/>
    <w:basedOn w:val="List2"/>
    <w:rsid w:val="00144643"/>
    <w:pPr>
      <w:numPr>
        <w:numId w:val="11"/>
      </w:numPr>
      <w:tabs>
        <w:tab w:val="clear" w:pos="1060"/>
      </w:tabs>
    </w:pPr>
  </w:style>
  <w:style w:type="paragraph" w:customStyle="1" w:styleId="MarginNote">
    <w:name w:val="Margin Note"/>
    <w:basedOn w:val="BodyText"/>
    <w:rsid w:val="00144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643"/>
    <w:rPr>
      <w:sz w:val="32"/>
    </w:rPr>
  </w:style>
  <w:style w:type="paragraph" w:customStyle="1" w:styleId="HeadingProcedure">
    <w:name w:val="Heading Procedure"/>
    <w:basedOn w:val="HeadingBase"/>
    <w:next w:val="Normal"/>
    <w:rsid w:val="00144643"/>
    <w:pPr>
      <w:tabs>
        <w:tab w:val="left" w:pos="0"/>
      </w:tabs>
      <w:spacing w:before="120" w:after="60"/>
    </w:pPr>
    <w:rPr>
      <w:i/>
      <w:color w:val="918585"/>
      <w:sz w:val="22"/>
    </w:rPr>
  </w:style>
  <w:style w:type="paragraph" w:customStyle="1" w:styleId="TableBodyText">
    <w:name w:val="Table Body Text"/>
    <w:basedOn w:val="BodyText"/>
    <w:rsid w:val="00144643"/>
    <w:pPr>
      <w:spacing w:before="60" w:after="60"/>
    </w:pPr>
  </w:style>
  <w:style w:type="paragraph" w:styleId="ListContinue">
    <w:name w:val="List Continue"/>
    <w:basedOn w:val="List"/>
    <w:rsid w:val="00144643"/>
    <w:pPr>
      <w:ind w:firstLine="0"/>
    </w:pPr>
  </w:style>
  <w:style w:type="paragraph" w:customStyle="1" w:styleId="ListNote">
    <w:name w:val="List Note"/>
    <w:basedOn w:val="List"/>
    <w:rsid w:val="00144643"/>
    <w:pPr>
      <w:pBdr>
        <w:top w:val="single" w:sz="6" w:space="2" w:color="918585"/>
        <w:bottom w:val="single" w:sz="6" w:space="2" w:color="918585"/>
      </w:pBdr>
      <w:tabs>
        <w:tab w:val="left" w:pos="1021"/>
      </w:tabs>
      <w:ind w:firstLine="0"/>
    </w:pPr>
  </w:style>
  <w:style w:type="paragraph" w:customStyle="1" w:styleId="Warning">
    <w:name w:val="Warning"/>
    <w:basedOn w:val="BodyText"/>
    <w:rsid w:val="00144643"/>
    <w:pPr>
      <w:shd w:val="clear" w:color="auto" w:fill="D9D9D9"/>
      <w:tabs>
        <w:tab w:val="left" w:pos="992"/>
      </w:tabs>
      <w:ind w:left="119" w:right="119"/>
    </w:pPr>
    <w:rPr>
      <w:sz w:val="20"/>
    </w:rPr>
  </w:style>
  <w:style w:type="paragraph" w:customStyle="1" w:styleId="MarginIcons">
    <w:name w:val="Margin Icons"/>
    <w:basedOn w:val="BodyText"/>
    <w:rsid w:val="00144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643"/>
    <w:rPr>
      <w:rFonts w:ascii="Courier New" w:hAnsi="Courier New"/>
    </w:rPr>
  </w:style>
  <w:style w:type="paragraph" w:customStyle="1" w:styleId="NoteBullet">
    <w:name w:val="Note Bullet"/>
    <w:basedOn w:val="Note"/>
    <w:rsid w:val="00144643"/>
    <w:pPr>
      <w:tabs>
        <w:tab w:val="clear" w:pos="680"/>
      </w:tabs>
      <w:spacing w:before="60" w:after="60"/>
    </w:pPr>
  </w:style>
  <w:style w:type="paragraph" w:customStyle="1" w:styleId="SubHeading2">
    <w:name w:val="SubHeading2"/>
    <w:basedOn w:val="HeadingBase"/>
    <w:rsid w:val="00144643"/>
    <w:pPr>
      <w:spacing w:before="240" w:after="60"/>
    </w:pPr>
    <w:rPr>
      <w:sz w:val="20"/>
    </w:rPr>
  </w:style>
  <w:style w:type="paragraph" w:customStyle="1" w:styleId="SubHeading1">
    <w:name w:val="SubHeading1"/>
    <w:basedOn w:val="HeadingBase"/>
    <w:rsid w:val="00144643"/>
    <w:pPr>
      <w:spacing w:before="240" w:after="60"/>
    </w:pPr>
    <w:rPr>
      <w:color w:val="918585"/>
      <w:sz w:val="22"/>
    </w:rPr>
  </w:style>
  <w:style w:type="paragraph" w:customStyle="1" w:styleId="SideHeading">
    <w:name w:val="Side Heading"/>
    <w:basedOn w:val="HeadingBase"/>
    <w:rsid w:val="00144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643"/>
    <w:pPr>
      <w:numPr>
        <w:numId w:val="13"/>
      </w:numPr>
    </w:pPr>
  </w:style>
  <w:style w:type="paragraph" w:styleId="PlainText">
    <w:name w:val="Plain Text"/>
    <w:basedOn w:val="Normal"/>
    <w:link w:val="PlainTextChar"/>
    <w:rsid w:val="00144643"/>
    <w:rPr>
      <w:sz w:val="20"/>
    </w:rPr>
  </w:style>
  <w:style w:type="character" w:customStyle="1" w:styleId="PlainTextChar">
    <w:name w:val="Plain Text Char"/>
    <w:basedOn w:val="DefaultParagraphFont"/>
    <w:link w:val="PlainText"/>
    <w:rsid w:val="00144643"/>
    <w:rPr>
      <w:rFonts w:ascii="Courier New" w:eastAsia="Times New Roman" w:hAnsi="Courier New" w:cs="Times New Roman"/>
      <w:sz w:val="20"/>
      <w:szCs w:val="20"/>
      <w:lang w:eastAsia="en-US"/>
    </w:rPr>
  </w:style>
  <w:style w:type="character" w:customStyle="1" w:styleId="MenuOption">
    <w:name w:val="Menu Option"/>
    <w:basedOn w:val="DefaultParagraphFont"/>
    <w:rsid w:val="00144643"/>
    <w:rPr>
      <w:b/>
      <w:smallCaps/>
    </w:rPr>
  </w:style>
  <w:style w:type="paragraph" w:customStyle="1" w:styleId="TableListNumber">
    <w:name w:val="Table List Number"/>
    <w:basedOn w:val="ListNumber"/>
    <w:rsid w:val="00144643"/>
    <w:pPr>
      <w:numPr>
        <w:numId w:val="0"/>
      </w:numPr>
    </w:pPr>
  </w:style>
  <w:style w:type="paragraph" w:styleId="TOC4">
    <w:name w:val="toc 4"/>
    <w:basedOn w:val="TOCBase"/>
    <w:next w:val="Normal"/>
    <w:semiHidden/>
    <w:rsid w:val="00144643"/>
    <w:pPr>
      <w:tabs>
        <w:tab w:val="right" w:leader="dot" w:pos="9071"/>
      </w:tabs>
      <w:ind w:left="1701"/>
    </w:pPr>
  </w:style>
  <w:style w:type="paragraph" w:customStyle="1" w:styleId="ListAlpha">
    <w:name w:val="List Alpha"/>
    <w:basedOn w:val="List"/>
    <w:rsid w:val="00144643"/>
    <w:pPr>
      <w:numPr>
        <w:numId w:val="10"/>
      </w:numPr>
    </w:pPr>
  </w:style>
  <w:style w:type="paragraph" w:customStyle="1" w:styleId="ListAlpha2">
    <w:name w:val="List Alpha 2"/>
    <w:basedOn w:val="List2"/>
    <w:rsid w:val="00144643"/>
    <w:pPr>
      <w:numPr>
        <w:numId w:val="9"/>
      </w:numPr>
    </w:pPr>
  </w:style>
  <w:style w:type="paragraph" w:styleId="List2">
    <w:name w:val="List 2"/>
    <w:basedOn w:val="BodyText"/>
    <w:rsid w:val="00144643"/>
    <w:pPr>
      <w:tabs>
        <w:tab w:val="left" w:pos="680"/>
      </w:tabs>
      <w:spacing w:before="60" w:after="60"/>
      <w:ind w:left="680" w:hanging="340"/>
    </w:pPr>
  </w:style>
  <w:style w:type="paragraph" w:styleId="List3">
    <w:name w:val="List 3"/>
    <w:basedOn w:val="BodyText"/>
    <w:rsid w:val="00144643"/>
    <w:pPr>
      <w:tabs>
        <w:tab w:val="left" w:pos="1021"/>
      </w:tabs>
      <w:spacing w:before="60" w:after="60"/>
      <w:ind w:left="1020" w:hanging="340"/>
    </w:pPr>
  </w:style>
  <w:style w:type="paragraph" w:styleId="List4">
    <w:name w:val="List 4"/>
    <w:basedOn w:val="BodyText"/>
    <w:rsid w:val="00144643"/>
    <w:pPr>
      <w:tabs>
        <w:tab w:val="left" w:pos="1361"/>
      </w:tabs>
      <w:spacing w:before="60" w:after="60"/>
      <w:ind w:left="1361" w:hanging="340"/>
    </w:pPr>
  </w:style>
  <w:style w:type="paragraph" w:styleId="List5">
    <w:name w:val="List 5"/>
    <w:basedOn w:val="BodyText"/>
    <w:rsid w:val="00144643"/>
    <w:pPr>
      <w:tabs>
        <w:tab w:val="left" w:pos="1701"/>
      </w:tabs>
      <w:spacing w:before="60" w:after="60"/>
      <w:ind w:left="1701" w:hanging="340"/>
    </w:pPr>
  </w:style>
  <w:style w:type="paragraph" w:styleId="ListBullet4">
    <w:name w:val="List Bullet 4"/>
    <w:basedOn w:val="List4"/>
    <w:rsid w:val="00144643"/>
    <w:pPr>
      <w:numPr>
        <w:numId w:val="4"/>
      </w:numPr>
    </w:pPr>
  </w:style>
  <w:style w:type="paragraph" w:styleId="ListBullet5">
    <w:name w:val="List Bullet 5"/>
    <w:basedOn w:val="List5"/>
    <w:rsid w:val="00144643"/>
    <w:pPr>
      <w:numPr>
        <w:numId w:val="5"/>
      </w:numPr>
    </w:pPr>
  </w:style>
  <w:style w:type="paragraph" w:styleId="ListContinue2">
    <w:name w:val="List Continue 2"/>
    <w:basedOn w:val="List2"/>
    <w:rsid w:val="00144643"/>
    <w:pPr>
      <w:ind w:firstLine="0"/>
    </w:pPr>
  </w:style>
  <w:style w:type="paragraph" w:styleId="ListContinue3">
    <w:name w:val="List Continue 3"/>
    <w:basedOn w:val="List3"/>
    <w:rsid w:val="00144643"/>
    <w:pPr>
      <w:ind w:left="1021" w:firstLine="0"/>
    </w:pPr>
  </w:style>
  <w:style w:type="paragraph" w:styleId="ListContinue4">
    <w:name w:val="List Continue 4"/>
    <w:basedOn w:val="List4"/>
    <w:rsid w:val="00144643"/>
    <w:pPr>
      <w:ind w:firstLine="0"/>
    </w:pPr>
  </w:style>
  <w:style w:type="paragraph" w:styleId="ListContinue5">
    <w:name w:val="List Continue 5"/>
    <w:basedOn w:val="List5"/>
    <w:rsid w:val="00144643"/>
    <w:pPr>
      <w:ind w:firstLine="0"/>
    </w:pPr>
  </w:style>
  <w:style w:type="paragraph" w:styleId="ListNumber3">
    <w:name w:val="List Number 3"/>
    <w:basedOn w:val="List3"/>
    <w:rsid w:val="00144643"/>
    <w:pPr>
      <w:numPr>
        <w:numId w:val="6"/>
      </w:numPr>
    </w:pPr>
  </w:style>
  <w:style w:type="paragraph" w:styleId="ListNumber4">
    <w:name w:val="List Number 4"/>
    <w:basedOn w:val="List4"/>
    <w:rsid w:val="00144643"/>
    <w:pPr>
      <w:numPr>
        <w:numId w:val="7"/>
      </w:numPr>
    </w:pPr>
  </w:style>
  <w:style w:type="paragraph" w:styleId="ListNumber5">
    <w:name w:val="List Number 5"/>
    <w:basedOn w:val="List5"/>
    <w:rsid w:val="00144643"/>
    <w:pPr>
      <w:numPr>
        <w:numId w:val="8"/>
      </w:numPr>
    </w:pPr>
  </w:style>
  <w:style w:type="paragraph" w:styleId="BlockText">
    <w:name w:val="Block Text"/>
    <w:basedOn w:val="Normal"/>
    <w:rsid w:val="00144643"/>
    <w:pPr>
      <w:spacing w:after="120"/>
      <w:ind w:left="1440" w:right="1440"/>
    </w:pPr>
  </w:style>
  <w:style w:type="character" w:customStyle="1" w:styleId="Subscript">
    <w:name w:val="Subscript"/>
    <w:basedOn w:val="DefaultParagraphFont"/>
    <w:rsid w:val="00144643"/>
    <w:rPr>
      <w:sz w:val="16"/>
      <w:vertAlign w:val="subscript"/>
    </w:rPr>
  </w:style>
  <w:style w:type="character" w:customStyle="1" w:styleId="Superscript">
    <w:name w:val="Superscript"/>
    <w:basedOn w:val="DefaultParagraphFont"/>
    <w:rsid w:val="00144643"/>
    <w:rPr>
      <w:sz w:val="16"/>
      <w:vertAlign w:val="superscript"/>
    </w:rPr>
  </w:style>
  <w:style w:type="character" w:customStyle="1" w:styleId="Symbols">
    <w:name w:val="Symbols"/>
    <w:basedOn w:val="DefaultParagraphFont"/>
    <w:rsid w:val="00144643"/>
    <w:rPr>
      <w:rFonts w:ascii="Symbol" w:hAnsi="Symbol"/>
    </w:rPr>
  </w:style>
  <w:style w:type="character" w:customStyle="1" w:styleId="MenuOptions">
    <w:name w:val="Menu Options"/>
    <w:basedOn w:val="DefaultParagraphFont"/>
    <w:rsid w:val="00144643"/>
    <w:rPr>
      <w:rFonts w:ascii="Arial Narrow" w:hAnsi="Arial Narrow"/>
      <w:smallCaps/>
    </w:rPr>
  </w:style>
  <w:style w:type="character" w:customStyle="1" w:styleId="Buttons">
    <w:name w:val="Buttons"/>
    <w:basedOn w:val="DefaultParagraphFont"/>
    <w:rsid w:val="00144643"/>
    <w:rPr>
      <w:b/>
    </w:rPr>
  </w:style>
  <w:style w:type="character" w:customStyle="1" w:styleId="Underlined">
    <w:name w:val="Underlined"/>
    <w:basedOn w:val="DefaultParagraphFont"/>
    <w:rsid w:val="00144643"/>
    <w:rPr>
      <w:u w:val="single"/>
    </w:rPr>
  </w:style>
  <w:style w:type="paragraph" w:customStyle="1" w:styleId="TableBodyTextRight">
    <w:name w:val="Table Body Text Right"/>
    <w:basedOn w:val="TableBodyText"/>
    <w:rsid w:val="00144643"/>
    <w:pPr>
      <w:widowControl w:val="0"/>
      <w:autoSpaceDE w:val="0"/>
      <w:autoSpaceDN w:val="0"/>
      <w:adjustRightInd w:val="0"/>
      <w:jc w:val="right"/>
    </w:pPr>
    <w:rPr>
      <w:rFonts w:cs="Arial"/>
      <w:szCs w:val="18"/>
    </w:rPr>
  </w:style>
  <w:style w:type="paragraph" w:customStyle="1" w:styleId="CopyrightText">
    <w:name w:val="Copyright Text"/>
    <w:basedOn w:val="BodyText"/>
    <w:rsid w:val="00144643"/>
    <w:rPr>
      <w:sz w:val="18"/>
    </w:rPr>
  </w:style>
  <w:style w:type="paragraph" w:customStyle="1" w:styleId="BodySmallRight">
    <w:name w:val="Body Small Right"/>
    <w:basedOn w:val="BodyTextRight"/>
    <w:rsid w:val="00144643"/>
    <w:rPr>
      <w:sz w:val="18"/>
      <w:szCs w:val="18"/>
    </w:rPr>
  </w:style>
  <w:style w:type="paragraph" w:customStyle="1" w:styleId="MarginEdition">
    <w:name w:val="Margin Edition"/>
    <w:basedOn w:val="MarginNote"/>
    <w:rsid w:val="00144643"/>
    <w:pPr>
      <w:spacing w:before="0" w:after="0"/>
    </w:pPr>
    <w:rPr>
      <w:rFonts w:ascii="Times New Roman" w:hAnsi="Times New Roman"/>
      <w:color w:val="999999"/>
    </w:rPr>
  </w:style>
  <w:style w:type="paragraph" w:customStyle="1" w:styleId="Spacer">
    <w:name w:val="Spacer"/>
    <w:basedOn w:val="Normal"/>
    <w:rsid w:val="00144643"/>
    <w:rPr>
      <w:sz w:val="2"/>
      <w:szCs w:val="2"/>
    </w:rPr>
  </w:style>
  <w:style w:type="character" w:customStyle="1" w:styleId="Small">
    <w:name w:val="Small"/>
    <w:basedOn w:val="DefaultParagraphFont"/>
    <w:rsid w:val="00144643"/>
    <w:rPr>
      <w:sz w:val="16"/>
    </w:rPr>
  </w:style>
  <w:style w:type="paragraph" w:customStyle="1" w:styleId="WideTable">
    <w:name w:val="Wide Table"/>
    <w:basedOn w:val="Normal"/>
    <w:rsid w:val="00144643"/>
    <w:pPr>
      <w:ind w:left="-1418"/>
    </w:pPr>
    <w:rPr>
      <w:sz w:val="2"/>
      <w:szCs w:val="2"/>
    </w:rPr>
  </w:style>
  <w:style w:type="character" w:styleId="PageNumber">
    <w:name w:val="page number"/>
    <w:basedOn w:val="DefaultParagraphFont"/>
    <w:rsid w:val="00144643"/>
  </w:style>
  <w:style w:type="paragraph" w:styleId="Quote">
    <w:name w:val="Quote"/>
    <w:basedOn w:val="Heading1"/>
    <w:link w:val="QuoteChar"/>
    <w:qFormat/>
    <w:rsid w:val="00144643"/>
    <w:rPr>
      <w:b w:val="0"/>
      <w:sz w:val="72"/>
      <w:szCs w:val="72"/>
      <w:lang w:val="en-NZ"/>
    </w:rPr>
  </w:style>
  <w:style w:type="character" w:customStyle="1" w:styleId="QuoteChar">
    <w:name w:val="Quote Char"/>
    <w:basedOn w:val="DefaultParagraphFont"/>
    <w:link w:val="Quote"/>
    <w:rsid w:val="00144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643"/>
    <w:pPr>
      <w:pageBreakBefore/>
    </w:pPr>
  </w:style>
  <w:style w:type="paragraph" w:customStyle="1" w:styleId="Border">
    <w:name w:val="Border"/>
    <w:basedOn w:val="Normal"/>
    <w:qFormat/>
    <w:rsid w:val="00144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643"/>
    <w:rPr>
      <w:b/>
      <w:bCs/>
      <w:i/>
      <w:iCs/>
      <w:color w:val="auto"/>
    </w:rPr>
  </w:style>
  <w:style w:type="paragraph" w:styleId="IntenseQuote">
    <w:name w:val="Intense Quote"/>
    <w:basedOn w:val="Normal"/>
    <w:next w:val="Normal"/>
    <w:link w:val="IntenseQuoteChar"/>
    <w:uiPriority w:val="30"/>
    <w:qFormat/>
    <w:rsid w:val="00144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643"/>
    <w:rPr>
      <w:smallCaps/>
      <w:color w:val="auto"/>
      <w:u w:val="single"/>
    </w:rPr>
  </w:style>
  <w:style w:type="character" w:styleId="IntenseReference">
    <w:name w:val="Intense Reference"/>
    <w:basedOn w:val="DefaultParagraphFont"/>
    <w:uiPriority w:val="32"/>
    <w:qFormat/>
    <w:rsid w:val="00144643"/>
    <w:rPr>
      <w:b/>
      <w:bCs/>
      <w:smallCaps/>
      <w:color w:val="auto"/>
      <w:spacing w:val="5"/>
      <w:u w:val="single"/>
    </w:rPr>
  </w:style>
  <w:style w:type="paragraph" w:customStyle="1" w:styleId="2ColumnHeading">
    <w:name w:val="2Column Heading"/>
    <w:basedOn w:val="BodyText"/>
    <w:qFormat/>
    <w:rsid w:val="00144643"/>
    <w:pPr>
      <w:spacing w:after="60"/>
      <w:ind w:left="-2268"/>
    </w:pPr>
    <w:rPr>
      <w:b/>
    </w:rPr>
  </w:style>
  <w:style w:type="paragraph" w:customStyle="1" w:styleId="Heading1TOC">
    <w:name w:val="Heading1 TOC"/>
    <w:basedOn w:val="Normal"/>
    <w:qFormat/>
    <w:rsid w:val="00144643"/>
    <w:pPr>
      <w:spacing w:before="240" w:after="120"/>
    </w:pPr>
    <w:rPr>
      <w:rFonts w:ascii="Times New Roman" w:hAnsi="Times New Roman"/>
      <w:b/>
      <w:sz w:val="32"/>
    </w:rPr>
  </w:style>
  <w:style w:type="paragraph" w:customStyle="1" w:styleId="Heading2TOC">
    <w:name w:val="Heading2 TOC"/>
    <w:basedOn w:val="Normal"/>
    <w:qFormat/>
    <w:rsid w:val="00144643"/>
    <w:pPr>
      <w:spacing w:before="240" w:after="60"/>
    </w:pPr>
    <w:rPr>
      <w:rFonts w:ascii="Times New Roman" w:hAnsi="Times New Roman"/>
      <w:b/>
      <w:sz w:val="28"/>
    </w:rPr>
  </w:style>
  <w:style w:type="character" w:customStyle="1" w:styleId="Underline">
    <w:name w:val="Underline"/>
    <w:basedOn w:val="DefaultParagraphFont"/>
    <w:qFormat/>
    <w:rsid w:val="00144643"/>
    <w:rPr>
      <w:u w:val="single"/>
    </w:rPr>
  </w:style>
  <w:style w:type="character" w:customStyle="1" w:styleId="BoldandItalics">
    <w:name w:val="Bold and Italics"/>
    <w:qFormat/>
    <w:rsid w:val="00144643"/>
    <w:rPr>
      <w:b/>
      <w:i/>
      <w:u w:val="none"/>
    </w:rPr>
  </w:style>
  <w:style w:type="paragraph" w:styleId="BalloonText">
    <w:name w:val="Balloon Text"/>
    <w:basedOn w:val="Normal"/>
    <w:link w:val="BalloonTextChar"/>
    <w:rsid w:val="00144643"/>
    <w:rPr>
      <w:rFonts w:ascii="Tahoma" w:hAnsi="Tahoma" w:cs="Tahoma"/>
      <w:sz w:val="16"/>
      <w:szCs w:val="16"/>
    </w:rPr>
  </w:style>
  <w:style w:type="character" w:customStyle="1" w:styleId="BalloonTextChar">
    <w:name w:val="Balloon Text Char"/>
    <w:basedOn w:val="DefaultParagraphFont"/>
    <w:link w:val="BalloonText"/>
    <w:rsid w:val="00144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643"/>
    <w:rPr>
      <w:b/>
      <w:color w:val="660033"/>
      <w:spacing w:val="0"/>
    </w:rPr>
  </w:style>
  <w:style w:type="paragraph" w:customStyle="1" w:styleId="Nameditemlist">
    <w:name w:val="Named item list"/>
    <w:basedOn w:val="BodyText"/>
    <w:qFormat/>
    <w:rsid w:val="001446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2112</Words>
  <Characters>12462</Characters>
  <Application>Microsoft Office Word</Application>
  <DocSecurity>0</DocSecurity>
  <Lines>464</Lines>
  <Paragraphs>208</Paragraphs>
  <ScaleCrop>false</ScaleCrop>
  <Company>Author-it Software Corporation Ltd.</Company>
  <LinksUpToDate>false</LinksUpToDate>
  <CharactersWithSpaces>14449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UEENEEE142A Produce products for carrying out energy sector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2012-10-11T18:48:00Z</dcterms:created>
  <dcterms:modified xsi:type="dcterms:W3CDTF">2012-10-11T18:48:00Z</dcterms:modified>
</cp:coreProperties>
</file>