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E1F" w:rsidP="00CC6E1F">
      <w:pPr>
        <w:pStyle w:val="Title"/>
      </w:pPr>
      <w:r>
        <w:fldChar w:fldCharType="begin"/>
      </w:r>
      <w:r>
        <w:instrText xml:space="preserve"> TITLE   \* MERGEFORMAT </w:instrText>
      </w:r>
      <w:r>
        <w:fldChar w:fldCharType="separate"/>
      </w:r>
      <w:r>
        <w:t>UEENEEE128A Develop engineering solutions to photonic system problems</w:t>
      </w:r>
      <w:r>
        <w:fldChar w:fldCharType="end"/>
      </w:r>
    </w:p>
    <w:p w:rsidR="00CC6E1F" w:rsidP="00CC6E1F">
      <w:pPr>
        <w:pStyle w:val="Version"/>
        <w:sectPr w:rsidSect="00DC47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47FE" w:rsidP="00DC47FE">
      <w:pPr>
        <w:pStyle w:val="SuperHeading"/>
      </w:pPr>
      <w:r w:rsidRPr="00DC47FE">
        <w:t>UEENEEE128A Develop engineering solutions to photonic system problems</w:t>
      </w:r>
    </w:p>
    <w:p w:rsidR="00000000" w:rsidRPr="00DC47FE" w:rsidP="00DC47FE">
      <w:pPr>
        <w:pStyle w:val="Heading1"/>
      </w:pPr>
      <w:bookmarkStart w:id="1" w:name="O_584461"/>
      <w:bookmarkEnd w:id="1"/>
      <w:r w:rsidRPr="00DC47FE">
        <w:t>Modification History</w:t>
      </w:r>
    </w:p>
    <w:p w:rsidR="00000000" w:rsidRPr="00DC47FE" w:rsidP="00DC47FE">
      <w:pPr>
        <w:pStyle w:val="BodyText"/>
      </w:pPr>
      <w:r w:rsidRPr="00DC47FE">
        <w:t>Not applicable.</w:t>
      </w:r>
    </w:p>
    <w:p w:rsidR="00000000" w:rsidRPr="00DC47FE" w:rsidP="00DC47FE">
      <w:pPr>
        <w:pStyle w:val="AllowPageBreak"/>
      </w:pPr>
    </w:p>
    <w:p w:rsidR="00000000" w:rsidRPr="00DC47FE" w:rsidP="00DC47FE">
      <w:pPr>
        <w:pStyle w:val="Heading1"/>
      </w:pPr>
      <w:bookmarkStart w:id="2" w:name="O_584460"/>
      <w:bookmarkEnd w:id="2"/>
      <w:r w:rsidRPr="00DC47FE">
        <w:t>Unit Descriptor</w:t>
      </w:r>
    </w:p>
    <w:tbl>
      <w:tblPr>
        <w:tblW w:w="0" w:type="auto"/>
        <w:tblLayout w:type="fixed"/>
        <w:tblCellMar>
          <w:left w:w="62" w:type="dxa"/>
          <w:right w:w="62" w:type="dxa"/>
        </w:tblCellMar>
        <w:tblLook w:val="0000"/>
      </w:tblPr>
      <w:tblGrid>
        <w:gridCol w:w="2700"/>
        <w:gridCol w:w="5760"/>
      </w:tblGrid>
      <w:tr w:rsidTr="00CC6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1)</w:t>
            </w:r>
            <w:r w:rsidRPr="00DC47FE">
              <w:t xml:space="preserve"> </w:t>
            </w:r>
            <w:r w:rsidRPr="00DC47FE">
              <w:rPr>
                <w:rStyle w:val="SpecialBold"/>
              </w:rPr>
              <w:t>Scope:</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47F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1.1) Descriptor</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This unit covers developing engineering solutions to resolve problems with photonic systems. It encompasses working safely; apply extensive knowledge of photonic technologies and their application, gathering and analysing data, and applying problem solving</w:t>
            </w:r>
            <w:r w:rsidRPr="00DC47FE">
              <w:t xml:space="preserve"> techniques, developing and documenting solutions and alternatives.</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3" w:name="O_584459"/>
      <w:bookmarkEnd w:id="3"/>
      <w:r w:rsidRPr="00DC47FE">
        <w:t>Application of the Unit</w:t>
      </w:r>
    </w:p>
    <w:tbl>
      <w:tblPr>
        <w:tblW w:w="0" w:type="auto"/>
        <w:tblLayout w:type="fixed"/>
        <w:tblCellMar>
          <w:left w:w="62" w:type="dxa"/>
          <w:right w:w="62" w:type="dxa"/>
        </w:tblCellMar>
        <w:tblLook w:val="0000"/>
      </w:tblPr>
      <w:tblGrid>
        <w:gridCol w:w="2672"/>
        <w:gridCol w:w="5699"/>
      </w:tblGrid>
      <w:tr w:rsidTr="00CC6E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2)</w:t>
            </w:r>
          </w:p>
        </w:tc>
      </w:tr>
      <w:tr w:rsidTr="00CC6E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This unit is intended for competency development entry-level employment based programs incorporated in approved contracts of training. It is intended to apply to any formal recognition for this standard at the aligned AQF 5 level or higher.</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4" w:name="O_584458"/>
      <w:bookmarkEnd w:id="4"/>
      <w:r w:rsidRPr="00DC47FE">
        <w:t>Licensing/Regulatory Information</w:t>
      </w:r>
    </w:p>
    <w:tbl>
      <w:tblPr>
        <w:tblW w:w="0" w:type="auto"/>
        <w:tblLayout w:type="fixed"/>
        <w:tblCellMar>
          <w:left w:w="62" w:type="dxa"/>
          <w:right w:w="62" w:type="dxa"/>
        </w:tblCellMar>
        <w:tblLook w:val="0000"/>
      </w:tblPr>
      <w:tblGrid>
        <w:gridCol w:w="2700"/>
        <w:gridCol w:w="5760"/>
      </w:tblGrid>
      <w:tr w:rsidTr="00CC6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 xml:space="preserve">3) </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 xml:space="preserve">The skills and knowledge described in this unit do not require a license to practice in the workplace. However, practice in this unit is subject to regulations directly related to occupational </w:t>
            </w:r>
            <w:r w:rsidRPr="00DC47FE">
              <w:t>health and safety and where applicable contracts of training such as apprenticeships.</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5" w:name="O_584457"/>
      <w:bookmarkEnd w:id="5"/>
      <w:r w:rsidRPr="00DC47FE">
        <w:t>Pre-Requisites</w:t>
      </w:r>
    </w:p>
    <w:tbl>
      <w:tblPr>
        <w:tblW w:w="0" w:type="auto"/>
        <w:tblLayout w:type="fixed"/>
        <w:tblCellMar>
          <w:left w:w="62" w:type="dxa"/>
          <w:right w:w="62" w:type="dxa"/>
        </w:tblCellMar>
        <w:tblLook w:val="0000"/>
      </w:tblPr>
      <w:tblGrid>
        <w:gridCol w:w="2700"/>
        <w:gridCol w:w="1440"/>
        <w:gridCol w:w="4320"/>
      </w:tblGrid>
      <w:tr w:rsidTr="00CC6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 xml:space="preserve">4) </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4.1)</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Granting competency in this unit shall be made only after co</w:t>
            </w:r>
            <w:r w:rsidRPr="00DC47FE">
              <w:t>mpetency in the following unit(s) has/have been confirmed.</w:t>
            </w:r>
          </w:p>
        </w:tc>
      </w:tr>
      <w:tr w:rsidTr="00CC6E1F">
        <w:tblPrEx>
          <w:tblW w:w="0" w:type="auto"/>
          <w:tblLayout w:type="fixed"/>
          <w:tblCellMar>
            <w:left w:w="62" w:type="dxa"/>
            <w:right w:w="62" w:type="dxa"/>
          </w:tblCellMar>
          <w:tblLook w:val="0000"/>
        </w:tblPrEx>
        <w:trPr>
          <w:trHeight w:val="45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UEENEEE125A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Provide engineering solutions for problems in complex multiple path circuit</w:t>
            </w:r>
          </w:p>
        </w:tc>
      </w:tr>
      <w:tr w:rsidTr="00CC6E1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UEENEEE126A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Provide solutions to basic engineering computational problems</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AND</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UEENEEE129A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Solve electrotechnical engineering problems</w:t>
            </w:r>
          </w:p>
        </w:tc>
      </w:tr>
      <w:tr w:rsidTr="00CC6E1F">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OR</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p>
        </w:tc>
      </w:tr>
      <w:tr w:rsidTr="00CC6E1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UEENEEE101A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Apply Occupational Health and Safety regulations, codes and practices in the workplace</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UEENEEE104A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Solve problems in d.c. circuits</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 xml:space="preserve">UEENEEG101A </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Solve problems in electromagnetic devices and related circuits</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OR</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UEENEEH114A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Troubleshoot resonance circuits in an electronic apparatus</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UEENEEE101A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Apply Occupational Health and Safety regulations, codes and practices in the workplace</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AND</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w:t>
            </w:r>
            <w:r w:rsidRPr="00DC47FE">
              <w:t>EEE104A</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Solve problems in d.c. circuits</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OR</w:t>
            </w:r>
          </w:p>
        </w:tc>
        <w:tc>
          <w:tcPr>
            <w:tcW w:w="432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UEENEEH1</w:t>
            </w:r>
            <w:r w:rsidRPr="00DC47FE">
              <w:t xml:space="preserve">69A </w:t>
            </w:r>
          </w:p>
        </w:tc>
        <w:tc>
          <w:tcPr>
            <w:tcW w:w="432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Solve problems in basic electronic circuits</w:t>
            </w:r>
          </w:p>
        </w:tc>
      </w:tr>
    </w:tbl>
    <w:p w:rsidR="00000000" w:rsidRPr="00DC47FE" w:rsidP="00DC47F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C6E1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 xml:space="preserve">4.2) </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Participants are best equipped to achieve competency in this unit if they have reading, writing and numera</w:t>
            </w:r>
            <w:r w:rsidRPr="00DC47FE">
              <w:t>cy skills indicated by the following scales. Description of each scale is given in Volume 2, Part 3 ‘Literacy and Numeracy’</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Reading</w:t>
            </w:r>
          </w:p>
        </w:tc>
        <w:tc>
          <w:tcPr>
            <w:tcW w:w="81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5</w:t>
            </w:r>
          </w:p>
        </w:tc>
        <w:tc>
          <w:tcPr>
            <w:tcW w:w="99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Writing</w:t>
            </w:r>
          </w:p>
        </w:tc>
        <w:tc>
          <w:tcPr>
            <w:tcW w:w="90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5</w:t>
            </w:r>
          </w:p>
        </w:tc>
        <w:tc>
          <w:tcPr>
            <w:tcW w:w="12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Numeracy</w:t>
            </w:r>
          </w:p>
        </w:tc>
        <w:tc>
          <w:tcPr>
            <w:tcW w:w="72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5</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6" w:name="O_584456"/>
      <w:bookmarkEnd w:id="6"/>
      <w:r w:rsidRPr="00DC47FE">
        <w:t>Employability Skills Information</w:t>
      </w:r>
    </w:p>
    <w:tbl>
      <w:tblPr>
        <w:tblW w:w="0" w:type="auto"/>
        <w:tblLayout w:type="fixed"/>
        <w:tblCellMar>
          <w:left w:w="62" w:type="dxa"/>
          <w:right w:w="62" w:type="dxa"/>
        </w:tblCellMar>
        <w:tblLook w:val="0000"/>
      </w:tblPr>
      <w:tblGrid>
        <w:gridCol w:w="2700"/>
        <w:gridCol w:w="5760"/>
      </w:tblGrid>
      <w:tr w:rsidTr="00CC6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 xml:space="preserve">5) </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This unit contains Employability Skills</w:t>
            </w:r>
          </w:p>
          <w:p w:rsidR="00000000" w:rsidRPr="00DC47FE" w:rsidP="00DC47FE">
            <w:pPr>
              <w:pStyle w:val="BodyText"/>
            </w:pPr>
            <w:r w:rsidRPr="00DC47FE">
              <w:t>The required outcomes described in this unit of competency contain applicable facets of Employability Skills. The Employability Skills Summary of the qualification in which this unit of competency is packaged will as</w:t>
            </w:r>
            <w:r w:rsidRPr="00DC47FE">
              <w:t>sist in identifying Employability Skill requirements.</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7" w:name="O_584455"/>
      <w:bookmarkEnd w:id="7"/>
      <w:r w:rsidRPr="00DC47FE">
        <w:t>Elements and Performance Criteria Pre-Content</w:t>
      </w:r>
    </w:p>
    <w:tbl>
      <w:tblPr>
        <w:tblW w:w="0" w:type="auto"/>
        <w:tblLayout w:type="fixed"/>
        <w:tblCellMar>
          <w:left w:w="62" w:type="dxa"/>
          <w:right w:w="62" w:type="dxa"/>
        </w:tblCellMar>
        <w:tblLook w:val="0000"/>
      </w:tblPr>
      <w:tblGrid>
        <w:gridCol w:w="2700"/>
        <w:gridCol w:w="5760"/>
      </w:tblGrid>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6)</w:t>
            </w:r>
            <w:r w:rsidRPr="00DC47F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Performance Criteria describe the required performance needed to demonstrate achievement of the element. Assessment of performance is to be consistent with the Evidence Guide.</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8" w:name="O_584454"/>
      <w:bookmarkEnd w:id="8"/>
      <w:r w:rsidRPr="00DC47FE">
        <w:t>Elements and Performance Criteria</w:t>
      </w:r>
    </w:p>
    <w:tbl>
      <w:tblPr>
        <w:tblW w:w="0" w:type="auto"/>
        <w:tblLayout w:type="fixed"/>
        <w:tblCellMar>
          <w:left w:w="62" w:type="dxa"/>
          <w:right w:w="62" w:type="dxa"/>
        </w:tblCellMar>
        <w:tblLook w:val="0000"/>
      </w:tblPr>
      <w:tblGrid>
        <w:gridCol w:w="405"/>
        <w:gridCol w:w="2295"/>
        <w:gridCol w:w="847"/>
        <w:gridCol w:w="4913"/>
      </w:tblGrid>
      <w:tr w:rsidTr="00CC6E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PERFORMANCE CRITER</w:t>
            </w:r>
            <w:r w:rsidRPr="00DC47FE">
              <w:rPr>
                <w:rStyle w:val="SpecialBold"/>
              </w:rPr>
              <w:t>IA</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1</w:t>
            </w:r>
          </w:p>
        </w:tc>
        <w:tc>
          <w:tcPr>
            <w:tcW w:w="2295" w:type="dxa"/>
            <w:vMerge w:val="restart"/>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Prepare to develop engineering solution for photonic systems problems.</w:t>
            </w: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1.1</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OHS processes and procedures for a given work area are identified, obtained and understood.</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1.2</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Established OHS risk control measures and procedures in preparation for the work are followed.</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1.3</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The extent of the photonic systems problem is determined from performance specifications and situation reports and in consultation with relevant persons.</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1.4</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Activities are planned to meet scheduled timelines in consultation with others involved in the work.</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1.5</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Strategies are identified to ensure efficient development and implementation of solution(s).</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2</w:t>
            </w:r>
          </w:p>
        </w:tc>
        <w:tc>
          <w:tcPr>
            <w:tcW w:w="2295" w:type="dxa"/>
            <w:vMerge w:val="restart"/>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Develop engineering solutions for photonic system problems.</w:t>
            </w: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2.1</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OHS risk control measures and procedures for carrying out the work are followed.</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2.2</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Knowledge of photonic technology, operation, device characteristics and applications are applied to deve</w:t>
            </w:r>
            <w:r w:rsidRPr="00DC47FE">
              <w:t>loping solutions to photonic system problems.</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2.3</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Parameters, specifications and performance requirements in relation to each photonic system problem are obtained in accordance with established procedures.</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2.4</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Approaches to resolving photonic system problems are analysed to provide most effective solutions.</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2.5</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Unplanned events are dealt with safely and effectively consistent with regulatory requirements and enterprise policy.</w:t>
            </w:r>
          </w:p>
        </w:tc>
      </w:tr>
      <w:tr w:rsidTr="00CC6E1F">
        <w:tblPrEx>
          <w:tblW w:w="0" w:type="auto"/>
          <w:tblLayout w:type="fixed"/>
          <w:tblCellMar>
            <w:left w:w="62" w:type="dxa"/>
            <w:right w:w="62" w:type="dxa"/>
          </w:tblCellMar>
          <w:tblLook w:val="0000"/>
        </w:tblPrEx>
        <w:trPr>
          <w:trHeight w:val="843"/>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2.6</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Quality of work is monitored against personal performance agreement and/or established organizational or professional standards.</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3</w:t>
            </w:r>
          </w:p>
        </w:tc>
        <w:tc>
          <w:tcPr>
            <w:tcW w:w="2295" w:type="dxa"/>
            <w:vMerge w:val="restart"/>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Test, document and implement engineering solution for photonic problems.</w:t>
            </w: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3.1</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Solutions to photonic problems are tested to de</w:t>
            </w:r>
            <w:r w:rsidRPr="00DC47FE">
              <w:t>termine their effectiveness and modified where necessary.</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3.2</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Adopted solutions are documented including instruction for their implementation that incorporates risk control measure to be followed.</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3.3</w:t>
            </w:r>
          </w:p>
        </w:tc>
        <w:tc>
          <w:tcPr>
            <w:tcW w:w="4913"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Appropriately competent and qualified person(s) required to implement solutions to photonic system problems are coordinated in accordance with regulatory requirements and enterprise policy.</w:t>
            </w:r>
          </w:p>
          <w:p w:rsidR="00000000" w:rsidP="00DC47FE">
            <w:pPr>
              <w:pStyle w:val="BodyText"/>
              <w:rPr>
                <w:lang w:val="en-NZ"/>
              </w:rPr>
            </w:pPr>
            <w:r w:rsidRPr="00DC47FE">
              <w:t>(See Note)</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7"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3.4</w:t>
            </w:r>
          </w:p>
        </w:tc>
        <w:tc>
          <w:tcPr>
            <w:tcW w:w="4913"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Justification for solutions used to solve photon</w:t>
            </w:r>
            <w:r w:rsidRPr="00DC47FE">
              <w:t>ic systems is documented for inclusion in work/project development records in accordance with professional standards.</w:t>
            </w:r>
          </w:p>
        </w:tc>
      </w:tr>
      <w:tr w:rsidTr="00CC6E1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 xml:space="preserve">Note: </w:t>
            </w:r>
            <w:r w:rsidRPr="00DC47FE">
              <w:br/>
            </w:r>
            <w:r w:rsidRPr="00DC47FE">
              <w:t>A license to practice in the workplace is required for work involving direct access to plant and equipment connected to installation wiring at voltages above 50 V a.c. or 120 V d.c.</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9" w:name="O_584453"/>
      <w:bookmarkEnd w:id="9"/>
      <w:r w:rsidRPr="00DC47FE">
        <w:t>Required Skills and Knowledge</w:t>
      </w:r>
    </w:p>
    <w:tbl>
      <w:tblPr>
        <w:tblW w:w="0" w:type="auto"/>
        <w:tblLayout w:type="fixed"/>
        <w:tblCellMar>
          <w:left w:w="62" w:type="dxa"/>
          <w:right w:w="62" w:type="dxa"/>
        </w:tblCellMar>
        <w:tblLook w:val="0000"/>
      </w:tblPr>
      <w:tblGrid>
        <w:gridCol w:w="8460"/>
      </w:tblGrid>
      <w:tr w:rsidTr="00CC6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REQUIRED SKILLS AND KNOWLEDGE</w:t>
            </w:r>
          </w:p>
        </w:tc>
      </w:tr>
      <w:tr w:rsidTr="00CC6E1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8)</w:t>
            </w:r>
            <w:r w:rsidRPr="00DC47FE">
              <w:t xml:space="preserve"> This describes the essential skills and knowledge and their level, required for this unit.</w:t>
            </w:r>
          </w:p>
          <w:p w:rsidR="00000000" w:rsidRPr="00DC47FE" w:rsidP="00DC47FE">
            <w:pPr>
              <w:pStyle w:val="BodyText"/>
            </w:pPr>
            <w:r w:rsidRPr="00DC47FE">
              <w:t>Evidence shall show that knowledge has been acquired of safe working practices and developing engineering solutions to photonic problems.</w:t>
            </w:r>
          </w:p>
          <w:p w:rsidR="00000000" w:rsidRPr="00DC47FE" w:rsidP="00DC47FE">
            <w:pPr>
              <w:pStyle w:val="BodyText"/>
            </w:pPr>
            <w:r w:rsidRPr="00DC47FE">
              <w:t>All knowledge and skills detailed in this unit should be contextualised to current industry practices and technologies</w:t>
            </w:r>
            <w:r w:rsidRPr="00DC47FE">
              <w:t>.</w:t>
            </w:r>
          </w:p>
          <w:p w:rsidR="00000000" w:rsidRPr="00DC47FE" w:rsidP="00DC47FE">
            <w:pPr>
              <w:pStyle w:val="BodyText"/>
            </w:pPr>
            <w:r w:rsidRPr="00DC47FE">
              <w:rPr>
                <w:rStyle w:val="SpecialBold"/>
              </w:rPr>
              <w:t>KS01-EE128A</w:t>
            </w:r>
            <w:r w:rsidRPr="00DC47FE">
              <w:rPr>
                <w:rStyle w:val="SpecialBold"/>
              </w:rPr>
              <w:tab/>
              <w:t xml:space="preserve">              Photonic principles and applications</w:t>
            </w:r>
          </w:p>
          <w:p w:rsidR="00000000" w:rsidRPr="00DC47FE" w:rsidP="00DC47FE">
            <w:pPr>
              <w:pStyle w:val="BodyText"/>
            </w:pPr>
            <w:r w:rsidRPr="00DC47FE">
              <w:t>Evidence shall show an understanding of photonic principles and applications to an extent indicated by the following aspects:</w:t>
            </w:r>
          </w:p>
          <w:p w:rsidR="00000000" w:rsidRPr="00DC47FE" w:rsidP="00DC47FE">
            <w:pPr>
              <w:pStyle w:val="BodyText"/>
            </w:pPr>
            <w:r w:rsidRPr="00DC47FE">
              <w:t>T1</w:t>
            </w:r>
            <w:r w:rsidRPr="00DC47FE">
              <w:tab/>
              <w:t>Photonic principles</w:t>
            </w:r>
          </w:p>
          <w:p w:rsidR="00000000" w:rsidRPr="00DC47FE" w:rsidP="00DC47FE">
            <w:pPr>
              <w:pStyle w:val="ListBullet"/>
            </w:pPr>
            <w:r w:rsidRPr="00DC47FE">
              <w:t xml:space="preserve">Measurements on the optical devices that </w:t>
            </w:r>
            <w:r w:rsidRPr="00DC47FE">
              <w:t>are used in a basic fibre optic link</w:t>
            </w:r>
          </w:p>
          <w:p w:rsidR="00000000" w:rsidRPr="00DC47FE" w:rsidP="00DC47FE">
            <w:pPr>
              <w:pStyle w:val="ListBullet"/>
            </w:pPr>
            <w:r w:rsidRPr="00DC47FE">
              <w:t>Optical devices making up an optical fibre link</w:t>
            </w:r>
          </w:p>
          <w:p w:rsidR="00000000" w:rsidRPr="00DC47FE" w:rsidP="00DC47FE">
            <w:pPr>
              <w:pStyle w:val="ListBullet"/>
            </w:pPr>
            <w:r w:rsidRPr="00DC47FE">
              <w:t>The interconnection of optical devices that make up a one way optical fibre link</w:t>
            </w:r>
          </w:p>
          <w:p w:rsidR="00000000" w:rsidRPr="00DC47FE" w:rsidP="00DC47FE">
            <w:pPr>
              <w:pStyle w:val="ListBullet"/>
            </w:pPr>
            <w:r w:rsidRPr="00DC47FE">
              <w:t>The construction of an LED optical light source</w:t>
            </w:r>
          </w:p>
          <w:p w:rsidR="00000000" w:rsidRPr="00DC47FE" w:rsidP="00DC47FE">
            <w:pPr>
              <w:pStyle w:val="ListBullet"/>
            </w:pPr>
            <w:r w:rsidRPr="00DC47FE">
              <w:t>The electrical and optical parameters of L</w:t>
            </w:r>
            <w:r w:rsidRPr="00DC47FE">
              <w:t>ASERs</w:t>
            </w:r>
          </w:p>
          <w:p w:rsidR="00000000" w:rsidRPr="00DC47FE" w:rsidP="00DC47FE">
            <w:pPr>
              <w:pStyle w:val="ListBullet"/>
            </w:pPr>
            <w:r w:rsidRPr="00DC47FE">
              <w:t>LED and LASER light sources</w:t>
            </w:r>
          </w:p>
          <w:p w:rsidR="00000000" w:rsidRPr="00DC47FE" w:rsidP="00DC47FE">
            <w:pPr>
              <w:pStyle w:val="ListBullet"/>
            </w:pPr>
            <w:r w:rsidRPr="00DC47FE">
              <w:t>PN photodiodes and phototransistors</w:t>
            </w:r>
          </w:p>
          <w:p w:rsidR="00000000" w:rsidRPr="00DC47FE" w:rsidP="00DC47FE">
            <w:pPr>
              <w:pStyle w:val="ListBullet"/>
            </w:pPr>
            <w:r w:rsidRPr="00DC47FE">
              <w:t>The electrical and optical parameter</w:t>
            </w:r>
          </w:p>
          <w:p w:rsidR="00000000" w:rsidRPr="00DC47FE" w:rsidP="00DC47FE">
            <w:pPr>
              <w:pStyle w:val="ListBullet"/>
            </w:pPr>
            <w:r w:rsidRPr="00DC47FE">
              <w:t>The basic capability of optical technology involving energy transfer, communications, sensing, miniaturisation and signal processing</w:t>
            </w:r>
          </w:p>
          <w:p w:rsidR="00000000" w:rsidRPr="00DC47FE" w:rsidP="00DC47FE">
            <w:pPr>
              <w:pStyle w:val="BodyText"/>
            </w:pPr>
            <w:r w:rsidRPr="00DC47FE">
              <w:t>T2</w:t>
            </w:r>
            <w:r w:rsidRPr="00DC47FE">
              <w:tab/>
            </w:r>
            <w:r w:rsidRPr="00DC47FE">
              <w:t>The environmental advantages and impacts of optical technology</w:t>
            </w:r>
          </w:p>
          <w:p w:rsidR="00000000" w:rsidRPr="00DC47FE" w:rsidP="00DC47FE">
            <w:pPr>
              <w:pStyle w:val="ListBullet"/>
            </w:pPr>
            <w:r w:rsidRPr="00DC47FE">
              <w:t>The nature and importance of innovation</w:t>
            </w:r>
          </w:p>
          <w:p w:rsidR="00000000" w:rsidRPr="00DC47FE" w:rsidP="00DC47FE">
            <w:pPr>
              <w:pStyle w:val="ListBullet"/>
            </w:pPr>
            <w:r w:rsidRPr="00DC47FE">
              <w:t>The triple bottom line of business: economic, social and environmental as it relates to optical technology</w:t>
            </w:r>
          </w:p>
          <w:p w:rsidR="00000000" w:rsidRPr="00DC47FE" w:rsidP="00DC47FE">
            <w:pPr>
              <w:pStyle w:val="ListBullet"/>
            </w:pPr>
            <w:r w:rsidRPr="00DC47FE">
              <w:t>Scenario development using a variety of expre</w:t>
            </w:r>
            <w:r w:rsidRPr="00DC47FE">
              <w:t>ssive methods to explore alternatives.</w:t>
            </w:r>
          </w:p>
          <w:p w:rsidR="00000000" w:rsidRPr="00DC47FE" w:rsidP="00DC47FE">
            <w:pPr>
              <w:pStyle w:val="ListBullet"/>
            </w:pPr>
            <w:r w:rsidRPr="00DC47FE">
              <w:t>Information networking</w:t>
            </w:r>
          </w:p>
          <w:p w:rsidR="00000000" w:rsidRPr="00DC47FE" w:rsidP="00DC47FE">
            <w:pPr>
              <w:pStyle w:val="ListBullet"/>
            </w:pPr>
            <w:r w:rsidRPr="00DC47FE">
              <w:t>Medical applications.</w:t>
            </w:r>
          </w:p>
          <w:p w:rsidR="00000000" w:rsidRPr="00DC47FE" w:rsidP="00DC47FE">
            <w:pPr>
              <w:pStyle w:val="ListBullet"/>
            </w:pPr>
            <w:r w:rsidRPr="00DC47FE">
              <w:t>Teleworking applications.</w:t>
            </w:r>
          </w:p>
          <w:p w:rsidR="00000000" w:rsidRPr="00DC47FE" w:rsidP="00DC47FE">
            <w:pPr>
              <w:pStyle w:val="ListBullet"/>
            </w:pPr>
            <w:r w:rsidRPr="00DC47FE">
              <w:t>Education applications</w:t>
            </w:r>
          </w:p>
          <w:p w:rsidR="00000000" w:rsidRPr="00DC47FE" w:rsidP="00DC47FE">
            <w:pPr>
              <w:pStyle w:val="ListBullet"/>
            </w:pPr>
            <w:r w:rsidRPr="00DC47FE">
              <w:t>Opportunities in the optical industry in Australia</w:t>
            </w:r>
          </w:p>
          <w:p w:rsidR="00000000" w:rsidRPr="00DC47FE" w:rsidP="00DC47FE">
            <w:pPr>
              <w:pStyle w:val="ListBullet"/>
            </w:pPr>
            <w:r w:rsidRPr="00DC47FE">
              <w:t>Innovations in business using optical technology</w:t>
            </w:r>
          </w:p>
          <w:p w:rsidR="00000000" w:rsidRPr="00DC47FE" w:rsidP="00DC47FE">
            <w:pPr>
              <w:pStyle w:val="ListBullet"/>
            </w:pPr>
            <w:r w:rsidRPr="00DC47FE">
              <w:t>Innovations in the prov</w:t>
            </w:r>
            <w:r w:rsidRPr="00DC47FE">
              <w:t>ision of infrastructure in Australia</w:t>
            </w:r>
          </w:p>
          <w:p w:rsidR="00000000" w:rsidRPr="00DC47FE" w:rsidP="00DC47FE">
            <w:pPr>
              <w:pStyle w:val="BodyText"/>
            </w:pPr>
            <w:r w:rsidRPr="00DC47FE">
              <w:t>T3</w:t>
            </w:r>
            <w:r w:rsidRPr="00DC47FE">
              <w:tab/>
              <w:t>Basic geometric optics</w:t>
            </w:r>
          </w:p>
          <w:p w:rsidR="00000000" w:rsidRPr="00DC47FE" w:rsidP="00DC47FE">
            <w:pPr>
              <w:pStyle w:val="BodyText"/>
            </w:pPr>
            <w:r w:rsidRPr="00DC47FE">
              <w:t>T4</w:t>
            </w:r>
            <w:r w:rsidRPr="00DC47FE">
              <w:tab/>
              <w:t>Introduction to photonic components</w:t>
            </w:r>
          </w:p>
          <w:p w:rsidR="00000000" w:rsidRPr="00DC47FE" w:rsidP="00DC47FE">
            <w:pPr>
              <w:pStyle w:val="BodyText"/>
            </w:pPr>
            <w:r w:rsidRPr="00DC47FE">
              <w:t>T5</w:t>
            </w:r>
            <w:r w:rsidRPr="00DC47FE">
              <w:tab/>
              <w:t>The basic concepts of optical transmission encompassing:</w:t>
            </w:r>
          </w:p>
          <w:p w:rsidR="00000000" w:rsidRPr="00DC47FE" w:rsidP="00DC47FE">
            <w:pPr>
              <w:pStyle w:val="ListBullet"/>
            </w:pPr>
            <w:r w:rsidRPr="00DC47FE">
              <w:t>'Atmospheric' and 'guided' optical transmission systems</w:t>
            </w:r>
          </w:p>
          <w:p w:rsidR="00000000" w:rsidRPr="00DC47FE" w:rsidP="00DC47FE">
            <w:pPr>
              <w:pStyle w:val="ListBullet"/>
            </w:pPr>
            <w:r w:rsidRPr="00DC47FE">
              <w:t>Fibre 'guided' systems compared to 'a</w:t>
            </w:r>
            <w:r w:rsidRPr="00DC47FE">
              <w:t>tmospheric' systems</w:t>
            </w:r>
          </w:p>
          <w:p w:rsidR="00000000" w:rsidRPr="00DC47FE" w:rsidP="00DC47FE">
            <w:pPr>
              <w:pStyle w:val="BodyText"/>
            </w:pPr>
            <w:r w:rsidRPr="00DC47FE">
              <w:t>T6</w:t>
            </w:r>
            <w:r w:rsidRPr="00DC47FE">
              <w:tab/>
              <w:t>Photonic components and component technologies encompassing:</w:t>
            </w:r>
          </w:p>
          <w:p w:rsidR="00000000" w:rsidRPr="00DC47FE" w:rsidP="00DC47FE">
            <w:pPr>
              <w:pStyle w:val="ListBullet"/>
            </w:pPr>
            <w:r w:rsidRPr="00DC47FE">
              <w:t>Differentiate between 'passive' and 'active' photonic components</w:t>
            </w:r>
          </w:p>
          <w:p w:rsidR="00000000" w:rsidRPr="00DC47FE" w:rsidP="00DC47FE">
            <w:pPr>
              <w:pStyle w:val="ListBullet"/>
            </w:pPr>
            <w:r w:rsidRPr="00DC47FE">
              <w:t>Identify and describe optical component technologies</w:t>
            </w:r>
          </w:p>
          <w:p w:rsidR="00000000" w:rsidRPr="00DC47FE" w:rsidP="00DC47FE">
            <w:pPr>
              <w:pStyle w:val="BodyText"/>
            </w:pPr>
            <w:r w:rsidRPr="00DC47FE">
              <w:t>T7</w:t>
            </w:r>
            <w:r w:rsidRPr="00DC47FE">
              <w:tab/>
              <w:t>Photonic components and their roles in photonic de</w:t>
            </w:r>
            <w:r w:rsidRPr="00DC47FE">
              <w:t>vices encompassing:</w:t>
            </w:r>
          </w:p>
          <w:p w:rsidR="00000000" w:rsidRPr="00DC47FE" w:rsidP="00DC47FE">
            <w:pPr>
              <w:pStyle w:val="ListBullet"/>
            </w:pPr>
            <w:r w:rsidRPr="00DC47FE">
              <w:t>Operational concepts of components and devices,</w:t>
            </w:r>
          </w:p>
          <w:p w:rsidR="00000000" w:rsidRPr="00DC47FE" w:rsidP="00DC47FE">
            <w:pPr>
              <w:pStyle w:val="ListBullet"/>
            </w:pPr>
            <w:r w:rsidRPr="00DC47FE">
              <w:t>Active verses passive devices</w:t>
            </w:r>
          </w:p>
          <w:p w:rsidR="00000000" w:rsidRPr="00DC47FE" w:rsidP="00DC47FE">
            <w:pPr>
              <w:pStyle w:val="ListBullet"/>
            </w:pPr>
            <w:r w:rsidRPr="00DC47FE">
              <w:t>Available photonic devices and their constituent components</w:t>
            </w:r>
          </w:p>
          <w:p w:rsidR="00000000" w:rsidRPr="00DC47FE" w:rsidP="00DC47FE">
            <w:pPr>
              <w:pStyle w:val="ListBullet"/>
            </w:pPr>
            <w:r w:rsidRPr="00DC47FE">
              <w:t>Photonic device operation</w:t>
            </w:r>
          </w:p>
          <w:p w:rsidR="00000000" w:rsidRPr="00DC47FE" w:rsidP="00DC47FE">
            <w:pPr>
              <w:pStyle w:val="BodyText"/>
            </w:pPr>
            <w:r w:rsidRPr="00DC47FE">
              <w:t>T8</w:t>
            </w:r>
            <w:r w:rsidRPr="00DC47FE">
              <w:tab/>
            </w:r>
            <w:r w:rsidRPr="00DC47FE">
              <w:t>Operating principles of optical couplers and their characteristics encompassing:</w:t>
            </w:r>
          </w:p>
          <w:p w:rsidR="00000000" w:rsidRPr="00DC47FE" w:rsidP="00DC47FE">
            <w:pPr>
              <w:pStyle w:val="ListBullet"/>
            </w:pPr>
            <w:r w:rsidRPr="00DC47FE">
              <w:t>Optical couplers.</w:t>
            </w:r>
          </w:p>
          <w:p w:rsidR="00000000" w:rsidRPr="00DC47FE" w:rsidP="00DC47FE">
            <w:pPr>
              <w:pStyle w:val="ListBullet"/>
            </w:pPr>
            <w:r w:rsidRPr="00DC47FE">
              <w:t>Loss</w:t>
            </w:r>
          </w:p>
          <w:p w:rsidR="00000000" w:rsidRPr="00DC47FE" w:rsidP="00DC47FE">
            <w:pPr>
              <w:pStyle w:val="ListBullet"/>
            </w:pPr>
            <w:r w:rsidRPr="00DC47FE">
              <w:t>Number of ports</w:t>
            </w:r>
          </w:p>
          <w:p w:rsidR="00000000" w:rsidRPr="00DC47FE" w:rsidP="00DC47FE">
            <w:pPr>
              <w:pStyle w:val="ListBullet"/>
            </w:pPr>
            <w:r w:rsidRPr="00DC47FE">
              <w:t>Directionality</w:t>
            </w:r>
          </w:p>
          <w:p w:rsidR="00000000" w:rsidRPr="00DC47FE" w:rsidP="00DC47FE">
            <w:pPr>
              <w:pStyle w:val="ListBullet"/>
            </w:pPr>
            <w:r w:rsidRPr="00DC47FE">
              <w:t>Wavelength selectivity</w:t>
            </w:r>
          </w:p>
          <w:p w:rsidR="00000000" w:rsidRPr="00DC47FE" w:rsidP="00DC47FE">
            <w:pPr>
              <w:pStyle w:val="ListBullet"/>
            </w:pPr>
            <w:r w:rsidRPr="00DC47FE">
              <w:t>'T' and 'Y' couplers</w:t>
            </w:r>
          </w:p>
          <w:p w:rsidR="00000000" w:rsidRPr="00DC47FE" w:rsidP="00DC47FE">
            <w:pPr>
              <w:pStyle w:val="ListBullet"/>
            </w:pPr>
            <w:r w:rsidRPr="00DC47FE">
              <w:t>'1-to-N' or 'Tree' couplers</w:t>
            </w:r>
          </w:p>
          <w:p w:rsidR="00000000" w:rsidRPr="00DC47FE" w:rsidP="00DC47FE">
            <w:pPr>
              <w:pStyle w:val="ListBullet"/>
            </w:pPr>
            <w:r w:rsidRPr="00DC47FE">
              <w:t>Star couplers</w:t>
            </w:r>
          </w:p>
          <w:p w:rsidR="00000000" w:rsidRPr="00DC47FE" w:rsidP="00DC47FE">
            <w:pPr>
              <w:pStyle w:val="ListBullet"/>
            </w:pPr>
            <w:r w:rsidRPr="00DC47FE">
              <w:t>Wavelength selective couplers</w:t>
            </w:r>
          </w:p>
          <w:p w:rsidR="00000000" w:rsidRPr="00DC47FE" w:rsidP="00DC47FE">
            <w:pPr>
              <w:pStyle w:val="ListBullet"/>
            </w:pPr>
            <w:r w:rsidRPr="00DC47FE">
              <w:t>Bulk</w:t>
            </w:r>
            <w:r w:rsidRPr="00DC47FE">
              <w:t xml:space="preserve"> and micro-optic technologies</w:t>
            </w:r>
          </w:p>
          <w:p w:rsidR="00000000" w:rsidRPr="00DC47FE" w:rsidP="00DC47FE">
            <w:pPr>
              <w:pStyle w:val="ListBullet"/>
            </w:pPr>
            <w:r w:rsidRPr="00DC47FE">
              <w:t>Fused fibre technology</w:t>
            </w:r>
          </w:p>
          <w:p w:rsidR="00000000" w:rsidRPr="00DC47FE" w:rsidP="00DC47FE">
            <w:pPr>
              <w:pStyle w:val="ListBullet"/>
            </w:pPr>
            <w:r w:rsidRPr="00DC47FE">
              <w:t>Planar waveguides technology</w:t>
            </w:r>
          </w:p>
          <w:p w:rsidR="00000000" w:rsidRPr="00DC47FE" w:rsidP="00DC47FE">
            <w:pPr>
              <w:pStyle w:val="ListBullet"/>
            </w:pPr>
            <w:r w:rsidRPr="00DC47FE">
              <w:t>Fibre-grating technology</w:t>
            </w:r>
          </w:p>
          <w:p w:rsidR="00000000" w:rsidRPr="00DC47FE" w:rsidP="00DC47FE">
            <w:pPr>
              <w:pStyle w:val="BodyText"/>
            </w:pPr>
            <w:r w:rsidRPr="00DC47FE">
              <w:t>T9</w:t>
            </w:r>
            <w:r w:rsidRPr="00DC47FE">
              <w:tab/>
              <w:t>Components for WDM systems encompassing:</w:t>
            </w:r>
          </w:p>
          <w:p w:rsidR="00000000" w:rsidRPr="00DC47FE" w:rsidP="00DC47FE">
            <w:pPr>
              <w:pStyle w:val="ListBullet"/>
            </w:pPr>
            <w:r w:rsidRPr="00DC47FE">
              <w:t>Passive and active components for WDM systems</w:t>
            </w:r>
          </w:p>
          <w:p w:rsidR="00000000" w:rsidRPr="00DC47FE" w:rsidP="00DC47FE">
            <w:pPr>
              <w:pStyle w:val="ListBullet"/>
            </w:pPr>
            <w:r w:rsidRPr="00DC47FE">
              <w:t>Filters (Interference and Absorption)</w:t>
            </w:r>
          </w:p>
          <w:p w:rsidR="00000000" w:rsidRPr="00DC47FE" w:rsidP="00DC47FE">
            <w:pPr>
              <w:pStyle w:val="ListBullet"/>
            </w:pPr>
            <w:r w:rsidRPr="00DC47FE">
              <w:t>Bulk optical gratings</w:t>
            </w:r>
          </w:p>
          <w:p w:rsidR="00000000" w:rsidRPr="00DC47FE" w:rsidP="00DC47FE">
            <w:pPr>
              <w:pStyle w:val="ListBullet"/>
            </w:pPr>
            <w:r w:rsidRPr="00DC47FE">
              <w:t>Arrayed waveguides</w:t>
            </w:r>
          </w:p>
          <w:p w:rsidR="00000000" w:rsidRPr="00DC47FE" w:rsidP="00DC47FE">
            <w:pPr>
              <w:pStyle w:val="ListBullet"/>
            </w:pPr>
            <w:r w:rsidRPr="00DC47FE">
              <w:t>Attenuators</w:t>
            </w:r>
          </w:p>
          <w:p w:rsidR="00000000" w:rsidRPr="00DC47FE" w:rsidP="00DC47FE">
            <w:pPr>
              <w:pStyle w:val="ListBullet"/>
            </w:pPr>
            <w:r w:rsidRPr="00DC47FE">
              <w:t>Line and Band filters</w:t>
            </w:r>
          </w:p>
          <w:p w:rsidR="00000000" w:rsidRPr="00DC47FE" w:rsidP="00DC47FE">
            <w:pPr>
              <w:pStyle w:val="ListBullet"/>
            </w:pPr>
            <w:r w:rsidRPr="00DC47FE">
              <w:t>Equalising filters</w:t>
            </w:r>
          </w:p>
          <w:p w:rsidR="00000000" w:rsidRPr="00DC47FE" w:rsidP="00DC47FE">
            <w:pPr>
              <w:pStyle w:val="ListBullet"/>
            </w:pPr>
            <w:r w:rsidRPr="00DC47FE">
              <w:t>Fixed and Tunable filters</w:t>
            </w:r>
          </w:p>
          <w:p w:rsidR="00000000" w:rsidRPr="00DC47FE" w:rsidP="00DC47FE">
            <w:pPr>
              <w:pStyle w:val="ListBullet"/>
            </w:pPr>
            <w:r w:rsidRPr="00DC47FE">
              <w:t>Optical Isolators (including Faraday Effect)</w:t>
            </w:r>
          </w:p>
          <w:p w:rsidR="00000000" w:rsidRPr="00DC47FE" w:rsidP="00DC47FE">
            <w:pPr>
              <w:pStyle w:val="ListBullet"/>
            </w:pPr>
            <w:r w:rsidRPr="00DC47FE">
              <w:t>Dispersion compensators</w:t>
            </w:r>
          </w:p>
          <w:p w:rsidR="00000000" w:rsidRPr="00DC47FE" w:rsidP="00DC47FE">
            <w:pPr>
              <w:pStyle w:val="ListBullet"/>
            </w:pPr>
            <w:r w:rsidRPr="00DC47FE">
              <w:t>Multiplexers or combiners</w:t>
            </w:r>
          </w:p>
          <w:p w:rsidR="00000000" w:rsidRPr="00DC47FE" w:rsidP="00DC47FE">
            <w:pPr>
              <w:pStyle w:val="ListBullet"/>
            </w:pPr>
            <w:r w:rsidRPr="00DC47FE">
              <w:t>Demultiplexers or splitters</w:t>
            </w:r>
          </w:p>
          <w:p w:rsidR="00000000" w:rsidRPr="00DC47FE" w:rsidP="00DC47FE">
            <w:pPr>
              <w:pStyle w:val="ListBullet"/>
            </w:pPr>
            <w:r w:rsidRPr="00DC47FE">
              <w:t>Routers</w:t>
            </w:r>
          </w:p>
          <w:p w:rsidR="00000000" w:rsidRPr="00DC47FE" w:rsidP="00DC47FE">
            <w:pPr>
              <w:pStyle w:val="ListBullet"/>
            </w:pPr>
            <w:r w:rsidRPr="00DC47FE">
              <w:t>Add/D</w:t>
            </w:r>
            <w:r w:rsidRPr="00DC47FE">
              <w:t>rop multiplexers</w:t>
            </w:r>
          </w:p>
          <w:p w:rsidR="00000000" w:rsidRPr="00DC47FE" w:rsidP="00DC47FE">
            <w:pPr>
              <w:pStyle w:val="ListBullet"/>
            </w:pPr>
            <w:r w:rsidRPr="00DC47FE">
              <w:t>Interconnection techniques used between optical components used in each optical</w:t>
            </w:r>
          </w:p>
          <w:p w:rsidR="00000000" w:rsidRPr="00DC47FE" w:rsidP="00DC47FE">
            <w:pPr>
              <w:pStyle w:val="ListBullet"/>
            </w:pPr>
            <w:r w:rsidRPr="00DC47FE">
              <w:t>Devices</w:t>
            </w:r>
          </w:p>
          <w:p w:rsidR="00000000" w:rsidRPr="00DC47FE" w:rsidP="00DC47FE">
            <w:pPr>
              <w:pStyle w:val="BodyText"/>
            </w:pPr>
            <w:r w:rsidRPr="00DC47FE">
              <w:t>T10</w:t>
            </w:r>
            <w:r w:rsidRPr="00DC47FE">
              <w:tab/>
              <w:t>Operational principles of key photonic devices encompassing:</w:t>
            </w:r>
          </w:p>
          <w:p w:rsidR="00000000" w:rsidRPr="00DC47FE" w:rsidP="00DC47FE">
            <w:pPr>
              <w:pStyle w:val="ListBullet"/>
            </w:pPr>
            <w:r w:rsidRPr="00DC47FE">
              <w:t>The difference between multimode and single mode fibre,</w:t>
            </w:r>
          </w:p>
          <w:p w:rsidR="00000000" w:rsidRPr="00DC47FE" w:rsidP="00DC47FE">
            <w:pPr>
              <w:pStyle w:val="ListBullet"/>
            </w:pPr>
            <w:r w:rsidRPr="00DC47FE">
              <w:t>Attenuation,</w:t>
            </w:r>
          </w:p>
          <w:p w:rsidR="00000000" w:rsidRPr="00DC47FE" w:rsidP="00DC47FE">
            <w:pPr>
              <w:pStyle w:val="ListBullet"/>
            </w:pPr>
            <w:r w:rsidRPr="00DC47FE">
              <w:t>Dispersion</w:t>
            </w:r>
          </w:p>
          <w:p w:rsidR="00000000" w:rsidRPr="00DC47FE" w:rsidP="00DC47FE">
            <w:pPr>
              <w:pStyle w:val="ListBullet"/>
            </w:pPr>
            <w:r w:rsidRPr="00DC47FE">
              <w:t>Spont</w:t>
            </w:r>
            <w:r w:rsidRPr="00DC47FE">
              <w:t>aneous and stimulated emission of light</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10" w:name="O_584452"/>
      <w:bookmarkEnd w:id="10"/>
      <w:r w:rsidRPr="00DC47FE">
        <w:t>Evidence Guide</w:t>
      </w:r>
    </w:p>
    <w:tbl>
      <w:tblPr>
        <w:tblW w:w="0" w:type="auto"/>
        <w:tblLayout w:type="fixed"/>
        <w:tblCellMar>
          <w:left w:w="62" w:type="dxa"/>
          <w:right w:w="62" w:type="dxa"/>
        </w:tblCellMar>
        <w:tblLook w:val="0000"/>
      </w:tblPr>
      <w:tblGrid>
        <w:gridCol w:w="8460"/>
      </w:tblGrid>
      <w:tr w:rsidTr="00CC6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EVIDENCE GUIDE</w:t>
            </w:r>
          </w:p>
        </w:tc>
      </w:tr>
      <w:tr w:rsidTr="00CC6E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9)</w:t>
            </w:r>
            <w:r w:rsidRPr="00DC47FE">
              <w:t xml:space="preserve"> The evidence guide provides advice on assessment and must be read in conjunction with the Performance </w:t>
            </w:r>
            <w:r w:rsidRPr="00DC47FE">
              <w:t xml:space="preserve">Criteria, Required Skills and Knowledge, the Range Statement and the Assessment Guidelines for this Training Package. </w:t>
            </w:r>
          </w:p>
          <w:p w:rsidR="00000000" w:rsidRPr="00DC47FE" w:rsidP="00DC47FE">
            <w:pPr>
              <w:pStyle w:val="BodyText"/>
            </w:pPr>
            <w:r w:rsidRPr="00DC47FE">
              <w:t>The Evidence Guide forms an integral part of this unit. It must be used in conjunction with all parts of the unit and performed in accord</w:t>
            </w:r>
            <w:r w:rsidRPr="00DC47FE">
              <w:t>ance with the Assessment Guidelines of this Training Package.</w:t>
            </w:r>
          </w:p>
        </w:tc>
      </w:tr>
    </w:tbl>
    <w:p w:rsidR="00000000" w:rsidRPr="00DC47FE" w:rsidP="00DC47FE">
      <w:pPr>
        <w:pStyle w:val="BodyText"/>
      </w:pPr>
    </w:p>
    <w:tbl>
      <w:tblPr>
        <w:tblW w:w="0" w:type="auto"/>
        <w:tblLayout w:type="fixed"/>
        <w:tblCellMar>
          <w:left w:w="62" w:type="dxa"/>
          <w:right w:w="62" w:type="dxa"/>
        </w:tblCellMar>
        <w:tblLook w:val="0000"/>
      </w:tblPr>
      <w:tblGrid>
        <w:gridCol w:w="1890"/>
        <w:gridCol w:w="6570"/>
      </w:tblGrid>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9.1)</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 xml:space="preserve">Longitudinal competency development approaches to assessment, such as Profiling, require data to be reliably gathered in a form that can be </w:t>
            </w:r>
            <w:r w:rsidRPr="00DC47FE">
              <w:t>consistently interpreted over time. This approach is best utilised in Apprenticeship programs and reduces assessment intervention. It is the industry-preferred model for apprenticeships. However, where summative (or final) assessment is used it is to inclu</w:t>
            </w:r>
            <w:r w:rsidRPr="00DC47FE">
              <w:t>de the application of the competency in the normal work environment or, at a minimum, the application of the competency in a realistically simulated work environment. It is recognised that, in some circumstances, assessment in part or full can occur outsid</w:t>
            </w:r>
            <w:r w:rsidRPr="00DC47FE">
              <w:t>e the workplace. However, it must be in accordance with industry and regulatory policy.</w:t>
            </w:r>
          </w:p>
          <w:p w:rsidR="00000000" w:rsidRPr="00DC47FE" w:rsidP="00DC47FE">
            <w:pPr>
              <w:pStyle w:val="BodyText"/>
            </w:pPr>
            <w:r w:rsidRPr="00DC47FE">
              <w:t>Methods chosen for a particular assessment will be influenced by various factors. These include the extent of the assessment, the most effective locations for the asses</w:t>
            </w:r>
            <w:r w:rsidRPr="00DC47FE">
              <w:t>sment activities to take place, access to physical resources, additional safety measures that may be required and the critical nature of the competencies being assessed.</w:t>
            </w:r>
          </w:p>
          <w:p w:rsidR="00000000" w:rsidRPr="00DC47FE" w:rsidP="00DC47FE">
            <w:pPr>
              <w:pStyle w:val="BodyText"/>
            </w:pPr>
            <w:r w:rsidRPr="00DC47FE">
              <w:t>The critical safety nature of working with electricity, electrical equipment, gas or a</w:t>
            </w:r>
            <w:r w:rsidRPr="00DC47FE">
              <w:t>ny other hazardous substance/material carries risk in deeming a person competent. Sources of evidence need to be ‘rich’ in nature to minimise error in judgment.</w:t>
            </w:r>
          </w:p>
          <w:p w:rsidR="00000000" w:rsidRPr="00DC47FE" w:rsidP="00DC47FE">
            <w:pPr>
              <w:pStyle w:val="BodyText"/>
            </w:pPr>
            <w:r w:rsidRPr="00DC47FE">
              <w:t>Activities associated with normal everyday work have a bearing on the decision as to how much a</w:t>
            </w:r>
            <w:r w:rsidRPr="00DC47FE">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DC47FE">
              <w:t>when choosing an assessment method and developing assessment instruments. Sample assessment instruments are included for Assessors in the Assessment Guidelines of this Training Package.</w:t>
            </w:r>
          </w:p>
        </w:tc>
      </w:tr>
    </w:tbl>
    <w:p w:rsidR="00000000" w:rsidRPr="00DC47FE" w:rsidP="00DC47FE">
      <w:pPr>
        <w:pStyle w:val="BodyText"/>
      </w:pPr>
    </w:p>
    <w:tbl>
      <w:tblPr>
        <w:tblW w:w="0" w:type="auto"/>
        <w:tblLayout w:type="fixed"/>
        <w:tblCellMar>
          <w:left w:w="62" w:type="dxa"/>
          <w:right w:w="62" w:type="dxa"/>
        </w:tblCellMar>
        <w:tblLook w:val="0000"/>
      </w:tblPr>
      <w:tblGrid>
        <w:gridCol w:w="1890"/>
        <w:gridCol w:w="1530"/>
        <w:gridCol w:w="5040"/>
      </w:tblGrid>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Critical aspects of evidence required to demonstrate competency in t</w:t>
            </w:r>
            <w:r w:rsidRPr="00DC47FE">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9.2)</w:t>
            </w:r>
          </w:p>
        </w:tc>
      </w:tr>
      <w:tr w:rsidTr="00CC6E1F">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Before the critical aspects of evidence are considered all prerequisites must be met.</w:t>
            </w:r>
          </w:p>
          <w:p w:rsidR="00000000" w:rsidRPr="00DC47FE" w:rsidP="00DC47FE">
            <w:pPr>
              <w:pStyle w:val="BodyText"/>
            </w:pPr>
            <w:r w:rsidRPr="00DC47FE">
              <w:t>Evidence for competence in this unit shall be considered holistically.  Each element and associated performance</w:t>
            </w:r>
            <w:r w:rsidRPr="00DC47FE">
              <w:t xml:space="preserve"> criteria shall be demonstrated on at least two occasions in accordance with the ‘Assessment Guidelines – UEE11’.  Evidence shall also comprise:</w:t>
            </w:r>
          </w:p>
          <w:p w:rsidR="00000000" w:rsidRPr="00DC47FE" w:rsidP="00DC47FE">
            <w:pPr>
              <w:pStyle w:val="ListBullet"/>
            </w:pPr>
            <w:r w:rsidRPr="00DC47FE">
              <w:t>A representative body of work performance demonstrated within the timeframes typically expected of the discipl</w:t>
            </w:r>
            <w:r w:rsidRPr="00DC47FE">
              <w:t>ine, work function and industrial environment. In particular this shall incorporate evidence that shows a candidate is able to:</w:t>
            </w:r>
          </w:p>
          <w:p w:rsidR="00000000" w:rsidRPr="00DC47FE" w:rsidP="00DC47FE">
            <w:pPr>
              <w:pStyle w:val="ListBullet2"/>
            </w:pPr>
            <w:r w:rsidRPr="00DC47FE">
              <w:t>Implement Occupational Health and Safety workplace procedures and practices, including the use of risk control measures as spec</w:t>
            </w:r>
            <w:r w:rsidRPr="00DC47FE">
              <w:t>ified in the performance criteria and range statement</w:t>
            </w:r>
          </w:p>
          <w:p w:rsidR="00000000" w:rsidRPr="00DC47FE" w:rsidP="00DC47FE">
            <w:pPr>
              <w:pStyle w:val="ListBullet2"/>
            </w:pPr>
            <w:r w:rsidRPr="00DC47FE">
              <w:t>Apply sustainable energy principles and practices as specified in the performance criteria and range statement</w:t>
            </w:r>
          </w:p>
          <w:p w:rsidR="00000000" w:rsidRPr="00DC47FE" w:rsidP="00DC47FE">
            <w:pPr>
              <w:pStyle w:val="ListBullet2"/>
            </w:pPr>
            <w:r w:rsidRPr="00DC47FE">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DC47FE" w:rsidP="00DC47FE">
            <w:pPr>
              <w:pStyle w:val="ListBullet2"/>
            </w:pPr>
            <w:r w:rsidRPr="00DC47FE">
              <w:t>Demo</w:t>
            </w:r>
            <w:r w:rsidRPr="00DC47FE">
              <w:t>nstrate an appropriate level of skills enabling employment</w:t>
            </w:r>
          </w:p>
          <w:p w:rsidR="00000000" w:rsidRPr="00DC47FE" w:rsidP="00DC47FE">
            <w:pPr>
              <w:pStyle w:val="ListBullet2"/>
            </w:pPr>
            <w:r w:rsidRPr="00DC47FE">
              <w:t>Conduct work observing the relevant Anti Discrimination legislation, regulations, polices and workplace procedures</w:t>
            </w:r>
          </w:p>
          <w:p w:rsidR="00000000" w:rsidRPr="00DC47FE" w:rsidP="00DC47FE">
            <w:pPr>
              <w:pStyle w:val="ListBullet"/>
            </w:pPr>
            <w:r w:rsidRPr="00DC47FE">
              <w:t>Demonstrated consistent performance across a representative range of contexts fro</w:t>
            </w:r>
            <w:r w:rsidRPr="00DC47FE">
              <w:t>m the prescribed items below:</w:t>
            </w:r>
          </w:p>
          <w:p w:rsidR="00000000" w:rsidP="00DC47FE">
            <w:pPr>
              <w:pStyle w:val="ListBullet2"/>
              <w:rPr>
                <w:lang w:val="en-NZ"/>
              </w:rPr>
            </w:pPr>
            <w:r w:rsidRPr="00DC47FE">
              <w:t>Develop engineering solutions to photonic problems as described in 8) and including:</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A</w:t>
            </w:r>
          </w:p>
        </w:tc>
        <w:tc>
          <w:tcPr>
            <w:tcW w:w="50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Understanding the extent of the photonic system problems.</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B</w:t>
            </w:r>
          </w:p>
        </w:tc>
        <w:tc>
          <w:tcPr>
            <w:tcW w:w="50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Forming effective strategies for solution development and implementation.</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C</w:t>
            </w:r>
          </w:p>
        </w:tc>
        <w:tc>
          <w:tcPr>
            <w:tcW w:w="50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Obtaining photonic system parameters, specifications and performance requirements appropriate to each problem.</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D</w:t>
            </w:r>
          </w:p>
        </w:tc>
        <w:tc>
          <w:tcPr>
            <w:tcW w:w="50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Testing and solutions to photonic system problems.</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E</w:t>
            </w:r>
          </w:p>
        </w:tc>
        <w:tc>
          <w:tcPr>
            <w:tcW w:w="50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Documenting instruction for implementation of sol</w:t>
            </w:r>
            <w:r w:rsidRPr="00DC47FE">
              <w:t>utions that incorporate risk control measure to be followed.</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F</w:t>
            </w:r>
          </w:p>
        </w:tc>
        <w:tc>
          <w:tcPr>
            <w:tcW w:w="50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Documenting justification of solutions implemented in accordance with professional standards.</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G</w:t>
            </w:r>
          </w:p>
        </w:tc>
        <w:tc>
          <w:tcPr>
            <w:tcW w:w="504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t>Dealing with unplanned events by drawing on essential knowledge and skills to provide appropr</w:t>
            </w:r>
            <w:r w:rsidRPr="00DC47FE">
              <w:t>iate solutions incorporated in a holistic assessment with the above listed items.</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 xml:space="preserve">Note: </w:t>
            </w:r>
            <w:r w:rsidRPr="00DC47FE">
              <w:br/>
              <w:t>Successful completion of relevant vendor training may be used to contribute to evidence on which competency is deemed. In these cases the alignment of outcomes of ve</w:t>
            </w:r>
            <w:r w:rsidRPr="00DC47FE">
              <w:t>ndor training with performance criteria and critical aspects of evidence shall be clearly identified.</w:t>
            </w:r>
          </w:p>
        </w:tc>
      </w:tr>
    </w:tbl>
    <w:p w:rsidR="00000000" w:rsidRPr="00DC47FE" w:rsidP="00DC47FE">
      <w:pPr>
        <w:pStyle w:val="BodyText"/>
      </w:pPr>
    </w:p>
    <w:tbl>
      <w:tblPr>
        <w:tblW w:w="0" w:type="auto"/>
        <w:tblLayout w:type="fixed"/>
        <w:tblCellMar>
          <w:left w:w="62" w:type="dxa"/>
          <w:right w:w="62" w:type="dxa"/>
        </w:tblCellMar>
        <w:tblLook w:val="0000"/>
      </w:tblPr>
      <w:tblGrid>
        <w:gridCol w:w="1890"/>
        <w:gridCol w:w="6570"/>
      </w:tblGrid>
      <w:tr w:rsidTr="00CC6E1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9.3)</w:t>
            </w:r>
          </w:p>
        </w:tc>
      </w:tr>
      <w:tr w:rsidTr="00CC6E1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This unit should be assessed as it relates to normal work practice using procedures, information and resources typical of a workplace. This should include:</w:t>
            </w:r>
          </w:p>
          <w:p w:rsidR="00000000" w:rsidRPr="00DC47FE" w:rsidP="00DC47FE">
            <w:pPr>
              <w:pStyle w:val="ListBullet"/>
            </w:pPr>
            <w:r w:rsidRPr="00DC47FE">
              <w:t>OHS policy and work procedures and instructions.</w:t>
            </w:r>
          </w:p>
          <w:p w:rsidR="00000000" w:rsidRPr="00DC47FE" w:rsidP="00DC47FE">
            <w:pPr>
              <w:pStyle w:val="ListBullet"/>
            </w:pPr>
            <w:r w:rsidRPr="00DC47FE">
              <w:t>Suitable work environment, facilities, equipment a</w:t>
            </w:r>
            <w:r w:rsidRPr="00DC47FE">
              <w:t>nd materials to undertake actual work as prescribed in this unit.</w:t>
            </w:r>
          </w:p>
          <w:p w:rsidR="00000000" w:rsidRPr="00DC47FE" w:rsidP="00DC47FE">
            <w:pPr>
              <w:pStyle w:val="BodyText"/>
            </w:pPr>
            <w:r w:rsidRPr="00DC47FE">
              <w:t>These should be used in the formal learning/assessment environment.</w:t>
            </w:r>
          </w:p>
          <w:p w:rsidR="00000000" w:rsidRPr="00DC47FE" w:rsidP="00DC47FE">
            <w:pPr>
              <w:pStyle w:val="BodyText"/>
            </w:pPr>
            <w:r w:rsidRPr="00DC47FE">
              <w:t>Note:</w:t>
            </w:r>
          </w:p>
          <w:p w:rsidR="00000000" w:rsidRPr="00DC47FE" w:rsidP="00DC47FE">
            <w:pPr>
              <w:pStyle w:val="BodyText"/>
            </w:pPr>
            <w:r w:rsidRPr="00DC47FE">
              <w:t>Where simulation is considered a suitable strategy for assessment, conditions for assessment must be authentic and as far as possible reproduce and replicate the workplace and be consistent with the approved industry simulation policy.</w:t>
            </w:r>
          </w:p>
          <w:p w:rsidR="00000000" w:rsidRPr="00DC47FE" w:rsidP="00DC47FE">
            <w:pPr>
              <w:pStyle w:val="BodyText"/>
            </w:pPr>
            <w:r w:rsidRPr="00DC47FE">
              <w:t>The resources used f</w:t>
            </w:r>
            <w:r w:rsidRPr="00DC47FE">
              <w:t>or assessment should reflect current industry practices in relation to developing engineering solutions to photonic problems.</w:t>
            </w:r>
          </w:p>
        </w:tc>
      </w:tr>
    </w:tbl>
    <w:p w:rsidR="00000000" w:rsidRPr="00DC47FE" w:rsidP="00DC47FE">
      <w:pPr>
        <w:pStyle w:val="BodyText"/>
      </w:pPr>
    </w:p>
    <w:tbl>
      <w:tblPr>
        <w:tblW w:w="0" w:type="auto"/>
        <w:tblLayout w:type="fixed"/>
        <w:tblCellMar>
          <w:left w:w="62" w:type="dxa"/>
          <w:right w:w="62" w:type="dxa"/>
        </w:tblCellMar>
        <w:tblLook w:val="0000"/>
      </w:tblPr>
      <w:tblGrid>
        <w:gridCol w:w="1890"/>
        <w:gridCol w:w="6570"/>
      </w:tblGrid>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9.4)</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This unit shall be assessed by methods given in Volume 1, Part 3 ‘Assessment Guidelines’.</w:t>
            </w:r>
          </w:p>
          <w:p w:rsidR="00000000" w:rsidRPr="00DC47FE" w:rsidP="00DC47FE">
            <w:pPr>
              <w:pStyle w:val="BodyText"/>
            </w:pPr>
            <w:r w:rsidRPr="00DC47FE">
              <w:t xml:space="preserve">Note: </w:t>
            </w:r>
          </w:p>
          <w:p w:rsidR="00000000" w:rsidRPr="00DC47FE" w:rsidP="00DC47FE">
            <w:pPr>
              <w:pStyle w:val="BodyText"/>
            </w:pPr>
            <w:r w:rsidRPr="00DC47FE">
              <w:t>Competent performance with inherent safe working practices is expected in the Industry to which this unit applies. This requires that the specified essential knowledge and associated skills are assessed in a structured environment which is primarily intend</w:t>
            </w:r>
            <w:r w:rsidRPr="00DC47FE">
              <w:t>ed for learning/assessment and incorporates all necessary equipment and facilities for learners to develop and demonstrate the essential knowledge and skills described in this unit.</w:t>
            </w:r>
          </w:p>
        </w:tc>
      </w:tr>
    </w:tbl>
    <w:p w:rsidR="00000000" w:rsidRPr="00DC47FE" w:rsidP="00DC47FE">
      <w:pPr>
        <w:pStyle w:val="BodyText"/>
      </w:pPr>
    </w:p>
    <w:tbl>
      <w:tblPr>
        <w:tblW w:w="0" w:type="auto"/>
        <w:tblLayout w:type="fixed"/>
        <w:tblCellMar>
          <w:left w:w="62" w:type="dxa"/>
          <w:right w:w="62" w:type="dxa"/>
        </w:tblCellMar>
        <w:tblLook w:val="0000"/>
      </w:tblPr>
      <w:tblGrid>
        <w:gridCol w:w="1890"/>
        <w:gridCol w:w="6570"/>
      </w:tblGrid>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9.5)</w:t>
            </w:r>
          </w:p>
        </w:tc>
      </w:tr>
      <w:tr w:rsidTr="00CC6E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There are</w:t>
            </w:r>
            <w:r w:rsidRPr="00DC47FE">
              <w:t xml:space="preserve"> no concurrent assessment recommendations for this unit.</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11" w:name="O_584451"/>
      <w:bookmarkEnd w:id="11"/>
      <w:r w:rsidRPr="00DC47FE">
        <w:t>Range Statement</w:t>
      </w:r>
    </w:p>
    <w:tbl>
      <w:tblPr>
        <w:tblW w:w="0" w:type="auto"/>
        <w:tblLayout w:type="fixed"/>
        <w:tblCellMar>
          <w:left w:w="62" w:type="dxa"/>
          <w:right w:w="62" w:type="dxa"/>
        </w:tblCellMar>
        <w:tblLook w:val="0000"/>
      </w:tblPr>
      <w:tblGrid>
        <w:gridCol w:w="8460"/>
      </w:tblGrid>
      <w:tr w:rsidTr="00CC6E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RANGE STATEMENT</w:t>
            </w:r>
          </w:p>
        </w:tc>
      </w:tr>
      <w:tr w:rsidTr="00CC6E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10)</w:t>
            </w:r>
            <w:r w:rsidRPr="00DC47FE">
              <w:t xml:space="preserve"> This relates to the unit as a whole providing the range of contexts and conditions to which the </w:t>
            </w:r>
            <w:r w:rsidRPr="00DC47FE">
              <w:t>performance criteria apply. It allows for different work environments and situations that will affect performance.</w:t>
            </w:r>
          </w:p>
          <w:p w:rsidR="00000000" w:rsidRPr="00DC47FE" w:rsidP="00DC47FE">
            <w:pPr>
              <w:pStyle w:val="BodyText"/>
            </w:pPr>
            <w:r w:rsidRPr="00DC47FE">
              <w:t>This unit shall be demonstrated in relation to developing engineering solution for at least four photonic system problems.</w:t>
            </w:r>
          </w:p>
          <w:p w:rsidR="00000000" w:rsidRPr="00DC47FE" w:rsidP="00DC47FE">
            <w:pPr>
              <w:pStyle w:val="BodyText"/>
            </w:pPr>
            <w:r w:rsidRPr="00DC47FE">
              <w:t>Note.</w:t>
            </w:r>
          </w:p>
          <w:p w:rsidR="00000000" w:rsidRPr="00DC47FE" w:rsidP="00DC47FE">
            <w:pPr>
              <w:pStyle w:val="BodyText"/>
            </w:pPr>
            <w:r w:rsidRPr="00DC47FE">
              <w:t>Typical phot</w:t>
            </w:r>
            <w:r w:rsidRPr="00DC47FE">
              <w:t>onic system problems are those encountered in meeting performance requirements and compliance standards, revising photonic operating parameters and dealing with photonic system malfunctions.</w:t>
            </w:r>
          </w:p>
          <w:p w:rsidR="00000000" w:rsidRPr="00DC47FE" w:rsidP="00DC47FE">
            <w:pPr>
              <w:pStyle w:val="BodyText"/>
            </w:pPr>
            <w:r w:rsidRPr="00DC47FE">
              <w:t>Generic terms used throughout this Vocational Standard shall be r</w:t>
            </w:r>
            <w:r w:rsidRPr="00DC47FE">
              <w:t>egarded as part of the Range Statement in which competency is demonstrated. The definition of these and other terms that apply are given in Section 1, Clause 1.4.</w:t>
            </w:r>
          </w:p>
        </w:tc>
      </w:tr>
    </w:tbl>
    <w:p w:rsidR="00000000" w:rsidRPr="00DC47FE" w:rsidP="00DC47FE">
      <w:pPr>
        <w:pStyle w:val="BodyText"/>
      </w:pPr>
    </w:p>
    <w:p w:rsidR="00000000" w:rsidRPr="00DC47FE" w:rsidP="00DC47FE">
      <w:pPr>
        <w:pStyle w:val="AllowPageBreak"/>
      </w:pPr>
    </w:p>
    <w:p w:rsidR="00000000" w:rsidRPr="00DC47FE" w:rsidP="00DC47FE">
      <w:pPr>
        <w:pStyle w:val="Heading1"/>
      </w:pPr>
      <w:bookmarkStart w:id="12" w:name="O_584450"/>
      <w:bookmarkEnd w:id="12"/>
      <w:r w:rsidRPr="00DC47FE">
        <w:t>Unit Sector(s)</w:t>
      </w:r>
    </w:p>
    <w:p w:rsidR="00000000" w:rsidRPr="00DC47FE" w:rsidP="00DC47FE">
      <w:pPr>
        <w:pStyle w:val="BodyText"/>
      </w:pPr>
      <w:r w:rsidRPr="00DC47FE">
        <w:t>Not applicable.</w:t>
      </w:r>
    </w:p>
    <w:p w:rsidR="00000000" w:rsidRPr="00DC47FE" w:rsidP="00DC47FE">
      <w:pPr>
        <w:pStyle w:val="AllowPageBreak"/>
      </w:pPr>
    </w:p>
    <w:p w:rsidR="00000000" w:rsidRPr="00DC47FE" w:rsidP="00DC47FE">
      <w:pPr>
        <w:pStyle w:val="Heading1"/>
      </w:pPr>
      <w:bookmarkStart w:id="13" w:name="O_584449"/>
      <w:bookmarkEnd w:id="13"/>
      <w:r w:rsidRPr="00DC47FE">
        <w:t>Competency Field</w:t>
      </w:r>
    </w:p>
    <w:tbl>
      <w:tblPr>
        <w:tblW w:w="0" w:type="auto"/>
        <w:tblLayout w:type="fixed"/>
        <w:tblCellMar>
          <w:left w:w="62" w:type="dxa"/>
          <w:right w:w="62" w:type="dxa"/>
        </w:tblCellMar>
        <w:tblLook w:val="0000"/>
      </w:tblPr>
      <w:tblGrid>
        <w:gridCol w:w="2700"/>
        <w:gridCol w:w="5760"/>
      </w:tblGrid>
      <w:tr w:rsidTr="00CC6E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rPr>
                <w:rStyle w:val="SpecialBold"/>
              </w:rPr>
              <w:t>Competenc</w:t>
            </w:r>
            <w:r w:rsidRPr="00DC47FE">
              <w:rPr>
                <w:rStyle w:val="SpecialBold"/>
              </w:rPr>
              <w:t>y Field</w:t>
            </w:r>
          </w:p>
        </w:tc>
        <w:tc>
          <w:tcPr>
            <w:tcW w:w="5760" w:type="dxa"/>
            <w:tcBorders>
              <w:top w:val="nil"/>
              <w:left w:val="nil"/>
              <w:bottom w:val="nil"/>
              <w:right w:val="nil"/>
            </w:tcBorders>
            <w:tcMar>
              <w:top w:w="0" w:type="dxa"/>
              <w:left w:w="62" w:type="dxa"/>
              <w:bottom w:w="0" w:type="dxa"/>
              <w:right w:w="62" w:type="dxa"/>
            </w:tcMar>
          </w:tcPr>
          <w:p w:rsidR="00000000" w:rsidP="00DC47FE">
            <w:pPr>
              <w:pStyle w:val="BodyText"/>
              <w:rPr>
                <w:lang w:val="en-NZ"/>
              </w:rPr>
            </w:pPr>
            <w:r w:rsidRPr="00DC47FE">
              <w:rPr>
                <w:rStyle w:val="SpecialBold"/>
              </w:rPr>
              <w:t xml:space="preserve">11) </w:t>
            </w:r>
          </w:p>
        </w:tc>
      </w:tr>
      <w:tr w:rsidTr="00CC6E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47FE" w:rsidP="00DC47FE">
            <w:pPr>
              <w:pStyle w:val="BodyText"/>
            </w:pPr>
            <w:r w:rsidRPr="00DC47FE">
              <w:t>Electrotechnology</w:t>
            </w:r>
          </w:p>
        </w:tc>
      </w:tr>
    </w:tbl>
    <w:p w:rsidR="00000000" w:rsidRPr="00DC47FE" w:rsidP="00DC47FE">
      <w:pPr>
        <w:pStyle w:val="BodyText"/>
      </w:pPr>
    </w:p>
    <w:p w:rsidR="00000000" w:rsidRPr="00DC47FE" w:rsidP="00DC47FE"/>
    <w:sectPr w:rsidSect="00DC47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E" w:rsidRPr="00CC6E1F" w:rsidP="00CC6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1F" w:rsidP="00DC4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C6E1F" w:rsidP="00DC47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C6E1F" w:rsidP="00DC4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E" w:rsidRPr="00CC6E1F" w:rsidP="00CC6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1F" w:rsidRPr="002D2AF8" w:rsidP="00DC47FE">
    <w:pPr>
      <w:pStyle w:val="Header"/>
      <w:framePr w:wrap="around"/>
    </w:pPr>
    <w:r>
      <w:fldChar w:fldCharType="begin"/>
    </w:r>
    <w:r>
      <w:instrText xml:space="preserve"> TITLE   \* MERGEFORMAT </w:instrText>
    </w:r>
    <w:r>
      <w:fldChar w:fldCharType="separate"/>
    </w:r>
    <w:r>
      <w:t>UEENEEE128A Develop engineering solutions to photonic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C6E1F" w:rsidP="00DC4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8D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0A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3CD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7FE"/>
    <w:pPr>
      <w:spacing w:before="360" w:after="60"/>
      <w:outlineLvl w:val="0"/>
    </w:pPr>
    <w:rPr>
      <w:sz w:val="32"/>
    </w:rPr>
  </w:style>
  <w:style w:type="paragraph" w:styleId="Heading2">
    <w:name w:val="heading 2"/>
    <w:basedOn w:val="HeadingBase"/>
    <w:next w:val="BodyText"/>
    <w:link w:val="Heading2Char"/>
    <w:qFormat/>
    <w:rsid w:val="00DC47FE"/>
    <w:pPr>
      <w:keepLines/>
      <w:spacing w:before="240" w:after="120"/>
      <w:outlineLvl w:val="1"/>
    </w:pPr>
    <w:rPr>
      <w:sz w:val="28"/>
      <w:szCs w:val="40"/>
    </w:rPr>
  </w:style>
  <w:style w:type="paragraph" w:styleId="Heading3">
    <w:name w:val="heading 3"/>
    <w:basedOn w:val="HeadingBase"/>
    <w:next w:val="BodyText"/>
    <w:link w:val="Heading3Char"/>
    <w:qFormat/>
    <w:rsid w:val="00DC47FE"/>
    <w:pPr>
      <w:spacing w:before="180" w:after="120"/>
      <w:outlineLvl w:val="2"/>
    </w:pPr>
    <w:rPr>
      <w:spacing w:val="-10"/>
      <w:kern w:val="32"/>
    </w:rPr>
  </w:style>
  <w:style w:type="paragraph" w:styleId="Heading4">
    <w:name w:val="heading 4"/>
    <w:basedOn w:val="HeadingBase"/>
    <w:next w:val="BodyText"/>
    <w:link w:val="Heading4Char"/>
    <w:qFormat/>
    <w:rsid w:val="00DC47FE"/>
    <w:pPr>
      <w:spacing w:before="160" w:after="120"/>
      <w:outlineLvl w:val="3"/>
    </w:pPr>
    <w:rPr>
      <w:sz w:val="22"/>
    </w:rPr>
  </w:style>
  <w:style w:type="paragraph" w:styleId="Heading5">
    <w:name w:val="heading 5"/>
    <w:basedOn w:val="HeadingBase"/>
    <w:next w:val="Normal"/>
    <w:link w:val="Heading5Char"/>
    <w:qFormat/>
    <w:rsid w:val="00DC47FE"/>
    <w:pPr>
      <w:spacing w:before="80"/>
      <w:outlineLvl w:val="4"/>
    </w:pPr>
    <w:rPr>
      <w:color w:val="918585"/>
      <w:sz w:val="20"/>
    </w:rPr>
  </w:style>
  <w:style w:type="paragraph" w:styleId="Heading6">
    <w:name w:val="heading 6"/>
    <w:basedOn w:val="HeadingBase"/>
    <w:next w:val="Normal"/>
    <w:link w:val="Heading6Char"/>
    <w:qFormat/>
    <w:rsid w:val="00DC47FE"/>
    <w:pPr>
      <w:spacing w:before="60"/>
      <w:outlineLvl w:val="5"/>
    </w:pPr>
    <w:rPr>
      <w:color w:val="918585"/>
      <w:sz w:val="20"/>
    </w:rPr>
  </w:style>
  <w:style w:type="paragraph" w:styleId="Heading7">
    <w:name w:val="heading 7"/>
    <w:basedOn w:val="Normal"/>
    <w:next w:val="Normal"/>
    <w:link w:val="Heading7Char"/>
    <w:qFormat/>
    <w:rsid w:val="00DC47FE"/>
    <w:pPr>
      <w:ind w:left="720"/>
      <w:outlineLvl w:val="6"/>
    </w:pPr>
    <w:rPr>
      <w:i/>
    </w:rPr>
  </w:style>
  <w:style w:type="paragraph" w:styleId="Heading8">
    <w:name w:val="heading 8"/>
    <w:basedOn w:val="Normal"/>
    <w:next w:val="Normal"/>
    <w:link w:val="Heading8Char"/>
    <w:qFormat/>
    <w:rsid w:val="00DC47FE"/>
    <w:pPr>
      <w:ind w:left="720"/>
      <w:outlineLvl w:val="7"/>
    </w:pPr>
    <w:rPr>
      <w:i/>
    </w:rPr>
  </w:style>
  <w:style w:type="paragraph" w:styleId="Heading9">
    <w:name w:val="heading 9"/>
    <w:basedOn w:val="Normal"/>
    <w:next w:val="Normal"/>
    <w:link w:val="Heading9Char"/>
    <w:qFormat/>
    <w:rsid w:val="00DC47FE"/>
    <w:pPr>
      <w:ind w:left="720"/>
      <w:outlineLvl w:val="8"/>
    </w:pPr>
    <w:rPr>
      <w:i/>
    </w:rPr>
  </w:style>
  <w:style w:type="character" w:default="1" w:styleId="DefaultParagraphFont">
    <w:name w:val="Default Paragraph Font"/>
    <w:uiPriority w:val="1"/>
    <w:unhideWhenUsed/>
    <w:rsid w:val="00DC4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7FE"/>
  </w:style>
  <w:style w:type="character" w:customStyle="1" w:styleId="Heading1Char">
    <w:name w:val="Heading 1 Char"/>
    <w:basedOn w:val="DefaultParagraphFont"/>
    <w:link w:val="Heading1"/>
    <w:rsid w:val="00DC47FE"/>
    <w:rPr>
      <w:rFonts w:ascii="Times New Roman" w:eastAsia="Times New Roman" w:hAnsi="Times New Roman" w:cs="Times New Roman"/>
      <w:b/>
      <w:sz w:val="32"/>
      <w:szCs w:val="20"/>
      <w:lang w:eastAsia="en-US"/>
    </w:rPr>
  </w:style>
  <w:style w:type="paragraph" w:styleId="BodyText">
    <w:name w:val="Body Text"/>
    <w:basedOn w:val="Normal"/>
    <w:link w:val="BodyTextChar"/>
    <w:rsid w:val="00DC47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7FE"/>
    <w:rPr>
      <w:rFonts w:ascii="Times New Roman" w:eastAsia="Times New Roman" w:hAnsi="Times New Roman" w:cs="Times New Roman"/>
      <w:sz w:val="24"/>
      <w:lang w:eastAsia="en-US"/>
    </w:rPr>
  </w:style>
  <w:style w:type="paragraph" w:styleId="ListBullet">
    <w:name w:val="List Bullet"/>
    <w:basedOn w:val="List"/>
    <w:rsid w:val="00DC47FE"/>
    <w:pPr>
      <w:numPr>
        <w:numId w:val="13"/>
      </w:numPr>
      <w:tabs>
        <w:tab w:val="clear" w:pos="340"/>
      </w:tabs>
      <w:spacing w:before="40" w:after="40"/>
    </w:pPr>
  </w:style>
  <w:style w:type="character" w:customStyle="1" w:styleId="SpecialBold">
    <w:name w:val="Special Bold"/>
    <w:basedOn w:val="DefaultParagraphFont"/>
    <w:rsid w:val="00DC47FE"/>
    <w:rPr>
      <w:b/>
      <w:spacing w:val="0"/>
    </w:rPr>
  </w:style>
  <w:style w:type="paragraph" w:styleId="ListBullet2">
    <w:name w:val="List Bullet 2"/>
    <w:basedOn w:val="List2"/>
    <w:rsid w:val="00DC47FE"/>
    <w:pPr>
      <w:numPr>
        <w:numId w:val="14"/>
      </w:numPr>
      <w:tabs>
        <w:tab w:val="clear" w:pos="680"/>
      </w:tabs>
    </w:pPr>
  </w:style>
  <w:style w:type="paragraph" w:customStyle="1" w:styleId="SuperHeading">
    <w:name w:val="SuperHeading"/>
    <w:basedOn w:val="Normal"/>
    <w:rsid w:val="00DC47FE"/>
    <w:pPr>
      <w:spacing w:before="240" w:after="120"/>
      <w:outlineLvl w:val="0"/>
    </w:pPr>
    <w:rPr>
      <w:rFonts w:ascii="Times New Roman" w:hAnsi="Times New Roman"/>
      <w:b/>
      <w:sz w:val="32"/>
    </w:rPr>
  </w:style>
  <w:style w:type="paragraph" w:customStyle="1" w:styleId="AllowPageBreak">
    <w:name w:val="AllowPageBreak"/>
    <w:rsid w:val="00DC4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7FE"/>
    <w:rPr>
      <w:rFonts w:ascii="Courier New" w:eastAsia="Times New Roman" w:hAnsi="Courier New" w:cs="Times New Roman"/>
      <w:i/>
      <w:szCs w:val="20"/>
      <w:lang w:eastAsia="en-US"/>
    </w:rPr>
  </w:style>
  <w:style w:type="paragraph" w:customStyle="1" w:styleId="HeadingBase">
    <w:name w:val="Heading Base"/>
    <w:rsid w:val="00DC4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7FE"/>
    <w:pPr>
      <w:tabs>
        <w:tab w:val="right" w:leader="dot" w:pos="9072"/>
      </w:tabs>
      <w:ind w:left="567"/>
    </w:pPr>
    <w:rPr>
      <w:szCs w:val="22"/>
    </w:rPr>
  </w:style>
  <w:style w:type="paragraph" w:customStyle="1" w:styleId="TOCBase">
    <w:name w:val="TOC Base"/>
    <w:rsid w:val="00DC4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7FE"/>
    <w:pPr>
      <w:tabs>
        <w:tab w:val="right" w:leader="dot" w:pos="9072"/>
      </w:tabs>
      <w:spacing w:before="40" w:after="40"/>
      <w:ind w:left="284"/>
    </w:pPr>
    <w:rPr>
      <w:rFonts w:ascii="Times New Roman" w:hAnsi="Times New Roman"/>
    </w:rPr>
  </w:style>
  <w:style w:type="paragraph" w:styleId="TOC1">
    <w:name w:val="toc 1"/>
    <w:basedOn w:val="TOCBase"/>
    <w:next w:val="Normal"/>
    <w:rsid w:val="00DC4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7FE"/>
    <w:rPr>
      <w:rFonts w:ascii="Times New Roman" w:eastAsia="Times New Roman" w:hAnsi="Times New Roman" w:cs="Times New Roman"/>
      <w:sz w:val="16"/>
      <w:lang w:eastAsia="en-US"/>
    </w:rPr>
  </w:style>
  <w:style w:type="paragraph" w:styleId="Title">
    <w:name w:val="Title"/>
    <w:basedOn w:val="HeadingBase"/>
    <w:link w:val="TitleChar"/>
    <w:qFormat/>
    <w:rsid w:val="00DC47FE"/>
    <w:pPr>
      <w:spacing w:before="5040"/>
      <w:jc w:val="center"/>
    </w:pPr>
    <w:rPr>
      <w:sz w:val="48"/>
      <w:szCs w:val="72"/>
      <w:lang w:val="en-US"/>
    </w:rPr>
  </w:style>
  <w:style w:type="character" w:customStyle="1" w:styleId="TitleChar">
    <w:name w:val="Title Char"/>
    <w:basedOn w:val="DefaultParagraphFont"/>
    <w:link w:val="Title"/>
    <w:rsid w:val="00DC4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7FE"/>
    <w:pPr>
      <w:tabs>
        <w:tab w:val="left" w:pos="3600"/>
        <w:tab w:val="left" w:pos="3958"/>
      </w:tabs>
    </w:pPr>
  </w:style>
  <w:style w:type="paragraph" w:styleId="List">
    <w:name w:val="List"/>
    <w:basedOn w:val="BodyText"/>
    <w:next w:val="BodyText"/>
    <w:rsid w:val="00DC47FE"/>
    <w:pPr>
      <w:tabs>
        <w:tab w:val="left" w:pos="340"/>
      </w:tabs>
      <w:spacing w:before="60" w:after="60"/>
      <w:ind w:left="340" w:hanging="340"/>
    </w:pPr>
  </w:style>
  <w:style w:type="paragraph" w:customStyle="1" w:styleId="Note">
    <w:name w:val="Note"/>
    <w:basedOn w:val="BodyText"/>
    <w:rsid w:val="00DC4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7FE"/>
    <w:pPr>
      <w:framePr w:wrap="auto" w:hAnchor="text" w:y="6049"/>
    </w:pPr>
    <w:rPr>
      <w:color w:val="000000"/>
      <w:sz w:val="40"/>
    </w:rPr>
  </w:style>
  <w:style w:type="paragraph" w:customStyle="1" w:styleId="TOCTitle">
    <w:name w:val="TOCTitle"/>
    <w:basedOn w:val="Heading1"/>
    <w:rsid w:val="00DC47FE"/>
    <w:pPr>
      <w:spacing w:after="240"/>
      <w:jc w:val="center"/>
      <w:outlineLvl w:val="9"/>
    </w:pPr>
    <w:rPr>
      <w:caps/>
    </w:rPr>
  </w:style>
  <w:style w:type="paragraph" w:customStyle="1" w:styleId="Version">
    <w:name w:val="Version"/>
    <w:rsid w:val="00DC4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7FE"/>
    <w:pPr>
      <w:keepNext w:val="0"/>
      <w:tabs>
        <w:tab w:val="right" w:pos="4176"/>
      </w:tabs>
      <w:ind w:left="198" w:hanging="198"/>
    </w:pPr>
    <w:rPr>
      <w:rFonts w:ascii="Garamond" w:hAnsi="Garamond"/>
    </w:rPr>
  </w:style>
  <w:style w:type="paragraph" w:styleId="IndexHeading">
    <w:name w:val="index heading"/>
    <w:basedOn w:val="Normal"/>
    <w:next w:val="Index1"/>
    <w:semiHidden/>
    <w:rsid w:val="00DC47FE"/>
    <w:pPr>
      <w:spacing w:before="120" w:after="120"/>
    </w:pPr>
    <w:rPr>
      <w:rFonts w:ascii="Arial" w:hAnsi="Arial"/>
      <w:b/>
      <w:color w:val="918585"/>
      <w:sz w:val="24"/>
    </w:rPr>
  </w:style>
  <w:style w:type="paragraph" w:styleId="Header">
    <w:name w:val="header"/>
    <w:basedOn w:val="Normal"/>
    <w:link w:val="HeaderChar"/>
    <w:rsid w:val="00DC4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7FE"/>
    <w:rPr>
      <w:rFonts w:ascii="Times New Roman" w:eastAsia="Times New Roman" w:hAnsi="Times New Roman" w:cs="Times New Roman"/>
      <w:sz w:val="16"/>
      <w:szCs w:val="20"/>
      <w:lang w:val="en-GB" w:eastAsia="en-US"/>
    </w:rPr>
  </w:style>
  <w:style w:type="paragraph" w:customStyle="1" w:styleId="Chapter">
    <w:name w:val="Chapter"/>
    <w:basedOn w:val="Normal"/>
    <w:rsid w:val="00DC47FE"/>
    <w:pPr>
      <w:spacing w:before="240"/>
    </w:pPr>
    <w:rPr>
      <w:rFonts w:ascii="Times New Roman" w:hAnsi="Times New Roman"/>
      <w:smallCaps/>
      <w:spacing w:val="80"/>
      <w:sz w:val="28"/>
    </w:rPr>
  </w:style>
  <w:style w:type="paragraph" w:customStyle="1" w:styleId="InChapter">
    <w:name w:val="InChapter"/>
    <w:basedOn w:val="Heading3"/>
    <w:rsid w:val="00DC47FE"/>
    <w:pPr>
      <w:spacing w:after="240"/>
      <w:outlineLvl w:val="9"/>
    </w:pPr>
    <w:rPr>
      <w:noProof/>
    </w:rPr>
  </w:style>
  <w:style w:type="paragraph" w:styleId="Index2">
    <w:name w:val="index 2"/>
    <w:basedOn w:val="Normal"/>
    <w:next w:val="Normal"/>
    <w:semiHidden/>
    <w:rsid w:val="00DC47FE"/>
    <w:pPr>
      <w:tabs>
        <w:tab w:val="right" w:pos="4176"/>
      </w:tabs>
      <w:ind w:left="568" w:hanging="284"/>
    </w:pPr>
    <w:rPr>
      <w:rFonts w:ascii="Garamond" w:hAnsi="Garamond"/>
    </w:rPr>
  </w:style>
  <w:style w:type="paragraph" w:customStyle="1" w:styleId="Byline">
    <w:name w:val="Byline"/>
    <w:rsid w:val="00DC4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7FE"/>
    <w:pPr>
      <w:tabs>
        <w:tab w:val="clear" w:pos="3600"/>
        <w:tab w:val="clear" w:pos="3958"/>
      </w:tabs>
      <w:jc w:val="right"/>
    </w:pPr>
  </w:style>
  <w:style w:type="character" w:styleId="Emphasis">
    <w:name w:val="Emphasis"/>
    <w:basedOn w:val="DefaultParagraphFont"/>
    <w:qFormat/>
    <w:rsid w:val="00DC47FE"/>
    <w:rPr>
      <w:i/>
    </w:rPr>
  </w:style>
  <w:style w:type="paragraph" w:styleId="Caption">
    <w:name w:val="caption"/>
    <w:basedOn w:val="BodyText"/>
    <w:next w:val="Normal"/>
    <w:qFormat/>
    <w:rsid w:val="00DC47FE"/>
    <w:pPr>
      <w:framePr w:w="2268" w:hSpace="181" w:vSpace="181" w:wrap="around" w:vAnchor="text" w:hAnchor="page" w:x="1135" w:y="285" w:anchorLock="1"/>
    </w:pPr>
    <w:rPr>
      <w:i/>
    </w:rPr>
  </w:style>
  <w:style w:type="paragraph" w:customStyle="1" w:styleId="MiniTOCTitle">
    <w:name w:val="MiniTOCTitle"/>
    <w:basedOn w:val="Heading4"/>
    <w:rsid w:val="00DC47FE"/>
    <w:pPr>
      <w:spacing w:before="240"/>
      <w:outlineLvl w:val="9"/>
    </w:pPr>
    <w:rPr>
      <w:noProof/>
      <w:sz w:val="24"/>
    </w:rPr>
  </w:style>
  <w:style w:type="paragraph" w:customStyle="1" w:styleId="MiniTOCItem">
    <w:name w:val="MiniTOCItem"/>
    <w:basedOn w:val="ListBullet"/>
    <w:rsid w:val="00DC47FE"/>
    <w:pPr>
      <w:numPr>
        <w:numId w:val="0"/>
      </w:numPr>
      <w:tabs>
        <w:tab w:val="right" w:leader="dot" w:pos="6521"/>
      </w:tabs>
      <w:spacing w:before="0" w:after="0"/>
    </w:pPr>
  </w:style>
  <w:style w:type="paragraph" w:customStyle="1" w:styleId="TOFTitle">
    <w:name w:val="TOFTitle"/>
    <w:basedOn w:val="TOCTitle"/>
    <w:rsid w:val="00DC47FE"/>
  </w:style>
  <w:style w:type="paragraph" w:styleId="TableofFigures">
    <w:name w:val="table of figures"/>
    <w:basedOn w:val="Normal"/>
    <w:next w:val="Normal"/>
    <w:semiHidden/>
    <w:rsid w:val="00DC47FE"/>
    <w:pPr>
      <w:tabs>
        <w:tab w:val="right" w:leader="dot" w:pos="9072"/>
      </w:tabs>
      <w:ind w:left="970" w:hanging="403"/>
    </w:pPr>
    <w:rPr>
      <w:rFonts w:ascii="Times New Roman" w:hAnsi="Times New Roman"/>
      <w:b/>
    </w:rPr>
  </w:style>
  <w:style w:type="paragraph" w:styleId="ListNumber">
    <w:name w:val="List Number"/>
    <w:basedOn w:val="List"/>
    <w:rsid w:val="00DC47FE"/>
    <w:pPr>
      <w:numPr>
        <w:numId w:val="11"/>
      </w:numPr>
    </w:pPr>
  </w:style>
  <w:style w:type="character" w:customStyle="1" w:styleId="WingdingSymbols">
    <w:name w:val="Wingding Symbols"/>
    <w:rsid w:val="00DC47FE"/>
    <w:rPr>
      <w:rFonts w:ascii="Wingdings" w:hAnsi="Wingdings"/>
    </w:rPr>
  </w:style>
  <w:style w:type="paragraph" w:customStyle="1" w:styleId="TableHeading">
    <w:name w:val="Table Heading"/>
    <w:basedOn w:val="HeadingBase"/>
    <w:rsid w:val="00DC47FE"/>
    <w:pPr>
      <w:keepLines/>
      <w:pBdr>
        <w:bottom w:val="single" w:sz="6" w:space="1" w:color="918585"/>
      </w:pBdr>
      <w:spacing w:before="240"/>
    </w:pPr>
  </w:style>
  <w:style w:type="character" w:customStyle="1" w:styleId="HotSpot">
    <w:name w:val="HotSpot"/>
    <w:rsid w:val="00DC47FE"/>
    <w:rPr>
      <w:color w:val="0033CC"/>
      <w:u w:val="none"/>
    </w:rPr>
  </w:style>
  <w:style w:type="paragraph" w:customStyle="1" w:styleId="BodyTextRight">
    <w:name w:val="Body Text Right"/>
    <w:basedOn w:val="BodyText"/>
    <w:rsid w:val="00DC47FE"/>
    <w:pPr>
      <w:spacing w:before="0" w:after="0"/>
      <w:jc w:val="right"/>
    </w:pPr>
  </w:style>
  <w:style w:type="paragraph" w:styleId="Index3">
    <w:name w:val="index 3"/>
    <w:basedOn w:val="ListNumber2"/>
    <w:next w:val="Normal"/>
    <w:semiHidden/>
    <w:rsid w:val="00DC47FE"/>
    <w:pPr>
      <w:numPr>
        <w:numId w:val="0"/>
      </w:numPr>
      <w:tabs>
        <w:tab w:val="right" w:leader="dot" w:pos="4176"/>
      </w:tabs>
    </w:pPr>
  </w:style>
  <w:style w:type="paragraph" w:styleId="ListNumber2">
    <w:name w:val="List Number 2"/>
    <w:basedOn w:val="List2"/>
    <w:rsid w:val="00DC47FE"/>
    <w:pPr>
      <w:numPr>
        <w:numId w:val="10"/>
      </w:numPr>
      <w:tabs>
        <w:tab w:val="clear" w:pos="1060"/>
      </w:tabs>
    </w:pPr>
  </w:style>
  <w:style w:type="paragraph" w:customStyle="1" w:styleId="MarginNote">
    <w:name w:val="Margin Note"/>
    <w:basedOn w:val="BodyText"/>
    <w:rsid w:val="00DC4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7FE"/>
    <w:rPr>
      <w:sz w:val="32"/>
    </w:rPr>
  </w:style>
  <w:style w:type="paragraph" w:customStyle="1" w:styleId="HeadingProcedure">
    <w:name w:val="Heading Procedure"/>
    <w:basedOn w:val="HeadingBase"/>
    <w:next w:val="Normal"/>
    <w:rsid w:val="00DC47FE"/>
    <w:pPr>
      <w:tabs>
        <w:tab w:val="left" w:pos="0"/>
      </w:tabs>
      <w:spacing w:before="120" w:after="60"/>
    </w:pPr>
    <w:rPr>
      <w:i/>
      <w:color w:val="918585"/>
      <w:sz w:val="22"/>
    </w:rPr>
  </w:style>
  <w:style w:type="paragraph" w:customStyle="1" w:styleId="TableBodyText">
    <w:name w:val="Table Body Text"/>
    <w:basedOn w:val="BodyText"/>
    <w:rsid w:val="00DC47FE"/>
    <w:pPr>
      <w:spacing w:before="60" w:after="60"/>
    </w:pPr>
  </w:style>
  <w:style w:type="paragraph" w:styleId="ListContinue">
    <w:name w:val="List Continue"/>
    <w:basedOn w:val="List"/>
    <w:rsid w:val="00DC47FE"/>
    <w:pPr>
      <w:ind w:firstLine="0"/>
    </w:pPr>
  </w:style>
  <w:style w:type="paragraph" w:customStyle="1" w:styleId="ListNote">
    <w:name w:val="List Note"/>
    <w:basedOn w:val="List"/>
    <w:rsid w:val="00DC47FE"/>
    <w:pPr>
      <w:pBdr>
        <w:top w:val="single" w:sz="6" w:space="2" w:color="918585"/>
        <w:bottom w:val="single" w:sz="6" w:space="2" w:color="918585"/>
      </w:pBdr>
      <w:tabs>
        <w:tab w:val="left" w:pos="1021"/>
      </w:tabs>
      <w:ind w:firstLine="0"/>
    </w:pPr>
  </w:style>
  <w:style w:type="paragraph" w:customStyle="1" w:styleId="Warning">
    <w:name w:val="Warning"/>
    <w:basedOn w:val="BodyText"/>
    <w:rsid w:val="00DC47FE"/>
    <w:pPr>
      <w:shd w:val="clear" w:color="auto" w:fill="D9D9D9"/>
      <w:tabs>
        <w:tab w:val="left" w:pos="992"/>
      </w:tabs>
      <w:ind w:left="119" w:right="119"/>
    </w:pPr>
    <w:rPr>
      <w:sz w:val="20"/>
    </w:rPr>
  </w:style>
  <w:style w:type="paragraph" w:customStyle="1" w:styleId="MarginIcons">
    <w:name w:val="Margin Icons"/>
    <w:basedOn w:val="BodyText"/>
    <w:rsid w:val="00DC4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7FE"/>
    <w:rPr>
      <w:rFonts w:ascii="Courier New" w:hAnsi="Courier New"/>
    </w:rPr>
  </w:style>
  <w:style w:type="paragraph" w:customStyle="1" w:styleId="NoteBullet">
    <w:name w:val="Note Bullet"/>
    <w:basedOn w:val="Note"/>
    <w:rsid w:val="00DC47FE"/>
    <w:pPr>
      <w:tabs>
        <w:tab w:val="clear" w:pos="680"/>
      </w:tabs>
      <w:spacing w:before="60" w:after="60"/>
    </w:pPr>
  </w:style>
  <w:style w:type="paragraph" w:customStyle="1" w:styleId="SubHeading2">
    <w:name w:val="SubHeading2"/>
    <w:basedOn w:val="HeadingBase"/>
    <w:rsid w:val="00DC47FE"/>
    <w:pPr>
      <w:spacing w:before="240" w:after="60"/>
    </w:pPr>
    <w:rPr>
      <w:sz w:val="20"/>
    </w:rPr>
  </w:style>
  <w:style w:type="paragraph" w:customStyle="1" w:styleId="SubHeading1">
    <w:name w:val="SubHeading1"/>
    <w:basedOn w:val="HeadingBase"/>
    <w:rsid w:val="00DC47FE"/>
    <w:pPr>
      <w:spacing w:before="240" w:after="60"/>
    </w:pPr>
    <w:rPr>
      <w:color w:val="918585"/>
      <w:sz w:val="22"/>
    </w:rPr>
  </w:style>
  <w:style w:type="paragraph" w:customStyle="1" w:styleId="SideHeading">
    <w:name w:val="Side Heading"/>
    <w:basedOn w:val="HeadingBase"/>
    <w:rsid w:val="00DC4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7FE"/>
    <w:pPr>
      <w:numPr>
        <w:numId w:val="12"/>
      </w:numPr>
    </w:pPr>
  </w:style>
  <w:style w:type="paragraph" w:styleId="PlainText">
    <w:name w:val="Plain Text"/>
    <w:basedOn w:val="Normal"/>
    <w:link w:val="PlainTextChar"/>
    <w:rsid w:val="00DC47FE"/>
    <w:rPr>
      <w:sz w:val="20"/>
    </w:rPr>
  </w:style>
  <w:style w:type="character" w:customStyle="1" w:styleId="PlainTextChar">
    <w:name w:val="Plain Text Char"/>
    <w:basedOn w:val="DefaultParagraphFont"/>
    <w:link w:val="PlainText"/>
    <w:rsid w:val="00DC47FE"/>
    <w:rPr>
      <w:rFonts w:ascii="Courier New" w:eastAsia="Times New Roman" w:hAnsi="Courier New" w:cs="Times New Roman"/>
      <w:sz w:val="20"/>
      <w:szCs w:val="20"/>
      <w:lang w:eastAsia="en-US"/>
    </w:rPr>
  </w:style>
  <w:style w:type="character" w:customStyle="1" w:styleId="MenuOption">
    <w:name w:val="Menu Option"/>
    <w:basedOn w:val="DefaultParagraphFont"/>
    <w:rsid w:val="00DC47FE"/>
    <w:rPr>
      <w:b/>
      <w:smallCaps/>
    </w:rPr>
  </w:style>
  <w:style w:type="paragraph" w:customStyle="1" w:styleId="TableListNumber">
    <w:name w:val="Table List Number"/>
    <w:basedOn w:val="ListNumber"/>
    <w:rsid w:val="00DC47FE"/>
    <w:pPr>
      <w:numPr>
        <w:numId w:val="0"/>
      </w:numPr>
    </w:pPr>
  </w:style>
  <w:style w:type="paragraph" w:styleId="TOC4">
    <w:name w:val="toc 4"/>
    <w:basedOn w:val="TOCBase"/>
    <w:next w:val="Normal"/>
    <w:semiHidden/>
    <w:rsid w:val="00DC47FE"/>
    <w:pPr>
      <w:tabs>
        <w:tab w:val="right" w:leader="dot" w:pos="9071"/>
      </w:tabs>
      <w:ind w:left="1701"/>
    </w:pPr>
  </w:style>
  <w:style w:type="paragraph" w:customStyle="1" w:styleId="ListAlpha">
    <w:name w:val="List Alpha"/>
    <w:basedOn w:val="List"/>
    <w:rsid w:val="00DC47FE"/>
    <w:pPr>
      <w:numPr>
        <w:numId w:val="9"/>
      </w:numPr>
    </w:pPr>
  </w:style>
  <w:style w:type="paragraph" w:customStyle="1" w:styleId="ListAlpha2">
    <w:name w:val="List Alpha 2"/>
    <w:basedOn w:val="List2"/>
    <w:rsid w:val="00DC47FE"/>
    <w:pPr>
      <w:numPr>
        <w:numId w:val="8"/>
      </w:numPr>
    </w:pPr>
  </w:style>
  <w:style w:type="paragraph" w:styleId="List2">
    <w:name w:val="List 2"/>
    <w:basedOn w:val="BodyText"/>
    <w:rsid w:val="00DC47FE"/>
    <w:pPr>
      <w:tabs>
        <w:tab w:val="left" w:pos="680"/>
      </w:tabs>
      <w:spacing w:before="60" w:after="60"/>
      <w:ind w:left="680" w:hanging="340"/>
    </w:pPr>
  </w:style>
  <w:style w:type="paragraph" w:styleId="List3">
    <w:name w:val="List 3"/>
    <w:basedOn w:val="BodyText"/>
    <w:rsid w:val="00DC47FE"/>
    <w:pPr>
      <w:tabs>
        <w:tab w:val="left" w:pos="1021"/>
      </w:tabs>
      <w:spacing w:before="60" w:after="60"/>
      <w:ind w:left="1020" w:hanging="340"/>
    </w:pPr>
  </w:style>
  <w:style w:type="paragraph" w:styleId="List4">
    <w:name w:val="List 4"/>
    <w:basedOn w:val="BodyText"/>
    <w:rsid w:val="00DC47FE"/>
    <w:pPr>
      <w:tabs>
        <w:tab w:val="left" w:pos="1361"/>
      </w:tabs>
      <w:spacing w:before="60" w:after="60"/>
      <w:ind w:left="1361" w:hanging="340"/>
    </w:pPr>
  </w:style>
  <w:style w:type="paragraph" w:styleId="List5">
    <w:name w:val="List 5"/>
    <w:basedOn w:val="BodyText"/>
    <w:rsid w:val="00DC47FE"/>
    <w:pPr>
      <w:tabs>
        <w:tab w:val="left" w:pos="1701"/>
      </w:tabs>
      <w:spacing w:before="60" w:after="60"/>
      <w:ind w:left="1701" w:hanging="340"/>
    </w:pPr>
  </w:style>
  <w:style w:type="paragraph" w:styleId="ListBullet3">
    <w:name w:val="List Bullet 3"/>
    <w:basedOn w:val="List3"/>
    <w:rsid w:val="00DC47FE"/>
    <w:pPr>
      <w:numPr>
        <w:numId w:val="15"/>
      </w:numPr>
      <w:tabs>
        <w:tab w:val="clear" w:pos="1021"/>
      </w:tabs>
      <w:ind w:left="1037" w:hanging="357"/>
    </w:pPr>
  </w:style>
  <w:style w:type="paragraph" w:styleId="ListBullet4">
    <w:name w:val="List Bullet 4"/>
    <w:basedOn w:val="List4"/>
    <w:rsid w:val="00DC47FE"/>
    <w:pPr>
      <w:numPr>
        <w:numId w:val="3"/>
      </w:numPr>
    </w:pPr>
  </w:style>
  <w:style w:type="paragraph" w:styleId="ListBullet5">
    <w:name w:val="List Bullet 5"/>
    <w:basedOn w:val="List5"/>
    <w:rsid w:val="00DC47FE"/>
    <w:pPr>
      <w:numPr>
        <w:numId w:val="4"/>
      </w:numPr>
    </w:pPr>
  </w:style>
  <w:style w:type="paragraph" w:styleId="ListContinue2">
    <w:name w:val="List Continue 2"/>
    <w:basedOn w:val="List2"/>
    <w:rsid w:val="00DC47FE"/>
    <w:pPr>
      <w:ind w:firstLine="0"/>
    </w:pPr>
  </w:style>
  <w:style w:type="paragraph" w:styleId="ListContinue3">
    <w:name w:val="List Continue 3"/>
    <w:basedOn w:val="List3"/>
    <w:rsid w:val="00DC47FE"/>
    <w:pPr>
      <w:ind w:left="1021" w:firstLine="0"/>
    </w:pPr>
  </w:style>
  <w:style w:type="paragraph" w:styleId="ListContinue4">
    <w:name w:val="List Continue 4"/>
    <w:basedOn w:val="List4"/>
    <w:rsid w:val="00DC47FE"/>
    <w:pPr>
      <w:ind w:firstLine="0"/>
    </w:pPr>
  </w:style>
  <w:style w:type="paragraph" w:styleId="ListContinue5">
    <w:name w:val="List Continue 5"/>
    <w:basedOn w:val="List5"/>
    <w:rsid w:val="00DC47FE"/>
    <w:pPr>
      <w:ind w:firstLine="0"/>
    </w:pPr>
  </w:style>
  <w:style w:type="paragraph" w:styleId="ListNumber3">
    <w:name w:val="List Number 3"/>
    <w:basedOn w:val="List3"/>
    <w:rsid w:val="00DC47FE"/>
    <w:pPr>
      <w:numPr>
        <w:numId w:val="5"/>
      </w:numPr>
    </w:pPr>
  </w:style>
  <w:style w:type="paragraph" w:styleId="ListNumber4">
    <w:name w:val="List Number 4"/>
    <w:basedOn w:val="List4"/>
    <w:rsid w:val="00DC47FE"/>
    <w:pPr>
      <w:numPr>
        <w:numId w:val="6"/>
      </w:numPr>
    </w:pPr>
  </w:style>
  <w:style w:type="paragraph" w:styleId="ListNumber5">
    <w:name w:val="List Number 5"/>
    <w:basedOn w:val="List5"/>
    <w:rsid w:val="00DC47FE"/>
    <w:pPr>
      <w:numPr>
        <w:numId w:val="7"/>
      </w:numPr>
    </w:pPr>
  </w:style>
  <w:style w:type="paragraph" w:styleId="BlockText">
    <w:name w:val="Block Text"/>
    <w:basedOn w:val="Normal"/>
    <w:rsid w:val="00DC47FE"/>
    <w:pPr>
      <w:spacing w:after="120"/>
      <w:ind w:left="1440" w:right="1440"/>
    </w:pPr>
  </w:style>
  <w:style w:type="character" w:customStyle="1" w:styleId="Subscript">
    <w:name w:val="Subscript"/>
    <w:basedOn w:val="DefaultParagraphFont"/>
    <w:rsid w:val="00DC47FE"/>
    <w:rPr>
      <w:sz w:val="16"/>
      <w:vertAlign w:val="subscript"/>
    </w:rPr>
  </w:style>
  <w:style w:type="character" w:customStyle="1" w:styleId="Superscript">
    <w:name w:val="Superscript"/>
    <w:basedOn w:val="DefaultParagraphFont"/>
    <w:rsid w:val="00DC47FE"/>
    <w:rPr>
      <w:sz w:val="16"/>
      <w:vertAlign w:val="superscript"/>
    </w:rPr>
  </w:style>
  <w:style w:type="character" w:customStyle="1" w:styleId="Symbols">
    <w:name w:val="Symbols"/>
    <w:basedOn w:val="DefaultParagraphFont"/>
    <w:rsid w:val="00DC47FE"/>
    <w:rPr>
      <w:rFonts w:ascii="Symbol" w:hAnsi="Symbol"/>
    </w:rPr>
  </w:style>
  <w:style w:type="character" w:customStyle="1" w:styleId="MenuOptions">
    <w:name w:val="Menu Options"/>
    <w:basedOn w:val="DefaultParagraphFont"/>
    <w:rsid w:val="00DC47FE"/>
    <w:rPr>
      <w:rFonts w:ascii="Arial Narrow" w:hAnsi="Arial Narrow"/>
      <w:smallCaps/>
    </w:rPr>
  </w:style>
  <w:style w:type="character" w:customStyle="1" w:styleId="Buttons">
    <w:name w:val="Buttons"/>
    <w:basedOn w:val="DefaultParagraphFont"/>
    <w:rsid w:val="00DC47FE"/>
    <w:rPr>
      <w:b/>
    </w:rPr>
  </w:style>
  <w:style w:type="character" w:customStyle="1" w:styleId="Underlined">
    <w:name w:val="Underlined"/>
    <w:basedOn w:val="DefaultParagraphFont"/>
    <w:rsid w:val="00DC47FE"/>
    <w:rPr>
      <w:u w:val="single"/>
    </w:rPr>
  </w:style>
  <w:style w:type="paragraph" w:customStyle="1" w:styleId="TableBodyTextRight">
    <w:name w:val="Table Body Text Right"/>
    <w:basedOn w:val="TableBodyText"/>
    <w:rsid w:val="00DC47FE"/>
    <w:pPr>
      <w:widowControl w:val="0"/>
      <w:autoSpaceDE w:val="0"/>
      <w:autoSpaceDN w:val="0"/>
      <w:adjustRightInd w:val="0"/>
      <w:jc w:val="right"/>
    </w:pPr>
    <w:rPr>
      <w:rFonts w:cs="Arial"/>
      <w:szCs w:val="18"/>
    </w:rPr>
  </w:style>
  <w:style w:type="paragraph" w:customStyle="1" w:styleId="CopyrightText">
    <w:name w:val="Copyright Text"/>
    <w:basedOn w:val="BodyText"/>
    <w:rsid w:val="00DC47FE"/>
    <w:rPr>
      <w:sz w:val="18"/>
    </w:rPr>
  </w:style>
  <w:style w:type="paragraph" w:customStyle="1" w:styleId="BodySmallRight">
    <w:name w:val="Body Small Right"/>
    <w:basedOn w:val="BodyTextRight"/>
    <w:rsid w:val="00DC47FE"/>
    <w:rPr>
      <w:sz w:val="18"/>
      <w:szCs w:val="18"/>
    </w:rPr>
  </w:style>
  <w:style w:type="paragraph" w:customStyle="1" w:styleId="MarginEdition">
    <w:name w:val="Margin Edition"/>
    <w:basedOn w:val="MarginNote"/>
    <w:rsid w:val="00DC47FE"/>
    <w:pPr>
      <w:spacing w:before="0" w:after="0"/>
    </w:pPr>
    <w:rPr>
      <w:rFonts w:ascii="Times New Roman" w:hAnsi="Times New Roman"/>
      <w:color w:val="999999"/>
    </w:rPr>
  </w:style>
  <w:style w:type="paragraph" w:customStyle="1" w:styleId="Spacer">
    <w:name w:val="Spacer"/>
    <w:basedOn w:val="Normal"/>
    <w:rsid w:val="00DC47FE"/>
    <w:rPr>
      <w:sz w:val="2"/>
      <w:szCs w:val="2"/>
    </w:rPr>
  </w:style>
  <w:style w:type="character" w:customStyle="1" w:styleId="Small">
    <w:name w:val="Small"/>
    <w:basedOn w:val="DefaultParagraphFont"/>
    <w:rsid w:val="00DC47FE"/>
    <w:rPr>
      <w:sz w:val="16"/>
    </w:rPr>
  </w:style>
  <w:style w:type="paragraph" w:customStyle="1" w:styleId="WideTable">
    <w:name w:val="Wide Table"/>
    <w:basedOn w:val="Normal"/>
    <w:rsid w:val="00DC47FE"/>
    <w:pPr>
      <w:ind w:left="-1418"/>
    </w:pPr>
    <w:rPr>
      <w:sz w:val="2"/>
      <w:szCs w:val="2"/>
    </w:rPr>
  </w:style>
  <w:style w:type="character" w:styleId="PageNumber">
    <w:name w:val="page number"/>
    <w:basedOn w:val="DefaultParagraphFont"/>
    <w:rsid w:val="00DC47FE"/>
  </w:style>
  <w:style w:type="paragraph" w:styleId="Quote">
    <w:name w:val="Quote"/>
    <w:basedOn w:val="Heading1"/>
    <w:link w:val="QuoteChar"/>
    <w:qFormat/>
    <w:rsid w:val="00DC47FE"/>
    <w:rPr>
      <w:b w:val="0"/>
      <w:sz w:val="72"/>
      <w:szCs w:val="72"/>
      <w:lang w:val="en-NZ"/>
    </w:rPr>
  </w:style>
  <w:style w:type="character" w:customStyle="1" w:styleId="QuoteChar">
    <w:name w:val="Quote Char"/>
    <w:basedOn w:val="DefaultParagraphFont"/>
    <w:link w:val="Quote"/>
    <w:rsid w:val="00DC4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7FE"/>
    <w:pPr>
      <w:pageBreakBefore/>
    </w:pPr>
  </w:style>
  <w:style w:type="paragraph" w:customStyle="1" w:styleId="Border">
    <w:name w:val="Border"/>
    <w:basedOn w:val="Normal"/>
    <w:qFormat/>
    <w:rsid w:val="00DC4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7FE"/>
    <w:rPr>
      <w:b/>
      <w:bCs/>
      <w:i/>
      <w:iCs/>
      <w:color w:val="auto"/>
    </w:rPr>
  </w:style>
  <w:style w:type="paragraph" w:styleId="IntenseQuote">
    <w:name w:val="Intense Quote"/>
    <w:basedOn w:val="Normal"/>
    <w:next w:val="Normal"/>
    <w:link w:val="IntenseQuoteChar"/>
    <w:uiPriority w:val="30"/>
    <w:qFormat/>
    <w:rsid w:val="00DC4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7FE"/>
    <w:rPr>
      <w:smallCaps/>
      <w:color w:val="auto"/>
      <w:u w:val="single"/>
    </w:rPr>
  </w:style>
  <w:style w:type="character" w:styleId="IntenseReference">
    <w:name w:val="Intense Reference"/>
    <w:basedOn w:val="DefaultParagraphFont"/>
    <w:uiPriority w:val="32"/>
    <w:qFormat/>
    <w:rsid w:val="00DC47FE"/>
    <w:rPr>
      <w:b/>
      <w:bCs/>
      <w:smallCaps/>
      <w:color w:val="auto"/>
      <w:spacing w:val="5"/>
      <w:u w:val="single"/>
    </w:rPr>
  </w:style>
  <w:style w:type="paragraph" w:customStyle="1" w:styleId="2ColumnHeading">
    <w:name w:val="2Column Heading"/>
    <w:basedOn w:val="BodyText"/>
    <w:qFormat/>
    <w:rsid w:val="00DC47FE"/>
    <w:pPr>
      <w:spacing w:after="60"/>
      <w:ind w:left="-2268"/>
    </w:pPr>
    <w:rPr>
      <w:b/>
    </w:rPr>
  </w:style>
  <w:style w:type="paragraph" w:customStyle="1" w:styleId="Heading1TOC">
    <w:name w:val="Heading1 TOC"/>
    <w:basedOn w:val="Normal"/>
    <w:qFormat/>
    <w:rsid w:val="00DC47FE"/>
    <w:pPr>
      <w:spacing w:before="240" w:after="120"/>
    </w:pPr>
    <w:rPr>
      <w:rFonts w:ascii="Times New Roman" w:hAnsi="Times New Roman"/>
      <w:b/>
      <w:sz w:val="32"/>
    </w:rPr>
  </w:style>
  <w:style w:type="paragraph" w:customStyle="1" w:styleId="Heading2TOC">
    <w:name w:val="Heading2 TOC"/>
    <w:basedOn w:val="Normal"/>
    <w:qFormat/>
    <w:rsid w:val="00DC47FE"/>
    <w:pPr>
      <w:spacing w:before="240" w:after="60"/>
    </w:pPr>
    <w:rPr>
      <w:rFonts w:ascii="Times New Roman" w:hAnsi="Times New Roman"/>
      <w:b/>
      <w:sz w:val="28"/>
    </w:rPr>
  </w:style>
  <w:style w:type="character" w:customStyle="1" w:styleId="Underline">
    <w:name w:val="Underline"/>
    <w:basedOn w:val="DefaultParagraphFont"/>
    <w:qFormat/>
    <w:rsid w:val="00DC47FE"/>
    <w:rPr>
      <w:u w:val="single"/>
    </w:rPr>
  </w:style>
  <w:style w:type="character" w:customStyle="1" w:styleId="BoldandItalics">
    <w:name w:val="Bold and Italics"/>
    <w:qFormat/>
    <w:rsid w:val="00DC47FE"/>
    <w:rPr>
      <w:b/>
      <w:i/>
      <w:u w:val="none"/>
    </w:rPr>
  </w:style>
  <w:style w:type="paragraph" w:styleId="BalloonText">
    <w:name w:val="Balloon Text"/>
    <w:basedOn w:val="Normal"/>
    <w:link w:val="BalloonTextChar"/>
    <w:rsid w:val="00DC47FE"/>
    <w:rPr>
      <w:rFonts w:ascii="Tahoma" w:hAnsi="Tahoma" w:cs="Tahoma"/>
      <w:sz w:val="16"/>
      <w:szCs w:val="16"/>
    </w:rPr>
  </w:style>
  <w:style w:type="character" w:customStyle="1" w:styleId="BalloonTextChar">
    <w:name w:val="Balloon Text Char"/>
    <w:basedOn w:val="DefaultParagraphFont"/>
    <w:link w:val="BalloonText"/>
    <w:rsid w:val="00DC4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7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7FE"/>
    <w:rPr>
      <w:b/>
      <w:color w:val="660033"/>
      <w:spacing w:val="0"/>
    </w:rPr>
  </w:style>
  <w:style w:type="paragraph" w:customStyle="1" w:styleId="Nameditemlist">
    <w:name w:val="Named item list"/>
    <w:basedOn w:val="BodyText"/>
    <w:qFormat/>
    <w:rsid w:val="00DC47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2233</Words>
  <Characters>13973</Characters>
  <Application>Microsoft Office Word</Application>
  <DocSecurity>0</DocSecurity>
  <Lines>557</Lines>
  <Paragraphs>251</Paragraphs>
  <ScaleCrop>false</ScaleCrop>
  <Company>Author-it Software Corporation Ltd.</Company>
  <LinksUpToDate>false</LinksUpToDate>
  <CharactersWithSpaces>16056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UEENEEE128A Develop engineering solutions to photonic system problems</dc:title>
  <dc:subject>Approved</dc:subject>
  <dc:creator>E-OZ Training Standards</dc:creator>
  <cp:keywords>Release: 2</cp:keywords>
  <dc:description>Review Date: 12 April 2008</dc:description>
  <cp:lastModifiedBy>HSD_TPCMSd.prod</cp:lastModifiedBy>
  <cp:revision>3</cp:revision>
  <dcterms:created xsi:type="dcterms:W3CDTF">2013-08-14T08:00:00Z</dcterms:created>
  <dcterms:modified xsi:type="dcterms:W3CDTF">2013-08-14T08:00:00Z</dcterms:modified>
</cp:coreProperties>
</file>