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0396" w:rsidP="003D0396">
      <w:pPr>
        <w:pStyle w:val="Title"/>
      </w:pPr>
      <w:r>
        <w:fldChar w:fldCharType="begin"/>
      </w:r>
      <w:r>
        <w:instrText xml:space="preserve"> TITLE   \* MERGEFORMAT </w:instrText>
      </w:r>
      <w:r>
        <w:fldChar w:fldCharType="separate"/>
      </w:r>
      <w:r>
        <w:t>UEENEEE127A Use advanced computational processes to provide solutions to energy sector engineering problems</w:t>
      </w:r>
      <w:r>
        <w:fldChar w:fldCharType="end"/>
      </w:r>
    </w:p>
    <w:p w:rsidR="003D0396" w:rsidP="003D0396">
      <w:pPr>
        <w:pStyle w:val="Version"/>
        <w:sectPr w:rsidSect="004874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87414" w:rsidP="00487414">
      <w:pPr>
        <w:pStyle w:val="SuperHeading"/>
      </w:pPr>
      <w:r w:rsidRPr="00487414">
        <w:t>UEENEEE127A Use advanced computational p</w:t>
      </w:r>
      <w:r w:rsidRPr="00487414">
        <w:t>rocesses to provide solutions to energy sector engineering problems</w:t>
      </w:r>
    </w:p>
    <w:p w:rsidR="00000000" w:rsidRPr="00487414" w:rsidP="00487414">
      <w:pPr>
        <w:pStyle w:val="Heading1"/>
      </w:pPr>
      <w:bookmarkStart w:id="1" w:name="O_584447"/>
      <w:bookmarkEnd w:id="1"/>
      <w:r w:rsidRPr="00487414">
        <w:t>Modification History</w:t>
      </w:r>
    </w:p>
    <w:p w:rsidR="00000000" w:rsidRPr="00487414" w:rsidP="00487414">
      <w:pPr>
        <w:pStyle w:val="BodyText"/>
      </w:pPr>
      <w:r w:rsidRPr="00487414">
        <w:t>Not applicable.</w:t>
      </w:r>
    </w:p>
    <w:p w:rsidR="00000000" w:rsidRPr="00487414" w:rsidP="00487414">
      <w:pPr>
        <w:pStyle w:val="AllowPageBreak"/>
      </w:pPr>
    </w:p>
    <w:p w:rsidR="00000000" w:rsidRPr="00487414" w:rsidP="00487414">
      <w:pPr>
        <w:pStyle w:val="Heading1"/>
      </w:pPr>
      <w:bookmarkStart w:id="2" w:name="O_584446"/>
      <w:bookmarkEnd w:id="2"/>
      <w:r w:rsidRPr="00487414">
        <w:t>Unit Descriptor</w:t>
      </w:r>
    </w:p>
    <w:tbl>
      <w:tblPr>
        <w:tblW w:w="0" w:type="auto"/>
        <w:tblLayout w:type="fixed"/>
        <w:tblCellMar>
          <w:left w:w="62" w:type="dxa"/>
          <w:right w:w="62" w:type="dxa"/>
        </w:tblCellMar>
        <w:tblLook w:val="0000"/>
      </w:tblPr>
      <w:tblGrid>
        <w:gridCol w:w="2700"/>
        <w:gridCol w:w="5760"/>
      </w:tblGrid>
      <w:tr w:rsidTr="003D039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7414" w:rsidP="00487414">
            <w:pPr>
              <w:pStyle w:val="BodyText"/>
            </w:pPr>
            <w:r w:rsidRPr="0048741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rPr>
                <w:rStyle w:val="SpecialBold"/>
              </w:rPr>
              <w:t>1) Scope:</w:t>
            </w:r>
          </w:p>
        </w:tc>
      </w:tr>
      <w:tr w:rsidTr="003D03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8741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rPr>
                <w:rStyle w:val="SpecialBold"/>
              </w:rPr>
              <w:t>1.1) Descriptor</w:t>
            </w:r>
          </w:p>
        </w:tc>
      </w:tr>
      <w:tr w:rsidTr="003D03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7414" w:rsidP="00487414">
            <w:pPr>
              <w:pStyle w:val="BodyText"/>
            </w:pPr>
            <w:r w:rsidRPr="00487414">
              <w:t>This unit covers the application of advanced computational processes to solve energy sector engineering problems. It encompasses working safely, applying problem solving techniques, using a range of advanced mathematical processes, providing solutions to e</w:t>
            </w:r>
            <w:r w:rsidRPr="00487414">
              <w:t>lectrical/electronics engineering problems and justifying such solutions.</w:t>
            </w:r>
          </w:p>
          <w:p w:rsidR="00000000" w:rsidRPr="00487414" w:rsidP="00487414">
            <w:pPr>
              <w:pStyle w:val="BodyText"/>
            </w:pPr>
            <w:r w:rsidRPr="00487414">
              <w:t>Note.</w:t>
            </w:r>
            <w:r w:rsidRPr="00487414">
              <w:br/>
              <w:t>Typical engineering problems are those encountered in meeting requirements in a design brief, meeting performance requirements and compliance standards, revising systems operat</w:t>
            </w:r>
            <w:r w:rsidRPr="00487414">
              <w:t>ing parameters and dealing with system malfunctions.</w:t>
            </w:r>
          </w:p>
        </w:tc>
      </w:tr>
    </w:tbl>
    <w:p w:rsidR="00000000" w:rsidRPr="00487414" w:rsidP="00487414">
      <w:pPr>
        <w:pStyle w:val="BodyText"/>
      </w:pPr>
    </w:p>
    <w:p w:rsidR="00000000" w:rsidRPr="00487414" w:rsidP="00487414">
      <w:pPr>
        <w:pStyle w:val="AllowPageBreak"/>
      </w:pPr>
    </w:p>
    <w:p w:rsidR="00000000" w:rsidRPr="00487414" w:rsidP="00487414">
      <w:pPr>
        <w:pStyle w:val="Heading1"/>
      </w:pPr>
      <w:bookmarkStart w:id="3" w:name="O_584445"/>
      <w:bookmarkEnd w:id="3"/>
      <w:r w:rsidRPr="00487414">
        <w:t>Application of the Unit</w:t>
      </w:r>
    </w:p>
    <w:tbl>
      <w:tblPr>
        <w:tblW w:w="0" w:type="auto"/>
        <w:tblLayout w:type="fixed"/>
        <w:tblCellMar>
          <w:left w:w="62" w:type="dxa"/>
          <w:right w:w="62" w:type="dxa"/>
        </w:tblCellMar>
        <w:tblLook w:val="0000"/>
      </w:tblPr>
      <w:tblGrid>
        <w:gridCol w:w="2672"/>
        <w:gridCol w:w="5699"/>
      </w:tblGrid>
      <w:tr w:rsidTr="003D039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87414" w:rsidP="00487414">
            <w:pPr>
              <w:pStyle w:val="BodyText"/>
            </w:pPr>
            <w:r w:rsidRPr="0048741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rPr>
                <w:rStyle w:val="SpecialBold"/>
              </w:rPr>
              <w:t>2)</w:t>
            </w:r>
          </w:p>
        </w:tc>
      </w:tr>
      <w:tr w:rsidTr="003D039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87414" w:rsidP="00487414">
            <w:pPr>
              <w:pStyle w:val="BodyText"/>
            </w:pPr>
            <w:r w:rsidRPr="00487414">
              <w:t>This unit is intended to apply to any recognised development program that leads to the acquisition of a formal award at AQF level 6.</w:t>
            </w:r>
          </w:p>
        </w:tc>
      </w:tr>
    </w:tbl>
    <w:p w:rsidR="00000000" w:rsidRPr="00487414" w:rsidP="00487414">
      <w:pPr>
        <w:pStyle w:val="BodyText"/>
      </w:pPr>
    </w:p>
    <w:p w:rsidR="00000000" w:rsidRPr="00487414" w:rsidP="00487414">
      <w:pPr>
        <w:pStyle w:val="AllowPageBreak"/>
      </w:pPr>
    </w:p>
    <w:p w:rsidR="00000000" w:rsidRPr="00487414" w:rsidP="00487414">
      <w:pPr>
        <w:pStyle w:val="Heading1"/>
      </w:pPr>
      <w:bookmarkStart w:id="4" w:name="O_584444"/>
      <w:bookmarkEnd w:id="4"/>
      <w:r w:rsidRPr="00487414">
        <w:t>Licensing/Regulatory Information</w:t>
      </w:r>
    </w:p>
    <w:tbl>
      <w:tblPr>
        <w:tblW w:w="0" w:type="auto"/>
        <w:tblLayout w:type="fixed"/>
        <w:tblCellMar>
          <w:left w:w="62" w:type="dxa"/>
          <w:right w:w="62" w:type="dxa"/>
        </w:tblCellMar>
        <w:tblLook w:val="0000"/>
      </w:tblPr>
      <w:tblGrid>
        <w:gridCol w:w="2700"/>
        <w:gridCol w:w="5760"/>
      </w:tblGrid>
      <w:tr w:rsidTr="003D039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7414" w:rsidP="00487414">
            <w:pPr>
              <w:pStyle w:val="BodyText"/>
            </w:pPr>
            <w:r w:rsidRPr="0048741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rPr>
                <w:rStyle w:val="SpecialBold"/>
              </w:rPr>
              <w:t xml:space="preserve">3) </w:t>
            </w:r>
          </w:p>
        </w:tc>
      </w:tr>
      <w:tr w:rsidTr="003D03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7414" w:rsidP="00487414">
            <w:pPr>
              <w:pStyle w:val="BodyText"/>
            </w:pPr>
            <w:r w:rsidRPr="00487414">
              <w:t xml:space="preserve">The skills and knowledge described in this unit do not </w:t>
            </w:r>
            <w:r w:rsidRPr="00487414">
              <w:t>require a license to practice in the workplace. However, practice in this unit is subject to regulations directly related to occupational health and safety and where applicable contracts of training su</w:t>
            </w:r>
            <w:r w:rsidRPr="00487414">
              <w:t>ch as apprenticeships.</w:t>
            </w:r>
          </w:p>
        </w:tc>
      </w:tr>
    </w:tbl>
    <w:p w:rsidR="00000000" w:rsidRPr="00487414" w:rsidP="00487414">
      <w:pPr>
        <w:pStyle w:val="BodyText"/>
      </w:pPr>
    </w:p>
    <w:p w:rsidR="00000000" w:rsidRPr="00487414" w:rsidP="00487414">
      <w:pPr>
        <w:pStyle w:val="AllowPageBreak"/>
      </w:pPr>
    </w:p>
    <w:p w:rsidR="00000000" w:rsidRPr="00487414" w:rsidP="00487414">
      <w:pPr>
        <w:pStyle w:val="Heading1"/>
      </w:pPr>
      <w:bookmarkStart w:id="5" w:name="O_584443"/>
      <w:bookmarkEnd w:id="5"/>
      <w:r w:rsidRPr="00487414">
        <w:t>Pre-Requisites</w:t>
      </w:r>
    </w:p>
    <w:tbl>
      <w:tblPr>
        <w:tblW w:w="0" w:type="auto"/>
        <w:tblLayout w:type="fixed"/>
        <w:tblCellMar>
          <w:left w:w="62" w:type="dxa"/>
          <w:right w:w="62" w:type="dxa"/>
        </w:tblCellMar>
        <w:tblLook w:val="0000"/>
      </w:tblPr>
      <w:tblGrid>
        <w:gridCol w:w="2638"/>
        <w:gridCol w:w="1757"/>
        <w:gridCol w:w="43"/>
        <w:gridCol w:w="3960"/>
      </w:tblGrid>
      <w:tr w:rsidTr="00487414">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P="00487414">
            <w:pPr>
              <w:pStyle w:val="Heading4"/>
              <w:rPr>
                <w:lang w:val="en-NZ"/>
              </w:rPr>
            </w:pPr>
            <w:r w:rsidRPr="00487414">
              <w:t>Prerequisite Unit(s)</w:t>
            </w:r>
          </w:p>
        </w:tc>
        <w:tc>
          <w:tcPr>
            <w:tcW w:w="5760" w:type="dxa"/>
            <w:gridSpan w:val="3"/>
            <w:tcBorders>
              <w:top w:val="nil"/>
              <w:left w:val="nil"/>
              <w:bottom w:val="nil"/>
              <w:right w:val="nil"/>
            </w:tcBorders>
            <w:tcMar>
              <w:top w:w="0" w:type="dxa"/>
              <w:left w:w="62" w:type="dxa"/>
              <w:bottom w:w="0" w:type="dxa"/>
              <w:right w:w="62" w:type="dxa"/>
            </w:tcMar>
          </w:tcPr>
          <w:p w:rsidR="00000000" w:rsidP="00487414">
            <w:pPr>
              <w:pStyle w:val="Heading4"/>
              <w:rPr>
                <w:lang w:val="en-NZ"/>
              </w:rPr>
            </w:pPr>
            <w:r w:rsidRPr="00487414">
              <w:t xml:space="preserve">4) </w:t>
            </w:r>
          </w:p>
        </w:tc>
      </w:tr>
      <w:tr w:rsidTr="0048741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487414">
            <w:pPr>
              <w:pStyle w:val="Heading4"/>
              <w:rPr>
                <w:lang w:val="en-NZ"/>
              </w:rPr>
            </w:pPr>
            <w:r w:rsidRPr="00487414">
              <w:t>Competencies</w:t>
            </w:r>
          </w:p>
        </w:tc>
        <w:tc>
          <w:tcPr>
            <w:tcW w:w="5760" w:type="dxa"/>
            <w:gridSpan w:val="3"/>
            <w:tcBorders>
              <w:top w:val="nil"/>
              <w:left w:val="nil"/>
              <w:bottom w:val="nil"/>
              <w:right w:val="nil"/>
            </w:tcBorders>
            <w:tcMar>
              <w:top w:w="0" w:type="dxa"/>
              <w:left w:w="62" w:type="dxa"/>
              <w:bottom w:w="0" w:type="dxa"/>
              <w:right w:w="62" w:type="dxa"/>
            </w:tcMar>
          </w:tcPr>
          <w:p w:rsidR="00000000" w:rsidP="00487414">
            <w:pPr>
              <w:pStyle w:val="Heading4"/>
              <w:rPr>
                <w:lang w:val="en-NZ"/>
              </w:rPr>
            </w:pPr>
            <w:r w:rsidRPr="00487414">
              <w:t>4.1)</w:t>
            </w:r>
          </w:p>
        </w:tc>
      </w:tr>
      <w:tr w:rsidTr="0048741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RPr="00487414" w:rsidP="00487414">
            <w:r w:rsidRPr="00487414">
              <w:t>Granting of competency in this unit shall be made only after competency in the following unit(s) has/have been confirmed.</w:t>
            </w:r>
          </w:p>
          <w:p w:rsidR="00000000" w:rsidRPr="00487414" w:rsidP="00487414">
            <w:r w:rsidRPr="00487414">
              <w:t>Where pre-requisite pathways have been identified. All competencies in the Common Unit Group must be have been completed plus all the competencies in one (1) of the identified Pathway Unit Group(s):</w:t>
            </w:r>
          </w:p>
          <w:p w:rsidR="00000000">
            <w:pPr>
              <w:keepNext w:val="0"/>
              <w:keepLines w:val="0"/>
              <w:rPr>
                <w:rFonts w:ascii="Tahoma" w:hAnsi="Tahoma"/>
                <w:color w:val="000000"/>
                <w:sz w:val="20"/>
                <w:szCs w:val="24"/>
                <w:lang w:val="en-NZ"/>
              </w:rPr>
            </w:pPr>
          </w:p>
        </w:tc>
      </w:tr>
      <w:tr w:rsidTr="0048741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1757" w:type="dxa"/>
            <w:tcBorders>
              <w:top w:val="nil"/>
              <w:left w:val="nil"/>
              <w:bottom w:val="nil"/>
              <w:right w:val="nil"/>
            </w:tcBorders>
            <w:tcMar>
              <w:top w:w="0" w:type="dxa"/>
              <w:left w:w="62" w:type="dxa"/>
              <w:bottom w:w="0" w:type="dxa"/>
              <w:right w:w="62" w:type="dxa"/>
            </w:tcMar>
          </w:tcPr>
          <w:p w:rsidR="00000000" w:rsidP="00487414">
            <w:pPr>
              <w:pStyle w:val="Heading4"/>
              <w:rPr>
                <w:lang w:val="en-NZ"/>
              </w:rPr>
            </w:pPr>
            <w:r w:rsidRPr="00487414">
              <w:t>Unit Code</w:t>
            </w:r>
          </w:p>
        </w:tc>
        <w:tc>
          <w:tcPr>
            <w:tcW w:w="4003" w:type="dxa"/>
            <w:gridSpan w:val="2"/>
            <w:tcBorders>
              <w:top w:val="nil"/>
              <w:left w:val="nil"/>
              <w:bottom w:val="nil"/>
              <w:right w:val="nil"/>
            </w:tcBorders>
            <w:tcMar>
              <w:top w:w="0" w:type="dxa"/>
              <w:left w:w="62" w:type="dxa"/>
              <w:bottom w:w="0" w:type="dxa"/>
              <w:right w:w="62" w:type="dxa"/>
            </w:tcMar>
          </w:tcPr>
          <w:p w:rsidR="00000000" w:rsidP="00487414">
            <w:pPr>
              <w:pStyle w:val="Heading4"/>
              <w:rPr>
                <w:lang w:val="en-NZ"/>
              </w:rPr>
            </w:pPr>
            <w:r w:rsidRPr="00487414">
              <w:t>Unit Title</w:t>
            </w:r>
          </w:p>
        </w:tc>
      </w:tr>
      <w:tr w:rsidTr="0048741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P="00487414">
            <w:pPr>
              <w:pStyle w:val="Heading4"/>
              <w:rPr>
                <w:lang w:val="en-NZ"/>
              </w:rPr>
            </w:pPr>
            <w:r w:rsidRPr="00487414">
              <w:t>Common Unit Group</w:t>
            </w:r>
          </w:p>
        </w:tc>
      </w:tr>
      <w:tr w:rsidTr="0048741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1800" w:type="dxa"/>
            <w:gridSpan w:val="2"/>
            <w:tcBorders>
              <w:top w:val="nil"/>
              <w:left w:val="nil"/>
              <w:bottom w:val="nil"/>
              <w:right w:val="nil"/>
            </w:tcBorders>
            <w:tcMar>
              <w:top w:w="0" w:type="dxa"/>
              <w:left w:w="62" w:type="dxa"/>
              <w:bottom w:w="0" w:type="dxa"/>
              <w:right w:w="62" w:type="dxa"/>
            </w:tcMar>
          </w:tcPr>
          <w:p w:rsidR="00000000" w:rsidP="00487414">
            <w:pPr>
              <w:rPr>
                <w:lang w:val="en-NZ"/>
              </w:rPr>
            </w:pPr>
            <w:r w:rsidRPr="00487414">
              <w:t>UEENEEE101A</w:t>
            </w:r>
          </w:p>
        </w:tc>
        <w:tc>
          <w:tcPr>
            <w:tcW w:w="3960" w:type="dxa"/>
            <w:tcBorders>
              <w:top w:val="nil"/>
              <w:left w:val="nil"/>
              <w:bottom w:val="nil"/>
              <w:right w:val="nil"/>
            </w:tcBorders>
            <w:tcMar>
              <w:top w:w="0" w:type="dxa"/>
              <w:left w:w="62" w:type="dxa"/>
              <w:bottom w:w="0" w:type="dxa"/>
              <w:right w:w="62" w:type="dxa"/>
            </w:tcMar>
          </w:tcPr>
          <w:p w:rsidR="00000000" w:rsidP="00487414">
            <w:pPr>
              <w:rPr>
                <w:lang w:val="en-NZ"/>
              </w:rPr>
            </w:pPr>
            <w:r w:rsidRPr="00487414">
              <w:t xml:space="preserve">Apply Occupational Health Safety regulations, codes and practices in the workplace </w:t>
            </w:r>
          </w:p>
        </w:tc>
      </w:tr>
      <w:tr w:rsidTr="0048741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1800" w:type="dxa"/>
            <w:gridSpan w:val="2"/>
            <w:tcBorders>
              <w:top w:val="nil"/>
              <w:left w:val="nil"/>
              <w:bottom w:val="nil"/>
              <w:right w:val="nil"/>
            </w:tcBorders>
            <w:tcMar>
              <w:top w:w="0" w:type="dxa"/>
              <w:left w:w="62" w:type="dxa"/>
              <w:bottom w:w="0" w:type="dxa"/>
              <w:right w:w="62" w:type="dxa"/>
            </w:tcMar>
          </w:tcPr>
          <w:p w:rsidR="00000000" w:rsidP="00487414">
            <w:pPr>
              <w:rPr>
                <w:lang w:val="en-NZ"/>
              </w:rPr>
            </w:pPr>
            <w:r w:rsidRPr="00487414">
              <w:t>UEENEEE126A</w:t>
            </w:r>
          </w:p>
        </w:tc>
        <w:tc>
          <w:tcPr>
            <w:tcW w:w="3960" w:type="dxa"/>
            <w:tcBorders>
              <w:top w:val="nil"/>
              <w:left w:val="nil"/>
              <w:bottom w:val="nil"/>
              <w:right w:val="nil"/>
            </w:tcBorders>
            <w:tcMar>
              <w:top w:w="0" w:type="dxa"/>
              <w:left w:w="62" w:type="dxa"/>
              <w:bottom w:w="0" w:type="dxa"/>
              <w:right w:w="62" w:type="dxa"/>
            </w:tcMar>
          </w:tcPr>
          <w:p w:rsidR="00000000" w:rsidP="00487414">
            <w:pPr>
              <w:rPr>
                <w:lang w:val="en-NZ"/>
              </w:rPr>
            </w:pPr>
            <w:r w:rsidRPr="00487414">
              <w:t>Provide solutions to basic engineering computational problems</w:t>
            </w:r>
          </w:p>
        </w:tc>
      </w:tr>
      <w:tr w:rsidTr="0048741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1800" w:type="dxa"/>
            <w:gridSpan w:val="2"/>
            <w:tcBorders>
              <w:top w:val="nil"/>
              <w:left w:val="nil"/>
              <w:bottom w:val="nil"/>
              <w:right w:val="nil"/>
            </w:tcBorders>
            <w:tcMar>
              <w:top w:w="0" w:type="dxa"/>
              <w:left w:w="62" w:type="dxa"/>
              <w:bottom w:w="0" w:type="dxa"/>
              <w:right w:w="62" w:type="dxa"/>
            </w:tcMar>
          </w:tcPr>
          <w:p w:rsidR="00000000" w:rsidP="00487414">
            <w:pPr>
              <w:rPr>
                <w:lang w:val="en-NZ"/>
              </w:rPr>
            </w:pPr>
            <w:r w:rsidRPr="00487414">
              <w:t>UEENEEE129A</w:t>
            </w:r>
          </w:p>
        </w:tc>
        <w:tc>
          <w:tcPr>
            <w:tcW w:w="3960" w:type="dxa"/>
            <w:tcBorders>
              <w:top w:val="nil"/>
              <w:left w:val="nil"/>
              <w:bottom w:val="nil"/>
              <w:right w:val="nil"/>
            </w:tcBorders>
            <w:tcMar>
              <w:top w:w="0" w:type="dxa"/>
              <w:left w:w="62" w:type="dxa"/>
              <w:bottom w:w="0" w:type="dxa"/>
              <w:right w:w="62" w:type="dxa"/>
            </w:tcMar>
          </w:tcPr>
          <w:p w:rsidR="00000000" w:rsidP="00487414">
            <w:pPr>
              <w:rPr>
                <w:lang w:val="en-NZ"/>
              </w:rPr>
            </w:pPr>
            <w:r w:rsidRPr="00487414">
              <w:t>Solve electrotechnical engineering problems</w:t>
            </w:r>
          </w:p>
        </w:tc>
      </w:tr>
      <w:tr w:rsidTr="0048741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5760" w:type="dxa"/>
            <w:gridSpan w:val="3"/>
            <w:tcBorders>
              <w:top w:val="nil"/>
              <w:left w:val="nil"/>
              <w:bottom w:val="nil"/>
              <w:right w:val="nil"/>
            </w:tcBorders>
            <w:tcMar>
              <w:top w:w="0" w:type="dxa"/>
              <w:left w:w="62" w:type="dxa"/>
              <w:bottom w:w="0" w:type="dxa"/>
              <w:right w:w="62" w:type="dxa"/>
            </w:tcMar>
            <w:vAlign w:val="bottom"/>
          </w:tcPr>
          <w:p w:rsidR="00000000" w:rsidP="00487414">
            <w:pPr>
              <w:pStyle w:val="Heading4"/>
              <w:rPr>
                <w:lang w:val="en-NZ"/>
              </w:rPr>
            </w:pPr>
            <w:r w:rsidRPr="00487414">
              <w:t>Electrotechnology Unit Pathway</w:t>
            </w:r>
          </w:p>
        </w:tc>
      </w:tr>
      <w:tr w:rsidTr="0048741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1800" w:type="dxa"/>
            <w:gridSpan w:val="2"/>
            <w:tcBorders>
              <w:top w:val="nil"/>
              <w:left w:val="nil"/>
              <w:bottom w:val="nil"/>
              <w:right w:val="nil"/>
            </w:tcBorders>
            <w:tcMar>
              <w:top w:w="0" w:type="dxa"/>
              <w:left w:w="62" w:type="dxa"/>
              <w:bottom w:w="0" w:type="dxa"/>
              <w:right w:w="62" w:type="dxa"/>
            </w:tcMar>
          </w:tcPr>
          <w:p w:rsidR="00000000" w:rsidP="00487414">
            <w:pPr>
              <w:rPr>
                <w:lang w:val="en-NZ"/>
              </w:rPr>
            </w:pPr>
            <w:r w:rsidRPr="00487414">
              <w:t>UEENEEH169A</w:t>
            </w:r>
          </w:p>
        </w:tc>
        <w:tc>
          <w:tcPr>
            <w:tcW w:w="3960" w:type="dxa"/>
            <w:tcBorders>
              <w:top w:val="nil"/>
              <w:left w:val="nil"/>
              <w:bottom w:val="nil"/>
              <w:right w:val="nil"/>
            </w:tcBorders>
            <w:tcMar>
              <w:top w:w="0" w:type="dxa"/>
              <w:left w:w="62" w:type="dxa"/>
              <w:bottom w:w="0" w:type="dxa"/>
              <w:right w:w="62" w:type="dxa"/>
            </w:tcMar>
          </w:tcPr>
          <w:p w:rsidR="00000000" w:rsidP="00487414">
            <w:pPr>
              <w:rPr>
                <w:lang w:val="en-NZ"/>
              </w:rPr>
            </w:pPr>
            <w:r w:rsidRPr="00487414">
              <w:t>Solve problems in basic electronic circuits</w:t>
            </w:r>
          </w:p>
        </w:tc>
      </w:tr>
      <w:tr w:rsidTr="0048741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P="00487414">
            <w:pPr>
              <w:pStyle w:val="Heading4"/>
              <w:rPr>
                <w:lang w:val="en-NZ"/>
              </w:rPr>
            </w:pPr>
            <w:r w:rsidRPr="00487414">
              <w:t>Electronics and Communications Unit Pathway</w:t>
            </w:r>
          </w:p>
        </w:tc>
      </w:tr>
      <w:tr w:rsidTr="0048741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1800" w:type="dxa"/>
            <w:gridSpan w:val="2"/>
            <w:tcBorders>
              <w:top w:val="nil"/>
              <w:left w:val="nil"/>
              <w:bottom w:val="nil"/>
              <w:right w:val="nil"/>
            </w:tcBorders>
            <w:tcMar>
              <w:top w:w="0" w:type="dxa"/>
              <w:left w:w="62" w:type="dxa"/>
              <w:bottom w:w="0" w:type="dxa"/>
              <w:right w:w="62" w:type="dxa"/>
            </w:tcMar>
          </w:tcPr>
          <w:p w:rsidR="00000000" w:rsidP="00487414">
            <w:pPr>
              <w:rPr>
                <w:lang w:val="en-NZ"/>
              </w:rPr>
            </w:pPr>
            <w:r w:rsidRPr="00487414">
              <w:t>UEENEEE104A</w:t>
            </w:r>
          </w:p>
        </w:tc>
        <w:tc>
          <w:tcPr>
            <w:tcW w:w="3960" w:type="dxa"/>
            <w:tcBorders>
              <w:top w:val="nil"/>
              <w:left w:val="nil"/>
              <w:bottom w:val="nil"/>
              <w:right w:val="nil"/>
            </w:tcBorders>
            <w:tcMar>
              <w:top w:w="0" w:type="dxa"/>
              <w:left w:w="62" w:type="dxa"/>
              <w:bottom w:w="0" w:type="dxa"/>
              <w:right w:w="62" w:type="dxa"/>
            </w:tcMar>
          </w:tcPr>
          <w:p w:rsidR="00000000" w:rsidP="00487414">
            <w:pPr>
              <w:rPr>
                <w:lang w:val="en-NZ"/>
              </w:rPr>
            </w:pPr>
            <w:r w:rsidRPr="00487414">
              <w:t>Solve problems in d.c. circuits</w:t>
            </w:r>
          </w:p>
        </w:tc>
      </w:tr>
      <w:tr w:rsidTr="0048741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1800" w:type="dxa"/>
            <w:gridSpan w:val="2"/>
            <w:tcBorders>
              <w:top w:val="nil"/>
              <w:left w:val="nil"/>
              <w:bottom w:val="nil"/>
              <w:right w:val="nil"/>
            </w:tcBorders>
            <w:tcMar>
              <w:top w:w="0" w:type="dxa"/>
              <w:left w:w="62" w:type="dxa"/>
              <w:bottom w:w="0" w:type="dxa"/>
              <w:right w:w="62" w:type="dxa"/>
            </w:tcMar>
          </w:tcPr>
          <w:p w:rsidR="00000000" w:rsidP="00487414">
            <w:pPr>
              <w:rPr>
                <w:lang w:val="en-NZ"/>
              </w:rPr>
            </w:pPr>
            <w:r w:rsidRPr="00487414">
              <w:t>UEENEEH114A</w:t>
            </w:r>
          </w:p>
        </w:tc>
        <w:tc>
          <w:tcPr>
            <w:tcW w:w="3960" w:type="dxa"/>
            <w:tcBorders>
              <w:top w:val="nil"/>
              <w:left w:val="nil"/>
              <w:bottom w:val="nil"/>
              <w:right w:val="nil"/>
            </w:tcBorders>
            <w:tcMar>
              <w:top w:w="0" w:type="dxa"/>
              <w:left w:w="62" w:type="dxa"/>
              <w:bottom w:w="0" w:type="dxa"/>
              <w:right w:w="62" w:type="dxa"/>
            </w:tcMar>
          </w:tcPr>
          <w:p w:rsidR="00000000" w:rsidP="00487414">
            <w:pPr>
              <w:rPr>
                <w:lang w:val="en-NZ"/>
              </w:rPr>
            </w:pPr>
            <w:r w:rsidRPr="00487414">
              <w:t>Troubleshoot resonance circuits in an electronic apparatus</w:t>
            </w:r>
          </w:p>
        </w:tc>
      </w:tr>
      <w:tr w:rsidTr="0048741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P="00487414">
            <w:pPr>
              <w:pStyle w:val="Heading4"/>
              <w:rPr>
                <w:lang w:val="en-NZ"/>
              </w:rPr>
            </w:pPr>
            <w:r w:rsidRPr="00487414">
              <w:t>Electrical Unit Pathway</w:t>
            </w:r>
          </w:p>
        </w:tc>
      </w:tr>
      <w:tr w:rsidTr="0048741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1800" w:type="dxa"/>
            <w:gridSpan w:val="2"/>
            <w:tcBorders>
              <w:top w:val="nil"/>
              <w:left w:val="nil"/>
              <w:bottom w:val="nil"/>
              <w:right w:val="nil"/>
            </w:tcBorders>
            <w:tcMar>
              <w:top w:w="0" w:type="dxa"/>
              <w:left w:w="62" w:type="dxa"/>
              <w:bottom w:w="0" w:type="dxa"/>
              <w:right w:w="62" w:type="dxa"/>
            </w:tcMar>
          </w:tcPr>
          <w:p w:rsidR="00000000" w:rsidP="00487414">
            <w:pPr>
              <w:rPr>
                <w:lang w:val="en-NZ"/>
              </w:rPr>
            </w:pPr>
            <w:r w:rsidRPr="00487414">
              <w:t>UEENEEE104A</w:t>
            </w:r>
          </w:p>
        </w:tc>
        <w:tc>
          <w:tcPr>
            <w:tcW w:w="3960" w:type="dxa"/>
            <w:tcBorders>
              <w:top w:val="nil"/>
              <w:left w:val="nil"/>
              <w:bottom w:val="nil"/>
              <w:right w:val="nil"/>
            </w:tcBorders>
            <w:tcMar>
              <w:top w:w="0" w:type="dxa"/>
              <w:left w:w="62" w:type="dxa"/>
              <w:bottom w:w="0" w:type="dxa"/>
              <w:right w:w="62" w:type="dxa"/>
            </w:tcMar>
          </w:tcPr>
          <w:p w:rsidR="00000000" w:rsidP="00487414">
            <w:pPr>
              <w:rPr>
                <w:lang w:val="en-NZ"/>
              </w:rPr>
            </w:pPr>
            <w:r w:rsidRPr="00487414">
              <w:t>Solve problems in d.c. circuits</w:t>
            </w:r>
          </w:p>
        </w:tc>
      </w:tr>
      <w:tr w:rsidTr="0048741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1800" w:type="dxa"/>
            <w:gridSpan w:val="2"/>
            <w:tcBorders>
              <w:top w:val="nil"/>
              <w:left w:val="nil"/>
              <w:bottom w:val="nil"/>
              <w:right w:val="nil"/>
            </w:tcBorders>
            <w:tcMar>
              <w:top w:w="0" w:type="dxa"/>
              <w:left w:w="62" w:type="dxa"/>
              <w:bottom w:w="0" w:type="dxa"/>
              <w:right w:w="62" w:type="dxa"/>
            </w:tcMar>
          </w:tcPr>
          <w:p w:rsidR="00000000" w:rsidP="00487414">
            <w:pPr>
              <w:rPr>
                <w:lang w:val="en-NZ"/>
              </w:rPr>
            </w:pPr>
            <w:r w:rsidRPr="00487414">
              <w:t>UEENEEG101A</w:t>
            </w:r>
          </w:p>
        </w:tc>
        <w:tc>
          <w:tcPr>
            <w:tcW w:w="3960" w:type="dxa"/>
            <w:tcBorders>
              <w:top w:val="nil"/>
              <w:left w:val="nil"/>
              <w:bottom w:val="nil"/>
              <w:right w:val="nil"/>
            </w:tcBorders>
            <w:tcMar>
              <w:top w:w="0" w:type="dxa"/>
              <w:left w:w="62" w:type="dxa"/>
              <w:bottom w:w="0" w:type="dxa"/>
              <w:right w:w="62" w:type="dxa"/>
            </w:tcMar>
          </w:tcPr>
          <w:p w:rsidR="00000000" w:rsidRPr="00487414" w:rsidP="00487414">
            <w:r w:rsidRPr="00487414">
              <w:t xml:space="preserve">Solve problems in electromagnetic devices and </w:t>
            </w:r>
            <w:r w:rsidRPr="00487414">
              <w:t>related circuits</w:t>
            </w:r>
          </w:p>
        </w:tc>
      </w:tr>
    </w:tbl>
    <w:p w:rsidR="00000000" w:rsidRPr="00487414" w:rsidP="00487414"/>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D039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87414" w:rsidP="00487414">
            <w:r w:rsidRPr="0048741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87414">
            <w:pPr>
              <w:rPr>
                <w:lang w:val="en-NZ"/>
              </w:rPr>
            </w:pPr>
            <w:r w:rsidRPr="00487414">
              <w:rPr>
                <w:rStyle w:val="SpecialBold"/>
              </w:rPr>
              <w:t xml:space="preserve">4.2) </w:t>
            </w:r>
          </w:p>
        </w:tc>
      </w:tr>
      <w:tr w:rsidTr="003D03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87414">
            <w:pPr>
              <w:rPr>
                <w:lang w:val="en-NZ"/>
              </w:rPr>
            </w:pPr>
            <w:r w:rsidRPr="00487414">
              <w:t>Participants are best equipped to achieve competency in this unit if they have reading, writing and numeracy skills indicated by the following scales. Description of each scale is given in Volume 2, Part 3 ‘Literacy and Numeracy’</w:t>
            </w:r>
          </w:p>
        </w:tc>
      </w:tr>
      <w:tr w:rsidTr="003D03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1080" w:type="dxa"/>
            <w:tcBorders>
              <w:top w:val="nil"/>
              <w:left w:val="nil"/>
              <w:bottom w:val="nil"/>
              <w:right w:val="nil"/>
            </w:tcBorders>
            <w:tcMar>
              <w:top w:w="0" w:type="dxa"/>
              <w:left w:w="62" w:type="dxa"/>
              <w:bottom w:w="0" w:type="dxa"/>
              <w:right w:w="62" w:type="dxa"/>
            </w:tcMar>
          </w:tcPr>
          <w:p w:rsidR="00000000" w:rsidP="00487414">
            <w:pPr>
              <w:rPr>
                <w:lang w:val="en-NZ"/>
              </w:rPr>
            </w:pPr>
            <w:r w:rsidRPr="00487414">
              <w:t>Reading</w:t>
            </w:r>
          </w:p>
        </w:tc>
        <w:tc>
          <w:tcPr>
            <w:tcW w:w="810" w:type="dxa"/>
            <w:tcBorders>
              <w:top w:val="nil"/>
              <w:left w:val="nil"/>
              <w:bottom w:val="nil"/>
              <w:right w:val="nil"/>
            </w:tcBorders>
            <w:tcMar>
              <w:top w:w="0" w:type="dxa"/>
              <w:left w:w="62" w:type="dxa"/>
              <w:bottom w:w="0" w:type="dxa"/>
              <w:right w:w="62" w:type="dxa"/>
            </w:tcMar>
          </w:tcPr>
          <w:p w:rsidR="00000000" w:rsidP="00487414">
            <w:pPr>
              <w:rPr>
                <w:lang w:val="en-NZ"/>
              </w:rPr>
            </w:pPr>
            <w:r w:rsidRPr="00487414">
              <w:t>5</w:t>
            </w:r>
          </w:p>
        </w:tc>
        <w:tc>
          <w:tcPr>
            <w:tcW w:w="990" w:type="dxa"/>
            <w:tcBorders>
              <w:top w:val="nil"/>
              <w:left w:val="nil"/>
              <w:bottom w:val="nil"/>
              <w:right w:val="nil"/>
            </w:tcBorders>
            <w:tcMar>
              <w:top w:w="0" w:type="dxa"/>
              <w:left w:w="62" w:type="dxa"/>
              <w:bottom w:w="0" w:type="dxa"/>
              <w:right w:w="62" w:type="dxa"/>
            </w:tcMar>
          </w:tcPr>
          <w:p w:rsidR="00000000" w:rsidP="00487414">
            <w:pPr>
              <w:rPr>
                <w:lang w:val="en-NZ"/>
              </w:rPr>
            </w:pPr>
            <w:r w:rsidRPr="00487414">
              <w:t>Writing</w:t>
            </w:r>
          </w:p>
        </w:tc>
        <w:tc>
          <w:tcPr>
            <w:tcW w:w="900" w:type="dxa"/>
            <w:tcBorders>
              <w:top w:val="nil"/>
              <w:left w:val="nil"/>
              <w:bottom w:val="nil"/>
              <w:right w:val="nil"/>
            </w:tcBorders>
            <w:tcMar>
              <w:top w:w="0" w:type="dxa"/>
              <w:left w:w="62" w:type="dxa"/>
              <w:bottom w:w="0" w:type="dxa"/>
              <w:right w:w="62" w:type="dxa"/>
            </w:tcMar>
          </w:tcPr>
          <w:p w:rsidR="00000000" w:rsidP="00487414">
            <w:pPr>
              <w:rPr>
                <w:lang w:val="en-NZ"/>
              </w:rPr>
            </w:pPr>
            <w:r w:rsidRPr="00487414">
              <w:t>5</w:t>
            </w:r>
          </w:p>
        </w:tc>
        <w:tc>
          <w:tcPr>
            <w:tcW w:w="1260" w:type="dxa"/>
            <w:tcBorders>
              <w:top w:val="nil"/>
              <w:left w:val="nil"/>
              <w:bottom w:val="nil"/>
              <w:right w:val="nil"/>
            </w:tcBorders>
            <w:tcMar>
              <w:top w:w="0" w:type="dxa"/>
              <w:left w:w="62" w:type="dxa"/>
              <w:bottom w:w="0" w:type="dxa"/>
              <w:right w:w="62" w:type="dxa"/>
            </w:tcMar>
          </w:tcPr>
          <w:p w:rsidR="00000000" w:rsidP="00487414">
            <w:pPr>
              <w:rPr>
                <w:lang w:val="en-NZ"/>
              </w:rPr>
            </w:pPr>
            <w:r w:rsidRPr="00487414">
              <w:t>Numeracy</w:t>
            </w:r>
          </w:p>
        </w:tc>
        <w:tc>
          <w:tcPr>
            <w:tcW w:w="720" w:type="dxa"/>
            <w:tcBorders>
              <w:top w:val="nil"/>
              <w:left w:val="nil"/>
              <w:bottom w:val="nil"/>
              <w:right w:val="nil"/>
            </w:tcBorders>
            <w:tcMar>
              <w:top w:w="0" w:type="dxa"/>
              <w:left w:w="62" w:type="dxa"/>
              <w:bottom w:w="0" w:type="dxa"/>
              <w:right w:w="62" w:type="dxa"/>
            </w:tcMar>
          </w:tcPr>
          <w:p w:rsidR="00000000" w:rsidRPr="00487414" w:rsidP="00487414">
            <w:r w:rsidRPr="00487414">
              <w:t>5</w:t>
            </w:r>
          </w:p>
        </w:tc>
      </w:tr>
    </w:tbl>
    <w:p w:rsidR="003D0396" w:rsidP="00487414"/>
    <w:p w:rsidR="003D0396" w:rsidP="00487414"/>
    <w:p w:rsidR="00000000" w:rsidRPr="00487414" w:rsidP="00487414">
      <w:pPr>
        <w:pStyle w:val="Heading1"/>
      </w:pPr>
      <w:bookmarkStart w:id="6" w:name="O_584442"/>
      <w:bookmarkEnd w:id="6"/>
      <w:r w:rsidRPr="00487414">
        <w:t>Employability Skills Information</w:t>
      </w:r>
    </w:p>
    <w:tbl>
      <w:tblPr>
        <w:tblW w:w="0" w:type="auto"/>
        <w:tblLayout w:type="fixed"/>
        <w:tblCellMar>
          <w:left w:w="62" w:type="dxa"/>
          <w:right w:w="62" w:type="dxa"/>
        </w:tblCellMar>
        <w:tblLook w:val="0000"/>
      </w:tblPr>
      <w:tblGrid>
        <w:gridCol w:w="2700"/>
        <w:gridCol w:w="5760"/>
      </w:tblGrid>
      <w:tr w:rsidTr="003D039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7414" w:rsidP="00487414">
            <w:pPr>
              <w:pStyle w:val="BodyText"/>
            </w:pPr>
            <w:r w:rsidRPr="0048741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rPr>
                <w:rStyle w:val="SpecialBold"/>
              </w:rPr>
              <w:t xml:space="preserve">5) </w:t>
            </w:r>
          </w:p>
        </w:tc>
      </w:tr>
      <w:tr w:rsidTr="003D03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7414" w:rsidP="00487414">
            <w:pPr>
              <w:pStyle w:val="BodyText"/>
            </w:pPr>
            <w:r w:rsidRPr="00487414">
              <w:t>This unit contains Employability Skills</w:t>
            </w:r>
          </w:p>
          <w:p w:rsidR="00000000" w:rsidRPr="00487414" w:rsidP="00487414">
            <w:pPr>
              <w:pStyle w:val="BodyText"/>
            </w:pPr>
            <w:r w:rsidRPr="0048741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87414">
              <w:t>requirements.</w:t>
            </w:r>
          </w:p>
        </w:tc>
      </w:tr>
    </w:tbl>
    <w:p w:rsidR="00000000" w:rsidRPr="00487414" w:rsidP="00487414">
      <w:pPr>
        <w:pStyle w:val="BodyText"/>
      </w:pPr>
    </w:p>
    <w:p w:rsidR="00000000" w:rsidRPr="00487414" w:rsidP="00487414">
      <w:pPr>
        <w:pStyle w:val="AllowPageBreak"/>
      </w:pPr>
    </w:p>
    <w:p w:rsidR="00000000" w:rsidRPr="00487414" w:rsidP="00487414">
      <w:pPr>
        <w:pStyle w:val="Heading1"/>
      </w:pPr>
      <w:bookmarkStart w:id="7" w:name="O_584441"/>
      <w:bookmarkEnd w:id="7"/>
      <w:r w:rsidRPr="00487414">
        <w:t>Elements and Performance Criteria Pre-Content</w:t>
      </w:r>
    </w:p>
    <w:tbl>
      <w:tblPr>
        <w:tblW w:w="0" w:type="auto"/>
        <w:tblLayout w:type="fixed"/>
        <w:tblCellMar>
          <w:left w:w="62" w:type="dxa"/>
          <w:right w:w="62" w:type="dxa"/>
        </w:tblCellMar>
        <w:tblLook w:val="0000"/>
      </w:tblPr>
      <w:tblGrid>
        <w:gridCol w:w="2700"/>
        <w:gridCol w:w="5760"/>
      </w:tblGrid>
      <w:tr w:rsidTr="003D03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rPr>
                <w:rStyle w:val="SpecialBold"/>
              </w:rPr>
              <w:t>6)</w:t>
            </w:r>
            <w:r w:rsidRPr="0048741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87414" w:rsidP="00487414">
            <w:pPr>
              <w:pStyle w:val="BodyText"/>
            </w:pPr>
            <w:r w:rsidRPr="00487414">
              <w:t>Performance Criteria describe the required performance needed to demonstrate achievement of the element. Assessment of performance is to be consistent with the Evidence Guide.</w:t>
            </w:r>
          </w:p>
        </w:tc>
      </w:tr>
    </w:tbl>
    <w:p w:rsidR="00000000" w:rsidRPr="00487414" w:rsidP="00487414">
      <w:pPr>
        <w:pStyle w:val="BodyText"/>
      </w:pPr>
    </w:p>
    <w:p w:rsidR="00000000" w:rsidRPr="00487414" w:rsidP="00487414">
      <w:pPr>
        <w:pStyle w:val="AllowPageBreak"/>
      </w:pPr>
    </w:p>
    <w:p w:rsidR="00000000" w:rsidRPr="00487414" w:rsidP="00487414">
      <w:pPr>
        <w:pStyle w:val="Heading1"/>
      </w:pPr>
      <w:bookmarkStart w:id="8" w:name="O_584440"/>
      <w:bookmarkEnd w:id="8"/>
      <w:r w:rsidRPr="00487414">
        <w:t>Elements and Performance Criteria</w:t>
      </w:r>
    </w:p>
    <w:tbl>
      <w:tblPr>
        <w:tblW w:w="0" w:type="auto"/>
        <w:tblLayout w:type="fixed"/>
        <w:tblCellMar>
          <w:left w:w="62" w:type="dxa"/>
          <w:right w:w="62" w:type="dxa"/>
        </w:tblCellMar>
        <w:tblLook w:val="0000"/>
      </w:tblPr>
      <w:tblGrid>
        <w:gridCol w:w="407"/>
        <w:gridCol w:w="2249"/>
        <w:gridCol w:w="44"/>
        <w:gridCol w:w="841"/>
        <w:gridCol w:w="4776"/>
        <w:gridCol w:w="143"/>
      </w:tblGrid>
      <w:tr w:rsidTr="003D0396">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487414" w:rsidP="00487414">
            <w:pPr>
              <w:pStyle w:val="BodyText"/>
            </w:pPr>
            <w:r w:rsidRPr="00487414">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rPr>
                <w:rStyle w:val="SpecialBold"/>
              </w:rPr>
              <w:t>PERFORMANCE CRITER</w:t>
            </w:r>
            <w:r w:rsidRPr="00487414">
              <w:rPr>
                <w:rStyle w:val="SpecialBold"/>
              </w:rPr>
              <w:t>IA</w:t>
            </w:r>
          </w:p>
        </w:tc>
      </w:tr>
      <w:tr w:rsidTr="003D0396">
        <w:tblPrEx>
          <w:tblW w:w="0" w:type="auto"/>
          <w:tblLayout w:type="fixed"/>
          <w:tblCellMar>
            <w:left w:w="62" w:type="dxa"/>
            <w:right w:w="62" w:type="dxa"/>
          </w:tblCellMar>
          <w:tblLook w:val="0000"/>
        </w:tblPrEx>
        <w:trPr>
          <w:gridAfter w:val="1"/>
          <w:wAfter w:w="143" w:type="dxa"/>
        </w:trPr>
        <w:tc>
          <w:tcPr>
            <w:tcW w:w="407"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t>1</w:t>
            </w:r>
          </w:p>
        </w:tc>
        <w:tc>
          <w:tcPr>
            <w:tcW w:w="2249" w:type="dxa"/>
            <w:vMerge w:val="restart"/>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t>Provide computational solutions to energy sector engineering problems</w:t>
            </w:r>
          </w:p>
        </w:tc>
        <w:tc>
          <w:tcPr>
            <w:tcW w:w="885" w:type="dxa"/>
            <w:gridSpan w:val="2"/>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t>1.1</w:t>
            </w:r>
          </w:p>
        </w:tc>
        <w:tc>
          <w:tcPr>
            <w:tcW w:w="4776"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t>OHS procedures for a given work area are identified, obtained and understood.</w:t>
            </w:r>
          </w:p>
        </w:tc>
      </w:tr>
      <w:tr w:rsidTr="003D0396">
        <w:tblPrEx>
          <w:tblW w:w="0" w:type="auto"/>
          <w:tblLayout w:type="fixed"/>
          <w:tblCellMar>
            <w:left w:w="62" w:type="dxa"/>
            <w:right w:w="62" w:type="dxa"/>
          </w:tblCellMar>
          <w:tblLook w:val="0000"/>
        </w:tblPrEx>
        <w:trPr>
          <w:gridAfter w:val="1"/>
          <w:wAfter w:w="143"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t>1.2</w:t>
            </w:r>
          </w:p>
        </w:tc>
        <w:tc>
          <w:tcPr>
            <w:tcW w:w="4776"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t>The nature of the problems are obtained from documentation or work supervisor t</w:t>
            </w:r>
            <w:r w:rsidRPr="00487414">
              <w:t>o establish the scope of work to be undertaken.</w:t>
            </w:r>
          </w:p>
        </w:tc>
      </w:tr>
      <w:tr w:rsidTr="003D0396">
        <w:tblPrEx>
          <w:tblW w:w="0" w:type="auto"/>
          <w:tblLayout w:type="fixed"/>
          <w:tblCellMar>
            <w:left w:w="62" w:type="dxa"/>
            <w:right w:w="62" w:type="dxa"/>
          </w:tblCellMar>
          <w:tblLook w:val="0000"/>
        </w:tblPrEx>
        <w:trPr>
          <w:gridAfter w:val="1"/>
          <w:wAfter w:w="143"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t>1.3</w:t>
            </w:r>
          </w:p>
        </w:tc>
        <w:tc>
          <w:tcPr>
            <w:tcW w:w="4776"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t>Problems are clearly stated in writing and/or diagrammatic form to ensure they are understood and appropriate methods used to resolve them.</w:t>
            </w:r>
          </w:p>
        </w:tc>
      </w:tr>
      <w:tr w:rsidTr="003D0396">
        <w:tblPrEx>
          <w:tblW w:w="0" w:type="auto"/>
          <w:tblLayout w:type="fixed"/>
          <w:tblCellMar>
            <w:left w:w="62" w:type="dxa"/>
            <w:right w:w="62" w:type="dxa"/>
          </w:tblCellMar>
          <w:tblLook w:val="0000"/>
        </w:tblPrEx>
        <w:trPr>
          <w:gridAfter w:val="1"/>
          <w:wAfter w:w="143"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t>1.4</w:t>
            </w:r>
          </w:p>
        </w:tc>
        <w:tc>
          <w:tcPr>
            <w:tcW w:w="4776"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t>Known constants and variable related to the problem are obtained from measured values or problem documentation.</w:t>
            </w:r>
          </w:p>
        </w:tc>
      </w:tr>
      <w:tr w:rsidTr="003D0396">
        <w:tblPrEx>
          <w:tblW w:w="0" w:type="auto"/>
          <w:tblLayout w:type="fixed"/>
          <w:tblCellMar>
            <w:left w:w="62" w:type="dxa"/>
            <w:right w:w="62" w:type="dxa"/>
          </w:tblCellMar>
          <w:tblLook w:val="0000"/>
        </w:tblPrEx>
        <w:trPr>
          <w:gridAfter w:val="1"/>
          <w:wAfter w:w="143"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t>1.5</w:t>
            </w:r>
          </w:p>
        </w:tc>
        <w:tc>
          <w:tcPr>
            <w:tcW w:w="4776"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t>Alternative methods for resolving the problem are considered and where necessary discussed with appropriate person(s).</w:t>
            </w:r>
          </w:p>
        </w:tc>
      </w:tr>
      <w:tr w:rsidTr="003D0396">
        <w:tblPrEx>
          <w:tblW w:w="0" w:type="auto"/>
          <w:tblLayout w:type="fixed"/>
          <w:tblCellMar>
            <w:left w:w="62" w:type="dxa"/>
            <w:right w:w="62" w:type="dxa"/>
          </w:tblCellMar>
          <w:tblLook w:val="0000"/>
        </w:tblPrEx>
        <w:trPr>
          <w:gridAfter w:val="1"/>
          <w:wAfter w:w="143"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t>1.6</w:t>
            </w:r>
          </w:p>
        </w:tc>
        <w:tc>
          <w:tcPr>
            <w:tcW w:w="4776"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t>Problems ar</w:t>
            </w:r>
            <w:r w:rsidRPr="00487414">
              <w:t>e solved using advanced mathematical processes and within the realistic accuracy.</w:t>
            </w:r>
          </w:p>
        </w:tc>
      </w:tr>
      <w:tr w:rsidTr="003D0396">
        <w:tblPrEx>
          <w:tblW w:w="0" w:type="auto"/>
          <w:tblLayout w:type="fixed"/>
          <w:tblCellMar>
            <w:left w:w="62" w:type="dxa"/>
            <w:right w:w="62" w:type="dxa"/>
          </w:tblCellMar>
          <w:tblLook w:val="0000"/>
        </w:tblPrEx>
        <w:trPr>
          <w:gridAfter w:val="1"/>
          <w:wAfter w:w="143" w:type="dxa"/>
        </w:trPr>
        <w:tc>
          <w:tcPr>
            <w:tcW w:w="407"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t>2</w:t>
            </w:r>
          </w:p>
        </w:tc>
        <w:tc>
          <w:tcPr>
            <w:tcW w:w="2249" w:type="dxa"/>
            <w:vMerge w:val="restart"/>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t>Complete work and document problem solving activities.</w:t>
            </w:r>
          </w:p>
        </w:tc>
        <w:tc>
          <w:tcPr>
            <w:tcW w:w="885" w:type="dxa"/>
            <w:gridSpan w:val="2"/>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t>2.1</w:t>
            </w:r>
          </w:p>
        </w:tc>
        <w:tc>
          <w:tcPr>
            <w:tcW w:w="4776"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t>Justification for solutions used to solve engineering problems is documented for inclusion in work/project devel</w:t>
            </w:r>
            <w:r w:rsidRPr="00487414">
              <w:t>opment records in accordance with professional standards.</w:t>
            </w:r>
          </w:p>
        </w:tc>
      </w:tr>
      <w:tr w:rsidTr="003D0396">
        <w:tblPrEx>
          <w:tblW w:w="0" w:type="auto"/>
          <w:tblLayout w:type="fixed"/>
          <w:tblCellMar>
            <w:left w:w="62" w:type="dxa"/>
            <w:right w:w="62" w:type="dxa"/>
          </w:tblCellMar>
          <w:tblLook w:val="0000"/>
        </w:tblPrEx>
        <w:trPr>
          <w:gridAfter w:val="1"/>
          <w:wAfter w:w="143"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t>2.2</w:t>
            </w:r>
          </w:p>
        </w:tc>
        <w:tc>
          <w:tcPr>
            <w:tcW w:w="4776" w:type="dxa"/>
            <w:tcBorders>
              <w:top w:val="nil"/>
              <w:left w:val="nil"/>
              <w:bottom w:val="nil"/>
              <w:right w:val="nil"/>
            </w:tcBorders>
            <w:tcMar>
              <w:top w:w="0" w:type="dxa"/>
              <w:left w:w="62" w:type="dxa"/>
              <w:bottom w:w="0" w:type="dxa"/>
              <w:right w:w="62" w:type="dxa"/>
            </w:tcMar>
          </w:tcPr>
          <w:p w:rsidR="00000000" w:rsidRPr="00487414" w:rsidP="00487414">
            <w:pPr>
              <w:pStyle w:val="BodyText"/>
            </w:pPr>
            <w:r w:rsidRPr="00487414">
              <w:t>Work completion is documented and appropriate person(s) notified.</w:t>
            </w:r>
          </w:p>
        </w:tc>
      </w:tr>
    </w:tbl>
    <w:p w:rsidR="00000000" w:rsidRPr="00487414" w:rsidP="00487414">
      <w:pPr>
        <w:pStyle w:val="BodyText"/>
      </w:pPr>
    </w:p>
    <w:p w:rsidR="00000000" w:rsidRPr="00487414" w:rsidP="00487414">
      <w:pPr>
        <w:pStyle w:val="AllowPageBreak"/>
      </w:pPr>
    </w:p>
    <w:p w:rsidR="00000000" w:rsidRPr="00487414" w:rsidP="00487414">
      <w:pPr>
        <w:pStyle w:val="Heading1"/>
      </w:pPr>
      <w:bookmarkStart w:id="9" w:name="O_584439"/>
      <w:bookmarkEnd w:id="9"/>
      <w:r w:rsidRPr="00487414">
        <w:t>Required Skills and Knowledge</w:t>
      </w:r>
    </w:p>
    <w:tbl>
      <w:tblPr>
        <w:tblW w:w="0" w:type="auto"/>
        <w:tblLayout w:type="fixed"/>
        <w:tblCellMar>
          <w:left w:w="62" w:type="dxa"/>
          <w:right w:w="62" w:type="dxa"/>
        </w:tblCellMar>
        <w:tblLook w:val="0000"/>
      </w:tblPr>
      <w:tblGrid>
        <w:gridCol w:w="8460"/>
      </w:tblGrid>
      <w:tr w:rsidTr="003D039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rPr>
                <w:rStyle w:val="SpecialBold"/>
              </w:rPr>
              <w:t>REQUIRED SKILLS AND KNOWLEDGE</w:t>
            </w:r>
          </w:p>
        </w:tc>
      </w:tr>
      <w:tr w:rsidTr="003D039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87414" w:rsidP="00487414">
            <w:pPr>
              <w:pStyle w:val="BodyText"/>
            </w:pPr>
            <w:r w:rsidRPr="00487414">
              <w:rPr>
                <w:rStyle w:val="SpecialBold"/>
              </w:rPr>
              <w:t>8)</w:t>
            </w:r>
            <w:r w:rsidRPr="00487414">
              <w:t xml:space="preserve"> This describes the essential skills and knowledge and their level, required for this unit.</w:t>
            </w:r>
          </w:p>
          <w:p w:rsidR="00000000" w:rsidRPr="00487414" w:rsidP="00487414">
            <w:pPr>
              <w:pStyle w:val="BodyText"/>
            </w:pPr>
            <w:r w:rsidRPr="00487414">
              <w:t>Evidence shall show that knowledge has been acquired of safe working practices and using advanced computational processes to provide solutions to energy sector engi</w:t>
            </w:r>
            <w:r w:rsidRPr="00487414">
              <w:t>neering problems.</w:t>
            </w:r>
          </w:p>
          <w:p w:rsidR="00000000" w:rsidRPr="00487414" w:rsidP="00487414">
            <w:pPr>
              <w:pStyle w:val="BodyText"/>
            </w:pPr>
            <w:r w:rsidRPr="00487414">
              <w:t>All knowledge and skills detailed in this unit should be contextualised to current industry practices and technologies.</w:t>
            </w:r>
          </w:p>
          <w:p w:rsidR="00000000" w:rsidRPr="00487414" w:rsidP="00487414">
            <w:pPr>
              <w:pStyle w:val="BodyText"/>
            </w:pPr>
            <w:r w:rsidRPr="00487414">
              <w:rPr>
                <w:rStyle w:val="SpecialBold"/>
              </w:rPr>
              <w:t>KS01-EE127A</w:t>
            </w:r>
            <w:r w:rsidRPr="00487414">
              <w:rPr>
                <w:rStyle w:val="SpecialBold"/>
              </w:rPr>
              <w:tab/>
              <w:t xml:space="preserve">              Advanced Engineering Maths</w:t>
            </w:r>
          </w:p>
          <w:p w:rsidR="00000000" w:rsidRPr="00487414" w:rsidP="00487414">
            <w:pPr>
              <w:pStyle w:val="BodyText"/>
            </w:pPr>
            <w:r w:rsidRPr="00487414">
              <w:t>Evidence shall show an understanding of advanced engineering math</w:t>
            </w:r>
            <w:r w:rsidRPr="00487414">
              <w:t>s to an extent indicated by the following aspects:</w:t>
            </w:r>
          </w:p>
          <w:p w:rsidR="00000000" w:rsidRPr="00487414" w:rsidP="00487414">
            <w:pPr>
              <w:pStyle w:val="BodyText"/>
            </w:pPr>
            <w:r w:rsidRPr="00487414">
              <w:t>T1</w:t>
            </w:r>
            <w:r w:rsidRPr="00487414">
              <w:tab/>
              <w:t>Differential Calculus encompassing:</w:t>
            </w:r>
          </w:p>
          <w:p w:rsidR="00000000" w:rsidRPr="00487414" w:rsidP="00487414">
            <w:pPr>
              <w:pStyle w:val="ListBullet"/>
            </w:pPr>
            <w:r w:rsidRPr="00487414">
              <w:t>basic concepts of differential calculus, limited to definition of the derivative of a function as the slope of a tangent line (the gradient of a curve); limits; basi</w:t>
            </w:r>
            <w:r w:rsidRPr="00487414">
              <w:t>c examples from 1st principles; Notation and Results of derivative of k.f(ax + b) where f(x)=x to the power of n, sin x, cos x, tan x, e to the power of x, ln x.</w:t>
            </w:r>
          </w:p>
          <w:p w:rsidR="00000000" w:rsidRPr="00487414" w:rsidP="00487414">
            <w:pPr>
              <w:pStyle w:val="ListBullet"/>
            </w:pPr>
            <w:r w:rsidRPr="00487414">
              <w:t>rules - derivative of sum and difference; product rule; quotient rule; chain rule (function of</w:t>
            </w:r>
            <w:r w:rsidRPr="00487414">
              <w:t xml:space="preserve"> a function), limited to two rules for any given function, the 2nd derivative.</w:t>
            </w:r>
          </w:p>
          <w:p w:rsidR="00000000" w:rsidRPr="00487414" w:rsidP="00487414">
            <w:pPr>
              <w:pStyle w:val="ListBullet"/>
            </w:pPr>
            <w:r w:rsidRPr="00487414">
              <w:t>applications - equations of tangents and normals; stationary points; turning points; and curve sketching; rates of change; rectilinear motion</w:t>
            </w:r>
          </w:p>
          <w:p w:rsidR="00000000" w:rsidRPr="00487414" w:rsidP="00487414">
            <w:pPr>
              <w:pStyle w:val="ListBullet"/>
            </w:pPr>
            <w:r w:rsidRPr="00487414">
              <w:t>verbally formulated problems involv</w:t>
            </w:r>
            <w:r w:rsidRPr="00487414">
              <w:t>ing related rates and maxima: minima</w:t>
            </w:r>
          </w:p>
          <w:p w:rsidR="00000000" w:rsidRPr="00487414" w:rsidP="00487414">
            <w:pPr>
              <w:pStyle w:val="BodyText"/>
            </w:pPr>
            <w:r w:rsidRPr="00487414">
              <w:t>T2</w:t>
            </w:r>
            <w:r w:rsidRPr="00487414">
              <w:tab/>
              <w:t>Integral Calculus encompassing:</w:t>
            </w:r>
          </w:p>
          <w:p w:rsidR="00000000" w:rsidRPr="00487414" w:rsidP="00487414">
            <w:pPr>
              <w:pStyle w:val="ListBullet"/>
            </w:pPr>
            <w:r w:rsidRPr="00487414">
              <w:t>integration as the inverse operation to differentiation - results of the integral of k.f(ax + b) where f(x) = x to the power of n, sin x, cos x, sec squared x, e to the power of x, me</w:t>
            </w:r>
            <w:r w:rsidRPr="00487414">
              <w:t>thod of substitution, the definite integral.</w:t>
            </w:r>
          </w:p>
          <w:p w:rsidR="00000000" w:rsidRPr="00487414" w:rsidP="00487414">
            <w:pPr>
              <w:pStyle w:val="ListBullet"/>
            </w:pPr>
            <w:r w:rsidRPr="00487414">
              <w:t>applications - areas between curves; rectilinear motion including displacement from acceleration and distance travelled; voltage and current relationship in capacitors and inductors and the like.</w:t>
            </w:r>
          </w:p>
          <w:p w:rsidR="00000000" w:rsidRPr="00487414" w:rsidP="00487414">
            <w:pPr>
              <w:pStyle w:val="BodyText"/>
            </w:pPr>
            <w:r w:rsidRPr="00487414">
              <w:t>T3</w:t>
            </w:r>
            <w:r w:rsidRPr="00487414">
              <w:tab/>
              <w:t>Linear Algeb</w:t>
            </w:r>
            <w:r w:rsidRPr="00487414">
              <w:t>ra encompassing:</w:t>
            </w:r>
          </w:p>
          <w:p w:rsidR="00000000" w:rsidRPr="00487414" w:rsidP="00487414">
            <w:pPr>
              <w:pStyle w:val="ListBullet"/>
            </w:pPr>
            <w:r w:rsidRPr="00487414">
              <w:t xml:space="preserve">matrices and inverse matrices; </w:t>
            </w:r>
          </w:p>
          <w:p w:rsidR="00000000" w:rsidRPr="00487414" w:rsidP="00487414">
            <w:pPr>
              <w:pStyle w:val="ListBullet"/>
            </w:pPr>
            <w:r w:rsidRPr="00487414">
              <w:t>linear mapping,</w:t>
            </w:r>
          </w:p>
          <w:p w:rsidR="00000000" w:rsidRPr="00487414" w:rsidP="00487414">
            <w:pPr>
              <w:pStyle w:val="ListBullet"/>
            </w:pPr>
            <w:r w:rsidRPr="00487414">
              <w:t>determinants,</w:t>
            </w:r>
          </w:p>
          <w:p w:rsidR="00000000" w:rsidRPr="00487414" w:rsidP="00487414">
            <w:pPr>
              <w:pStyle w:val="ListBullet"/>
            </w:pPr>
            <w:r w:rsidRPr="00487414">
              <w:t>solution of linear equations.</w:t>
            </w:r>
          </w:p>
          <w:p w:rsidR="00000000" w:rsidRPr="00487414" w:rsidP="00487414">
            <w:pPr>
              <w:pStyle w:val="BodyText"/>
            </w:pPr>
            <w:r w:rsidRPr="00487414">
              <w:t>T4</w:t>
            </w:r>
            <w:r w:rsidRPr="00487414">
              <w:tab/>
              <w:t>Vectors encompassing:</w:t>
            </w:r>
          </w:p>
          <w:p w:rsidR="00000000" w:rsidRPr="00487414" w:rsidP="00487414">
            <w:pPr>
              <w:pStyle w:val="ListBullet"/>
            </w:pPr>
            <w:r w:rsidRPr="00487414">
              <w:t>geometrical representation,</w:t>
            </w:r>
          </w:p>
          <w:p w:rsidR="00000000" w:rsidRPr="00487414" w:rsidP="00487414">
            <w:pPr>
              <w:pStyle w:val="ListBullet"/>
            </w:pPr>
            <w:r w:rsidRPr="00487414">
              <w:t>addition and scalar multiplication,</w:t>
            </w:r>
          </w:p>
          <w:p w:rsidR="00000000" w:rsidRPr="00487414" w:rsidP="00487414">
            <w:pPr>
              <w:pStyle w:val="ListBullet"/>
            </w:pPr>
            <w:r w:rsidRPr="00487414">
              <w:t>dot and cross products,</w:t>
            </w:r>
          </w:p>
          <w:p w:rsidR="00000000" w:rsidRPr="00487414" w:rsidP="00487414">
            <w:pPr>
              <w:pStyle w:val="ListBullet"/>
            </w:pPr>
            <w:r w:rsidRPr="00487414">
              <w:t>equations of lines and planes.</w:t>
            </w:r>
          </w:p>
          <w:p w:rsidR="00000000" w:rsidRPr="00487414" w:rsidP="00487414">
            <w:pPr>
              <w:pStyle w:val="BodyText"/>
            </w:pPr>
            <w:r w:rsidRPr="00487414">
              <w:t>T5</w:t>
            </w:r>
            <w:r w:rsidRPr="00487414">
              <w:tab/>
              <w:t>Variables encompassing:</w:t>
            </w:r>
          </w:p>
          <w:p w:rsidR="00000000" w:rsidRPr="00487414" w:rsidP="00487414">
            <w:pPr>
              <w:pStyle w:val="ListBullet"/>
            </w:pPr>
            <w:r w:rsidRPr="00487414">
              <w:t>graphs, level curves and surfaces</w:t>
            </w:r>
          </w:p>
          <w:p w:rsidR="00000000" w:rsidRPr="00487414" w:rsidP="00487414">
            <w:pPr>
              <w:pStyle w:val="ListBullet"/>
            </w:pPr>
            <w:r w:rsidRPr="00487414">
              <w:t>partial derivatives; chain rule; directional derivative;</w:t>
            </w:r>
          </w:p>
          <w:p w:rsidR="00000000" w:rsidRPr="00487414" w:rsidP="00487414">
            <w:pPr>
              <w:pStyle w:val="ListBullet"/>
            </w:pPr>
            <w:r w:rsidRPr="00487414">
              <w:t xml:space="preserve">maxima and minima. </w:t>
            </w:r>
          </w:p>
          <w:p w:rsidR="00000000" w:rsidRPr="00487414" w:rsidP="00487414">
            <w:pPr>
              <w:pStyle w:val="BodyText"/>
            </w:pPr>
            <w:r w:rsidRPr="00487414">
              <w:t>T6</w:t>
            </w:r>
            <w:r w:rsidRPr="00487414">
              <w:tab/>
              <w:t>Sequences and Series encompassing:</w:t>
            </w:r>
          </w:p>
          <w:p w:rsidR="00000000" w:rsidRPr="00487414" w:rsidP="00487414">
            <w:pPr>
              <w:pStyle w:val="ListBullet"/>
            </w:pPr>
            <w:r w:rsidRPr="00487414">
              <w:t>algebraic and Fourier series, convergence; Taylor’s Theorem</w:t>
            </w:r>
          </w:p>
          <w:p w:rsidR="00000000" w:rsidRPr="00487414" w:rsidP="00487414">
            <w:pPr>
              <w:pStyle w:val="ListBullet"/>
            </w:pPr>
            <w:r w:rsidRPr="00487414">
              <w:t>power series manip</w:t>
            </w:r>
            <w:r w:rsidRPr="00487414">
              <w:t>ulation.</w:t>
            </w:r>
          </w:p>
          <w:p w:rsidR="00000000" w:rsidRPr="00487414" w:rsidP="00487414">
            <w:pPr>
              <w:pStyle w:val="BodyText"/>
            </w:pPr>
            <w:r w:rsidRPr="00487414">
              <w:t>T7</w:t>
            </w:r>
            <w:r w:rsidRPr="00487414">
              <w:tab/>
              <w:t>Differential Equations encompassing:</w:t>
            </w:r>
          </w:p>
          <w:p w:rsidR="00000000" w:rsidRPr="00487414" w:rsidP="00487414">
            <w:pPr>
              <w:pStyle w:val="ListBullet"/>
            </w:pPr>
            <w:r w:rsidRPr="00487414">
              <w:t>first order and separable linear equations</w:t>
            </w:r>
          </w:p>
          <w:p w:rsidR="00000000" w:rsidRPr="00487414" w:rsidP="00487414">
            <w:pPr>
              <w:pStyle w:val="ListBullet"/>
            </w:pPr>
            <w:r w:rsidRPr="00487414">
              <w:t>second order linear equations.</w:t>
            </w:r>
          </w:p>
          <w:p w:rsidR="00000000" w:rsidRPr="00487414" w:rsidP="00487414">
            <w:pPr>
              <w:pStyle w:val="ListBullet"/>
            </w:pPr>
            <w:r w:rsidRPr="00487414">
              <w:t>partial differential equations.</w:t>
            </w:r>
          </w:p>
          <w:p w:rsidR="00000000" w:rsidRPr="00487414" w:rsidP="00487414">
            <w:pPr>
              <w:pStyle w:val="ListBullet"/>
            </w:pPr>
            <w:r w:rsidRPr="00487414">
              <w:t>numerical Techniques.</w:t>
            </w:r>
          </w:p>
          <w:p w:rsidR="00000000" w:rsidRPr="00487414" w:rsidP="00487414">
            <w:pPr>
              <w:pStyle w:val="BodyText"/>
            </w:pPr>
            <w:r w:rsidRPr="00487414">
              <w:t>T8</w:t>
            </w:r>
            <w:r w:rsidRPr="00487414">
              <w:tab/>
              <w:t>Number encompassing:</w:t>
            </w:r>
          </w:p>
          <w:p w:rsidR="00000000" w:rsidRPr="00487414" w:rsidP="00487414">
            <w:pPr>
              <w:pStyle w:val="ListBullet"/>
            </w:pPr>
            <w:r w:rsidRPr="00487414">
              <w:t>integer, irrational and complex numbers.</w:t>
            </w:r>
          </w:p>
          <w:p w:rsidR="00000000" w:rsidRPr="00487414" w:rsidP="00487414">
            <w:pPr>
              <w:pStyle w:val="ListBullet"/>
            </w:pPr>
            <w:r w:rsidRPr="00487414">
              <w:t>number systems.</w:t>
            </w:r>
          </w:p>
          <w:p w:rsidR="00000000" w:rsidRPr="00487414" w:rsidP="00487414">
            <w:pPr>
              <w:pStyle w:val="ListBullet"/>
            </w:pPr>
            <w:r w:rsidRPr="00487414">
              <w:t>arithmetic operations.</w:t>
            </w:r>
          </w:p>
          <w:p w:rsidR="00000000" w:rsidRPr="00487414" w:rsidP="00487414">
            <w:pPr>
              <w:pStyle w:val="ListBullet"/>
            </w:pPr>
            <w:r w:rsidRPr="00487414">
              <w:t>accuracy and stability.</w:t>
            </w:r>
          </w:p>
          <w:p w:rsidR="00000000" w:rsidRPr="00487414" w:rsidP="00487414">
            <w:pPr>
              <w:pStyle w:val="BodyText"/>
            </w:pPr>
            <w:r w:rsidRPr="00487414">
              <w:t>T9</w:t>
            </w:r>
            <w:r w:rsidRPr="00487414">
              <w:tab/>
              <w:t>Statistics encompassing:</w:t>
            </w:r>
          </w:p>
          <w:p w:rsidR="00000000" w:rsidRPr="00487414" w:rsidP="00487414">
            <w:pPr>
              <w:pStyle w:val="ListBullet"/>
            </w:pPr>
            <w:r w:rsidRPr="00487414">
              <w:t>assembly, representation and analysis of data.</w:t>
            </w:r>
          </w:p>
          <w:p w:rsidR="00000000" w:rsidRPr="00487414" w:rsidP="00487414">
            <w:pPr>
              <w:pStyle w:val="ListBullet"/>
            </w:pPr>
            <w:r w:rsidRPr="00487414">
              <w:t>fitting distributions to data.</w:t>
            </w:r>
          </w:p>
          <w:p w:rsidR="00000000" w:rsidRPr="00487414" w:rsidP="00487414">
            <w:pPr>
              <w:pStyle w:val="ListBullet"/>
            </w:pPr>
            <w:r w:rsidRPr="00487414">
              <w:t>non-parametric statistics.</w:t>
            </w:r>
          </w:p>
          <w:p w:rsidR="00000000" w:rsidRPr="00487414" w:rsidP="00487414">
            <w:pPr>
              <w:pStyle w:val="ListBullet"/>
            </w:pPr>
            <w:r w:rsidRPr="00487414">
              <w:t>tests of significance for means, variances and extreme valu</w:t>
            </w:r>
            <w:r w:rsidRPr="00487414">
              <w:t>es.</w:t>
            </w:r>
          </w:p>
          <w:p w:rsidR="00000000" w:rsidRPr="00487414" w:rsidP="00487414">
            <w:pPr>
              <w:pStyle w:val="ListBullet"/>
            </w:pPr>
            <w:r w:rsidRPr="00487414">
              <w:t>correlation</w:t>
            </w:r>
          </w:p>
        </w:tc>
      </w:tr>
    </w:tbl>
    <w:p w:rsidR="00000000" w:rsidRPr="00487414" w:rsidP="00487414">
      <w:pPr>
        <w:pStyle w:val="BodyText"/>
      </w:pPr>
    </w:p>
    <w:p w:rsidR="00000000" w:rsidRPr="00487414" w:rsidP="00487414">
      <w:pPr>
        <w:pStyle w:val="AllowPageBreak"/>
      </w:pPr>
    </w:p>
    <w:p w:rsidR="00000000" w:rsidRPr="00487414" w:rsidP="00487414">
      <w:pPr>
        <w:pStyle w:val="Heading1"/>
      </w:pPr>
      <w:bookmarkStart w:id="10" w:name="O_584438"/>
      <w:bookmarkEnd w:id="10"/>
      <w:r w:rsidRPr="00487414">
        <w:t>Evidence Guide</w:t>
      </w:r>
    </w:p>
    <w:tbl>
      <w:tblPr>
        <w:tblW w:w="0" w:type="auto"/>
        <w:tblLayout w:type="fixed"/>
        <w:tblCellMar>
          <w:left w:w="62" w:type="dxa"/>
          <w:right w:w="62" w:type="dxa"/>
        </w:tblCellMar>
        <w:tblLook w:val="0000"/>
      </w:tblPr>
      <w:tblGrid>
        <w:gridCol w:w="8460"/>
      </w:tblGrid>
      <w:tr w:rsidTr="003D039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rPr>
                <w:rStyle w:val="SpecialBold"/>
              </w:rPr>
              <w:t>EVIDENCE GUIDE</w:t>
            </w:r>
          </w:p>
        </w:tc>
      </w:tr>
      <w:tr w:rsidTr="003D039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87414" w:rsidP="00487414">
            <w:pPr>
              <w:pStyle w:val="BodyText"/>
            </w:pPr>
            <w:r w:rsidRPr="00487414">
              <w:rPr>
                <w:rStyle w:val="SpecialBold"/>
              </w:rPr>
              <w:t>9)</w:t>
            </w:r>
            <w:r w:rsidRPr="00487414">
              <w:t xml:space="preserve"> The evidence guide provides advice on assessment and must be read in conjunction with the Performance Crit</w:t>
            </w:r>
            <w:r w:rsidRPr="00487414">
              <w:t xml:space="preserve">eria, Required Skills and Knowledge, the Range Statement and the Assessment Guidelines for this Training Package. </w:t>
            </w:r>
          </w:p>
          <w:p w:rsidR="00000000" w:rsidRPr="00487414" w:rsidP="00487414">
            <w:pPr>
              <w:pStyle w:val="BodyText"/>
            </w:pPr>
            <w:r w:rsidRPr="00487414">
              <w:t>The Evidence Guide forms an integral part of this unit. It must be used in conjunction with all parts of the unit and performed in accordance</w:t>
            </w:r>
            <w:r w:rsidRPr="00487414">
              <w:t xml:space="preserve"> with the Assessment Guidelines of this Training Package.</w:t>
            </w:r>
          </w:p>
        </w:tc>
      </w:tr>
    </w:tbl>
    <w:p w:rsidR="00000000" w:rsidRPr="00487414" w:rsidP="00487414">
      <w:pPr>
        <w:pStyle w:val="BodyText"/>
      </w:pPr>
    </w:p>
    <w:tbl>
      <w:tblPr>
        <w:tblW w:w="0" w:type="auto"/>
        <w:tblLayout w:type="fixed"/>
        <w:tblCellMar>
          <w:left w:w="62" w:type="dxa"/>
          <w:right w:w="62" w:type="dxa"/>
        </w:tblCellMar>
        <w:tblLook w:val="0000"/>
      </w:tblPr>
      <w:tblGrid>
        <w:gridCol w:w="1890"/>
        <w:gridCol w:w="6570"/>
      </w:tblGrid>
      <w:tr w:rsidTr="003D039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87414" w:rsidP="00487414">
            <w:pPr>
              <w:pStyle w:val="BodyText"/>
            </w:pPr>
            <w:r w:rsidRPr="0048741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rPr>
                <w:rStyle w:val="SpecialBold"/>
              </w:rPr>
              <w:t>9.1)</w:t>
            </w:r>
          </w:p>
        </w:tc>
      </w:tr>
      <w:tr w:rsidTr="003D039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87414" w:rsidP="00487414">
            <w:pPr>
              <w:pStyle w:val="BodyText"/>
            </w:pPr>
            <w:r w:rsidRPr="00487414">
              <w:t xml:space="preserve">Longitudinal competency development approaches to assessment, such as Profiling, require data to be reliably gathered in a form that can be </w:t>
            </w:r>
            <w:r w:rsidRPr="00487414">
              <w:t>consistently interpreted over time. This approach is best utilised in Apprenticeship programs and reduces assessment intervention. It is the industry-preferred model for apprenticeships. However, where summative (or final) assessment is used it is to inclu</w:t>
            </w:r>
            <w:r w:rsidRPr="00487414">
              <w:t>de the application of the competency in the normal work environment or, at a minimum, the application of the competency in a realistically simulated work environment. It is recognised that, in some circumstances, assessment in part or full can occur outsid</w:t>
            </w:r>
            <w:r w:rsidRPr="00487414">
              <w:t>e the workplace. However, it must be in accordance with industry and regulatory policy.</w:t>
            </w:r>
          </w:p>
          <w:p w:rsidR="00000000" w:rsidRPr="00487414" w:rsidP="00487414">
            <w:pPr>
              <w:pStyle w:val="BodyText"/>
            </w:pPr>
            <w:r w:rsidRPr="00487414">
              <w:t>Methods chosen for a particular assessment will be influenced by various factors. These include the extent of the assessment, the most effective locations for the asses</w:t>
            </w:r>
            <w:r w:rsidRPr="00487414">
              <w:t>sment activities to take place, access to physical resources, additional safety measures that may be required and the critical nature of the competencies being assessed.</w:t>
            </w:r>
          </w:p>
          <w:p w:rsidR="00000000" w:rsidRPr="00487414" w:rsidP="00487414">
            <w:pPr>
              <w:pStyle w:val="BodyText"/>
            </w:pPr>
            <w:r w:rsidRPr="00487414">
              <w:t>The critical safety nature of working with electricity, electrical equipment, gas or a</w:t>
            </w:r>
            <w:r w:rsidRPr="00487414">
              <w:t>ny other hazardous substance/material carries risk in deeming a person competent. Sources of evidence need to be ‘rich’ in nature to minimise error in judgment.</w:t>
            </w:r>
          </w:p>
          <w:p w:rsidR="00000000" w:rsidRPr="00487414" w:rsidP="00487414">
            <w:pPr>
              <w:pStyle w:val="BodyText"/>
            </w:pPr>
            <w:r w:rsidRPr="00487414">
              <w:t>Activities associated with normal everyday work have a bearing on the decision as to how much a</w:t>
            </w:r>
            <w:r w:rsidRPr="00487414">
              <w:t xml:space="preserve">nd how detailed the data gathered will contribute to its ‘richness’. Some skills are more critical to safety and operational requirements while the same skills may be more or less frequently practised. These points are raised for the assessors to consider </w:t>
            </w:r>
            <w:r w:rsidRPr="00487414">
              <w:t>when choosing an assessment method and developing assessment instruments. Sample assessment instruments are included for Assessors in the Assessment Guidelines of this Training Package.</w:t>
            </w:r>
          </w:p>
        </w:tc>
      </w:tr>
    </w:tbl>
    <w:p w:rsidR="00000000" w:rsidRPr="00487414" w:rsidP="00487414">
      <w:pPr>
        <w:pStyle w:val="BodyText"/>
      </w:pPr>
    </w:p>
    <w:tbl>
      <w:tblPr>
        <w:tblW w:w="0" w:type="auto"/>
        <w:tblLayout w:type="fixed"/>
        <w:tblCellMar>
          <w:left w:w="62" w:type="dxa"/>
          <w:right w:w="62" w:type="dxa"/>
        </w:tblCellMar>
        <w:tblLook w:val="0000"/>
      </w:tblPr>
      <w:tblGrid>
        <w:gridCol w:w="1890"/>
        <w:gridCol w:w="1710"/>
        <w:gridCol w:w="4860"/>
      </w:tblGrid>
      <w:tr w:rsidTr="003D039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87414" w:rsidP="00487414">
            <w:pPr>
              <w:pStyle w:val="BodyText"/>
            </w:pPr>
            <w:r w:rsidRPr="00487414">
              <w:rPr>
                <w:rStyle w:val="SpecialBold"/>
              </w:rPr>
              <w:t>Critical aspects of evidence required to demonstrate competency in t</w:t>
            </w:r>
            <w:r w:rsidRPr="00487414">
              <w:rPr>
                <w:rStyle w:val="SpecialBold"/>
              </w:rPr>
              <w:t>his unit</w:t>
            </w:r>
          </w:p>
        </w:tc>
        <w:tc>
          <w:tcPr>
            <w:tcW w:w="6570" w:type="dxa"/>
            <w:gridSpan w:val="2"/>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rPr>
                <w:rStyle w:val="SpecialBold"/>
              </w:rPr>
              <w:t>9.2)</w:t>
            </w:r>
          </w:p>
        </w:tc>
      </w:tr>
      <w:tr w:rsidTr="003D039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487414" w:rsidP="00487414">
            <w:pPr>
              <w:pStyle w:val="BodyText"/>
            </w:pPr>
            <w:r w:rsidRPr="00487414">
              <w:t>Before the critical aspects of evidence are considered all prerequisites must be met.</w:t>
            </w:r>
          </w:p>
          <w:p w:rsidR="00000000" w:rsidRPr="00487414" w:rsidP="00487414">
            <w:pPr>
              <w:pStyle w:val="BodyText"/>
            </w:pPr>
            <w:r w:rsidRPr="00487414">
              <w:t>Evidence for competence in this unit shall be considered holistically.  Each element and associated performance criteria shall be demonstrated on at leas</w:t>
            </w:r>
            <w:r w:rsidRPr="00487414">
              <w:t>t two occasions in accordance with the ‘Assessment Guidelines – UEE11’.  Evidence shall also comprise:</w:t>
            </w:r>
          </w:p>
          <w:p w:rsidR="00000000" w:rsidRPr="00487414" w:rsidP="00487414">
            <w:pPr>
              <w:pStyle w:val="ListBullet"/>
            </w:pPr>
            <w:r w:rsidRPr="00487414">
              <w:t>A representative body of work performance demonstrated within the timeframes typically expected of the discipline, work function and industrial environm</w:t>
            </w:r>
            <w:r w:rsidRPr="00487414">
              <w:t>ent. In particular this shall incorporate evidence that shows a candidate is able to:</w:t>
            </w:r>
          </w:p>
          <w:p w:rsidR="00000000" w:rsidRPr="00487414" w:rsidP="00487414">
            <w:pPr>
              <w:pStyle w:val="ListBullet2"/>
            </w:pPr>
            <w:r w:rsidRPr="00487414">
              <w:t xml:space="preserve">Implement Occupational Health and Safety workplace procedures and practices, including </w:t>
            </w:r>
            <w:r w:rsidRPr="00487414">
              <w:t>the use of risk control measures as specified in the performance criteria and range statement</w:t>
            </w:r>
          </w:p>
          <w:p w:rsidR="00000000" w:rsidRPr="00487414" w:rsidP="00487414">
            <w:pPr>
              <w:pStyle w:val="ListBullet2"/>
            </w:pPr>
            <w:r w:rsidRPr="00487414">
              <w:t>Apply sustainable energy principles and practices as specified in the performance criteria and range statement</w:t>
            </w:r>
          </w:p>
          <w:p w:rsidR="00000000" w:rsidRPr="00487414" w:rsidP="00487414">
            <w:pPr>
              <w:pStyle w:val="ListBullet2"/>
            </w:pPr>
            <w:r w:rsidRPr="00487414">
              <w:t>Demonstrate an understanding of the essential knowl</w:t>
            </w:r>
            <w:r w:rsidRPr="00487414">
              <w:t xml:space="preserve">edge and associated skills as described in this unit.  It may be required by some jurisdictions that RTOs provide a percentile graded result for the purpose of regulatory or licensing requirements.   </w:t>
            </w:r>
          </w:p>
          <w:p w:rsidR="00000000" w:rsidRPr="00487414" w:rsidP="00487414">
            <w:pPr>
              <w:pStyle w:val="ListBullet2"/>
            </w:pPr>
            <w:r w:rsidRPr="00487414">
              <w:t>Demonstrate an appropriate level of skills enabling emp</w:t>
            </w:r>
            <w:r w:rsidRPr="00487414">
              <w:t>loyment</w:t>
            </w:r>
          </w:p>
          <w:p w:rsidR="00000000" w:rsidRPr="00487414" w:rsidP="00487414">
            <w:pPr>
              <w:pStyle w:val="ListBullet2"/>
            </w:pPr>
            <w:r w:rsidRPr="00487414">
              <w:t>Conduct work observing the relevant Anti Discrimination legislation, regulations, polices and workplace procedures</w:t>
            </w:r>
          </w:p>
          <w:p w:rsidR="00000000" w:rsidRPr="00487414" w:rsidP="00487414">
            <w:pPr>
              <w:pStyle w:val="ListBullet"/>
            </w:pPr>
            <w:r w:rsidRPr="00487414">
              <w:t>Demonstrated consistent performance across a representative range of contexts from the prescribed items below:</w:t>
            </w:r>
          </w:p>
          <w:p w:rsidR="00000000" w:rsidP="00487414">
            <w:pPr>
              <w:pStyle w:val="ListBullet2"/>
              <w:rPr>
                <w:lang w:val="en-NZ"/>
              </w:rPr>
            </w:pPr>
            <w:r w:rsidRPr="00487414">
              <w:t>Use advanced computa</w:t>
            </w:r>
            <w:r w:rsidRPr="00487414">
              <w:t>tional processes to provide solutions to energy sector engineering problems as described in 8) and including:</w:t>
            </w:r>
          </w:p>
        </w:tc>
      </w:tr>
      <w:tr w:rsidTr="003D039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t>A</w:t>
            </w:r>
          </w:p>
        </w:tc>
        <w:tc>
          <w:tcPr>
            <w:tcW w:w="4860"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t>Clearly stating problems in written and diagrammatic form.</w:t>
            </w:r>
          </w:p>
        </w:tc>
      </w:tr>
      <w:tr w:rsidTr="003D039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t>B</w:t>
            </w:r>
          </w:p>
        </w:tc>
        <w:tc>
          <w:tcPr>
            <w:tcW w:w="4860"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t>Obtaining known constants and variable from an appropriate source.</w:t>
            </w:r>
          </w:p>
        </w:tc>
      </w:tr>
      <w:tr w:rsidTr="003D039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t>C</w:t>
            </w:r>
          </w:p>
        </w:tc>
        <w:tc>
          <w:tcPr>
            <w:tcW w:w="4860"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t>Solving problems using appropriate advanced mathematical processes.</w:t>
            </w:r>
          </w:p>
        </w:tc>
      </w:tr>
      <w:tr w:rsidTr="003D039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t>D</w:t>
            </w:r>
          </w:p>
        </w:tc>
        <w:tc>
          <w:tcPr>
            <w:tcW w:w="4860"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t>Documenting justification of solutions provided in accordance with professional standards.</w:t>
            </w:r>
          </w:p>
        </w:tc>
      </w:tr>
      <w:tr w:rsidTr="003D039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t>E</w:t>
            </w:r>
          </w:p>
        </w:tc>
        <w:tc>
          <w:tcPr>
            <w:tcW w:w="4860" w:type="dxa"/>
            <w:tcBorders>
              <w:top w:val="nil"/>
              <w:left w:val="nil"/>
              <w:bottom w:val="nil"/>
              <w:right w:val="nil"/>
            </w:tcBorders>
            <w:tcMar>
              <w:top w:w="0" w:type="dxa"/>
              <w:left w:w="62" w:type="dxa"/>
              <w:bottom w:w="0" w:type="dxa"/>
              <w:right w:w="62" w:type="dxa"/>
            </w:tcMar>
          </w:tcPr>
          <w:p w:rsidR="00000000" w:rsidRPr="00487414" w:rsidP="00487414">
            <w:pPr>
              <w:pStyle w:val="BodyText"/>
            </w:pPr>
            <w:r w:rsidRPr="00487414">
              <w:t>Dealing with unplanned events by drawing on essential knowledge and skills to provide ap</w:t>
            </w:r>
            <w:r w:rsidRPr="00487414">
              <w:t xml:space="preserve">propriate solutions incorporated in a holistic assessment with </w:t>
            </w:r>
            <w:r w:rsidRPr="00487414">
              <w:t>the above listed items.</w:t>
            </w:r>
          </w:p>
        </w:tc>
      </w:tr>
    </w:tbl>
    <w:p w:rsidR="00000000" w:rsidRPr="00487414" w:rsidP="00487414">
      <w:pPr>
        <w:pStyle w:val="BodyText"/>
      </w:pPr>
    </w:p>
    <w:tbl>
      <w:tblPr>
        <w:tblW w:w="0" w:type="auto"/>
        <w:tblLayout w:type="fixed"/>
        <w:tblCellMar>
          <w:left w:w="62" w:type="dxa"/>
          <w:right w:w="62" w:type="dxa"/>
        </w:tblCellMar>
        <w:tblLook w:val="0000"/>
      </w:tblPr>
      <w:tblGrid>
        <w:gridCol w:w="1890"/>
        <w:gridCol w:w="6570"/>
      </w:tblGrid>
      <w:tr w:rsidTr="003D039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87414" w:rsidP="00487414">
            <w:pPr>
              <w:pStyle w:val="BodyText"/>
            </w:pPr>
            <w:r w:rsidRPr="0048741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rPr>
                <w:rStyle w:val="SpecialBold"/>
              </w:rPr>
              <w:t>9.3)</w:t>
            </w:r>
          </w:p>
        </w:tc>
      </w:tr>
      <w:tr w:rsidTr="003D039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87414" w:rsidP="00487414">
            <w:pPr>
              <w:pStyle w:val="BodyText"/>
            </w:pPr>
            <w:r w:rsidRPr="00487414">
              <w:t xml:space="preserve">This unit should be assessed as it relates to normal work practice using procedures, information and resources </w:t>
            </w:r>
            <w:r w:rsidRPr="00487414">
              <w:t>typical of a workplace. This should include:</w:t>
            </w:r>
          </w:p>
          <w:p w:rsidR="00000000" w:rsidRPr="00487414" w:rsidP="00487414">
            <w:pPr>
              <w:pStyle w:val="ListBullet"/>
            </w:pPr>
            <w:r w:rsidRPr="00487414">
              <w:t>OHS policy and work procedures and instructions.</w:t>
            </w:r>
          </w:p>
          <w:p w:rsidR="00000000" w:rsidRPr="00487414" w:rsidP="00487414">
            <w:pPr>
              <w:pStyle w:val="ListBullet"/>
            </w:pPr>
            <w:r w:rsidRPr="00487414">
              <w:t>Suitable work environment, facilities, equipment and materials to undertake actual work as prescribed in this unit.</w:t>
            </w:r>
          </w:p>
          <w:p w:rsidR="00000000" w:rsidRPr="00487414" w:rsidP="00487414">
            <w:pPr>
              <w:pStyle w:val="BodyText"/>
            </w:pPr>
            <w:r w:rsidRPr="00487414">
              <w:t>These should be used in the formal learning/assessment environment.</w:t>
            </w:r>
          </w:p>
          <w:p w:rsidR="00000000" w:rsidRPr="00487414" w:rsidP="00487414">
            <w:pPr>
              <w:pStyle w:val="BodyText"/>
            </w:pPr>
            <w:r w:rsidRPr="00487414">
              <w:t>Note:</w:t>
            </w:r>
          </w:p>
          <w:p w:rsidR="00000000" w:rsidRPr="00487414" w:rsidP="00487414">
            <w:pPr>
              <w:pStyle w:val="BodyText"/>
            </w:pPr>
            <w:r w:rsidRPr="00487414">
              <w:t>Where simulation is considered a suitable strategy for assessment, conditions for assessment must be authentic and as far as possible reproduce and replicate the workplace and be con</w:t>
            </w:r>
            <w:r w:rsidRPr="00487414">
              <w:t>sistent with the approved industry simulation policy.</w:t>
            </w:r>
          </w:p>
          <w:p w:rsidR="00000000" w:rsidRPr="00487414" w:rsidP="00487414">
            <w:pPr>
              <w:pStyle w:val="BodyText"/>
            </w:pPr>
            <w:r w:rsidRPr="00487414">
              <w:t>In addition to the resources listed above in Context of and specific resources for assessment, evidence should show demonstrated competency in using advanced computational processes to provide solutions</w:t>
            </w:r>
            <w:r w:rsidRPr="00487414">
              <w:t xml:space="preserve"> to engineering problems.</w:t>
            </w:r>
          </w:p>
        </w:tc>
      </w:tr>
    </w:tbl>
    <w:p w:rsidR="00000000" w:rsidRPr="00487414" w:rsidP="00487414">
      <w:pPr>
        <w:pStyle w:val="BodyText"/>
      </w:pPr>
    </w:p>
    <w:tbl>
      <w:tblPr>
        <w:tblW w:w="0" w:type="auto"/>
        <w:tblLayout w:type="fixed"/>
        <w:tblCellMar>
          <w:left w:w="62" w:type="dxa"/>
          <w:right w:w="62" w:type="dxa"/>
        </w:tblCellMar>
        <w:tblLook w:val="0000"/>
      </w:tblPr>
      <w:tblGrid>
        <w:gridCol w:w="1890"/>
        <w:gridCol w:w="6570"/>
      </w:tblGrid>
      <w:tr w:rsidTr="003D039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87414" w:rsidP="00487414">
            <w:pPr>
              <w:pStyle w:val="BodyText"/>
            </w:pPr>
            <w:r w:rsidRPr="0048741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rPr>
                <w:rStyle w:val="SpecialBold"/>
              </w:rPr>
              <w:t>9.4)</w:t>
            </w:r>
          </w:p>
        </w:tc>
      </w:tr>
      <w:tr w:rsidTr="003D039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87414" w:rsidP="00487414">
            <w:pPr>
              <w:pStyle w:val="BodyText"/>
            </w:pPr>
            <w:r w:rsidRPr="00487414">
              <w:t>This unit shall be assessed by methods given in Volume 1, Part 3 ‘Assessment Guidelines’.</w:t>
            </w:r>
          </w:p>
          <w:p w:rsidR="00000000" w:rsidRPr="00487414" w:rsidP="00487414">
            <w:pPr>
              <w:pStyle w:val="BodyText"/>
            </w:pPr>
            <w:r w:rsidRPr="00487414">
              <w:t xml:space="preserve">Note: </w:t>
            </w:r>
          </w:p>
          <w:p w:rsidR="00000000" w:rsidRPr="00487414" w:rsidP="00487414">
            <w:pPr>
              <w:pStyle w:val="BodyText"/>
            </w:pPr>
            <w:r w:rsidRPr="00487414">
              <w:t>Competent performance with inherent safe working practices is expected in the Industry to which this unit applies. This requires that the specified essential knowledge and associated skills are assessed in a structured environment which is primarily intend</w:t>
            </w:r>
            <w:r w:rsidRPr="00487414">
              <w:t>ed for learning/assessment and incorporates all necessary equipment and facilities for learners to develop and demonstrate the essential knowledge and skills described in this unit.</w:t>
            </w:r>
          </w:p>
        </w:tc>
      </w:tr>
    </w:tbl>
    <w:p w:rsidR="00000000" w:rsidRPr="00487414" w:rsidP="00487414">
      <w:pPr>
        <w:pStyle w:val="BodyText"/>
      </w:pPr>
    </w:p>
    <w:tbl>
      <w:tblPr>
        <w:tblW w:w="0" w:type="auto"/>
        <w:tblLayout w:type="fixed"/>
        <w:tblCellMar>
          <w:left w:w="62" w:type="dxa"/>
          <w:right w:w="62" w:type="dxa"/>
        </w:tblCellMar>
        <w:tblLook w:val="0000"/>
      </w:tblPr>
      <w:tblGrid>
        <w:gridCol w:w="1890"/>
        <w:gridCol w:w="1620"/>
        <w:gridCol w:w="4950"/>
      </w:tblGrid>
      <w:tr w:rsidTr="003D039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87414" w:rsidP="00487414">
            <w:pPr>
              <w:pStyle w:val="BodyText"/>
            </w:pPr>
            <w:r w:rsidRPr="00487414">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rPr>
                <w:rStyle w:val="SpecialBold"/>
              </w:rPr>
              <w:t>9.5)</w:t>
            </w:r>
          </w:p>
        </w:tc>
      </w:tr>
      <w:tr w:rsidTr="003D039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t>For opti</w:t>
            </w:r>
            <w:r w:rsidRPr="00487414">
              <w:t>misation of training and assessment effort, competency development in this unit may be arranged concurrently with unit:</w:t>
            </w:r>
          </w:p>
        </w:tc>
      </w:tr>
      <w:tr w:rsidTr="003D039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t>UEENEEE125A</w:t>
            </w:r>
          </w:p>
        </w:tc>
        <w:tc>
          <w:tcPr>
            <w:tcW w:w="4950"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t>Provide engineering solutions for problems in complex multiple path circuit</w:t>
            </w:r>
          </w:p>
        </w:tc>
      </w:tr>
      <w:tr w:rsidTr="003D039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t>UEENEEE126A</w:t>
            </w:r>
          </w:p>
        </w:tc>
        <w:tc>
          <w:tcPr>
            <w:tcW w:w="4950" w:type="dxa"/>
            <w:tcBorders>
              <w:top w:val="nil"/>
              <w:left w:val="nil"/>
              <w:bottom w:val="nil"/>
              <w:right w:val="nil"/>
            </w:tcBorders>
            <w:tcMar>
              <w:top w:w="0" w:type="dxa"/>
              <w:left w:w="62" w:type="dxa"/>
              <w:bottom w:w="0" w:type="dxa"/>
              <w:right w:w="62" w:type="dxa"/>
            </w:tcMar>
          </w:tcPr>
          <w:p w:rsidR="00000000" w:rsidRPr="00487414" w:rsidP="00487414">
            <w:pPr>
              <w:pStyle w:val="BodyText"/>
            </w:pPr>
            <w:r w:rsidRPr="00487414">
              <w:t>Provide solutions to basic engineering computational problems</w:t>
            </w:r>
          </w:p>
        </w:tc>
      </w:tr>
    </w:tbl>
    <w:p w:rsidR="00000000" w:rsidRPr="00487414" w:rsidP="00487414">
      <w:pPr>
        <w:pStyle w:val="BodyText"/>
      </w:pPr>
    </w:p>
    <w:p w:rsidR="00000000" w:rsidRPr="00487414" w:rsidP="00487414">
      <w:pPr>
        <w:pStyle w:val="AllowPageBreak"/>
      </w:pPr>
    </w:p>
    <w:p w:rsidR="00000000" w:rsidRPr="00487414" w:rsidP="00487414">
      <w:pPr>
        <w:pStyle w:val="Heading1"/>
      </w:pPr>
      <w:bookmarkStart w:id="11" w:name="O_584437"/>
      <w:bookmarkEnd w:id="11"/>
      <w:r w:rsidRPr="00487414">
        <w:t>Range Statement</w:t>
      </w:r>
    </w:p>
    <w:tbl>
      <w:tblPr>
        <w:tblW w:w="0" w:type="auto"/>
        <w:tblLayout w:type="fixed"/>
        <w:tblCellMar>
          <w:left w:w="62" w:type="dxa"/>
          <w:right w:w="62" w:type="dxa"/>
        </w:tblCellMar>
        <w:tblLook w:val="0000"/>
      </w:tblPr>
      <w:tblGrid>
        <w:gridCol w:w="8460"/>
      </w:tblGrid>
      <w:tr w:rsidTr="003D039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rPr>
                <w:rStyle w:val="SpecialBold"/>
              </w:rPr>
              <w:t>RANGE STATEMENT</w:t>
            </w:r>
          </w:p>
        </w:tc>
      </w:tr>
      <w:tr w:rsidTr="003D039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87414" w:rsidP="00487414">
            <w:pPr>
              <w:pStyle w:val="BodyText"/>
            </w:pPr>
            <w:r w:rsidRPr="00487414">
              <w:rPr>
                <w:rStyle w:val="SpecialBold"/>
              </w:rPr>
              <w:t>10)</w:t>
            </w:r>
            <w:r w:rsidRPr="00487414">
              <w:t xml:space="preserve"> This relates to the unit as a whole providing the range of contexts and conditions to which the performance criteria apply. It allows for </w:t>
            </w:r>
            <w:r w:rsidRPr="00487414">
              <w:t>different work environments and situations that will affect performance.</w:t>
            </w:r>
          </w:p>
          <w:p w:rsidR="00000000" w:rsidRPr="00487414" w:rsidP="00487414">
            <w:pPr>
              <w:pStyle w:val="BodyText"/>
            </w:pPr>
            <w:r w:rsidRPr="00487414">
              <w:t>This unit shall be demonstrated in relation to complex problems that apply to energy sector engineering diagnosis development and work functions with the following attributes:</w:t>
            </w:r>
          </w:p>
          <w:p w:rsidR="00000000" w:rsidRPr="00487414" w:rsidP="00487414">
            <w:pPr>
              <w:pStyle w:val="ListBullet3"/>
            </w:pPr>
            <w:r w:rsidRPr="00487414">
              <w:t>workin</w:t>
            </w:r>
            <w:r w:rsidRPr="00487414">
              <w:t>g safety</w:t>
            </w:r>
          </w:p>
          <w:p w:rsidR="00000000" w:rsidRPr="00487414" w:rsidP="00487414">
            <w:pPr>
              <w:pStyle w:val="ListBullet3"/>
            </w:pPr>
            <w:r w:rsidRPr="00487414">
              <w:t>problem solving techniques application</w:t>
            </w:r>
          </w:p>
          <w:p w:rsidR="00000000" w:rsidRPr="00487414" w:rsidP="00487414">
            <w:pPr>
              <w:pStyle w:val="ListBullet3"/>
            </w:pPr>
            <w:r w:rsidRPr="00487414">
              <w:t>range of advanced mathematical processes used</w:t>
            </w:r>
          </w:p>
          <w:p w:rsidR="00000000" w:rsidRPr="00487414" w:rsidP="00487414">
            <w:pPr>
              <w:pStyle w:val="ListBullet3"/>
            </w:pPr>
            <w:r w:rsidRPr="00487414">
              <w:t>provision electrical/electronics engineering problems solutions</w:t>
            </w:r>
          </w:p>
          <w:p w:rsidR="00000000" w:rsidRPr="00487414" w:rsidP="00487414">
            <w:pPr>
              <w:pStyle w:val="ListBullet3"/>
            </w:pPr>
            <w:r w:rsidRPr="00487414">
              <w:t>such solutions justification</w:t>
            </w:r>
          </w:p>
          <w:p w:rsidR="00000000" w:rsidRPr="00487414" w:rsidP="00487414">
            <w:pPr>
              <w:pStyle w:val="BodyText"/>
            </w:pPr>
            <w:r w:rsidRPr="00487414">
              <w:t>Providing using advanced computational processes to provide solutions to energy sector engineering problems shall be demonstrated in any of the following disciplines:</w:t>
            </w:r>
          </w:p>
          <w:p w:rsidR="00000000" w:rsidRPr="00487414" w:rsidP="00487414">
            <w:pPr>
              <w:pStyle w:val="ListBullet3"/>
            </w:pPr>
            <w:r w:rsidRPr="00487414">
              <w:t xml:space="preserve">Computers </w:t>
            </w:r>
          </w:p>
          <w:p w:rsidR="00000000" w:rsidRPr="00487414" w:rsidP="00487414">
            <w:pPr>
              <w:pStyle w:val="ListBullet3"/>
            </w:pPr>
            <w:r w:rsidRPr="00487414">
              <w:t>Data Communications</w:t>
            </w:r>
          </w:p>
          <w:p w:rsidR="00000000" w:rsidRPr="00487414" w:rsidP="00487414">
            <w:pPr>
              <w:pStyle w:val="ListBullet3"/>
            </w:pPr>
            <w:r w:rsidRPr="00487414">
              <w:t>Electrical</w:t>
            </w:r>
          </w:p>
          <w:p w:rsidR="00000000" w:rsidRPr="00487414" w:rsidP="00487414">
            <w:pPr>
              <w:pStyle w:val="ListBullet3"/>
            </w:pPr>
            <w:r w:rsidRPr="00487414">
              <w:t>Electronics</w:t>
            </w:r>
          </w:p>
          <w:p w:rsidR="00000000" w:rsidRPr="00487414" w:rsidP="00487414">
            <w:pPr>
              <w:pStyle w:val="ListBullet3"/>
            </w:pPr>
            <w:r w:rsidRPr="00487414">
              <w:t>Instrumentation</w:t>
            </w:r>
          </w:p>
          <w:p w:rsidR="00000000" w:rsidRPr="00487414" w:rsidP="00487414">
            <w:pPr>
              <w:pStyle w:val="ListBullet3"/>
            </w:pPr>
            <w:r w:rsidRPr="00487414">
              <w:t xml:space="preserve">Refrigeration and </w:t>
            </w:r>
            <w:r w:rsidRPr="00487414">
              <w:t>Air Conditioning</w:t>
            </w:r>
          </w:p>
          <w:p w:rsidR="00000000" w:rsidRPr="00487414" w:rsidP="00487414">
            <w:pPr>
              <w:pStyle w:val="BodyText"/>
            </w:pPr>
            <w:r w:rsidRPr="00487414">
              <w:t>Generic terms used throughout this Vocational Standard shall be regarded as part of the Range Statement in which competency is demonstrated. The definition of these and other terms that apply are given in Volume 2, Part 2.1.</w:t>
            </w:r>
          </w:p>
        </w:tc>
      </w:tr>
    </w:tbl>
    <w:p w:rsidR="00000000" w:rsidRPr="00487414" w:rsidP="00487414">
      <w:pPr>
        <w:pStyle w:val="BodyText"/>
      </w:pPr>
    </w:p>
    <w:p w:rsidR="00000000" w:rsidRPr="00487414" w:rsidP="00487414">
      <w:pPr>
        <w:pStyle w:val="AllowPageBreak"/>
      </w:pPr>
    </w:p>
    <w:p w:rsidR="00000000" w:rsidRPr="00487414" w:rsidP="00487414">
      <w:pPr>
        <w:pStyle w:val="Heading1"/>
      </w:pPr>
      <w:bookmarkStart w:id="12" w:name="O_584436"/>
      <w:bookmarkEnd w:id="12"/>
      <w:r w:rsidRPr="00487414">
        <w:t>Unit Sector(s)</w:t>
      </w:r>
    </w:p>
    <w:p w:rsidR="00000000" w:rsidRPr="00487414" w:rsidP="00487414">
      <w:pPr>
        <w:pStyle w:val="BodyText"/>
      </w:pPr>
      <w:r w:rsidRPr="00487414">
        <w:t>Not applicable.</w:t>
      </w:r>
    </w:p>
    <w:p w:rsidR="00000000" w:rsidRPr="00487414" w:rsidP="00487414">
      <w:pPr>
        <w:pStyle w:val="AllowPageBreak"/>
      </w:pPr>
    </w:p>
    <w:p w:rsidR="00000000" w:rsidRPr="00487414" w:rsidP="00487414">
      <w:pPr>
        <w:pStyle w:val="Heading1"/>
      </w:pPr>
      <w:bookmarkStart w:id="13" w:name="O_584435"/>
      <w:bookmarkEnd w:id="13"/>
      <w:r w:rsidRPr="00487414">
        <w:t>Competency Field</w:t>
      </w:r>
    </w:p>
    <w:tbl>
      <w:tblPr>
        <w:tblW w:w="0" w:type="auto"/>
        <w:tblLayout w:type="fixed"/>
        <w:tblCellMar>
          <w:left w:w="62" w:type="dxa"/>
          <w:right w:w="62" w:type="dxa"/>
        </w:tblCellMar>
        <w:tblLook w:val="0000"/>
      </w:tblPr>
      <w:tblGrid>
        <w:gridCol w:w="2700"/>
        <w:gridCol w:w="5760"/>
      </w:tblGrid>
      <w:tr w:rsidTr="003D039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7414" w:rsidP="00487414">
            <w:pPr>
              <w:pStyle w:val="BodyText"/>
            </w:pPr>
            <w:r w:rsidRPr="0048741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87414">
            <w:pPr>
              <w:pStyle w:val="BodyText"/>
              <w:rPr>
                <w:lang w:val="en-NZ"/>
              </w:rPr>
            </w:pPr>
            <w:r w:rsidRPr="00487414">
              <w:rPr>
                <w:rStyle w:val="SpecialBold"/>
              </w:rPr>
              <w:t xml:space="preserve">11) </w:t>
            </w:r>
          </w:p>
        </w:tc>
      </w:tr>
      <w:tr w:rsidTr="003D03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7414" w:rsidP="00487414">
            <w:pPr>
              <w:pStyle w:val="BodyText"/>
            </w:pPr>
            <w:r w:rsidRPr="00487414">
              <w:t>Electrotechnology</w:t>
            </w:r>
          </w:p>
        </w:tc>
      </w:tr>
    </w:tbl>
    <w:p w:rsidR="00000000" w:rsidRPr="00487414" w:rsidP="00487414">
      <w:pPr>
        <w:pStyle w:val="BodyText"/>
      </w:pPr>
    </w:p>
    <w:p w:rsidR="00000000" w:rsidRPr="00487414" w:rsidP="00487414"/>
    <w:sectPr w:rsidSect="004874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4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414" w:rsidRPr="003D0396" w:rsidP="003D03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4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396" w:rsidP="004874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D0396" w:rsidP="0048741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3D0396" w:rsidP="004874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4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414" w:rsidRPr="003D0396" w:rsidP="003D039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4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396" w:rsidRPr="002D2AF8" w:rsidP="00487414">
    <w:pPr>
      <w:pStyle w:val="Header"/>
      <w:framePr w:wrap="around"/>
    </w:pPr>
    <w:r>
      <w:fldChar w:fldCharType="begin"/>
    </w:r>
    <w:r>
      <w:instrText xml:space="preserve"> TITLE   \* MERGEFORMAT </w:instrText>
    </w:r>
    <w:r>
      <w:fldChar w:fldCharType="separate"/>
    </w:r>
    <w:r>
      <w:t>UEENEEE127A Use advanced computational processes to provide solutions to energy sector engineering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3D0396" w:rsidP="004874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14F2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38CF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66DC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4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7414"/>
    <w:pPr>
      <w:spacing w:before="360" w:after="60"/>
      <w:outlineLvl w:val="0"/>
    </w:pPr>
    <w:rPr>
      <w:sz w:val="32"/>
    </w:rPr>
  </w:style>
  <w:style w:type="paragraph" w:styleId="Heading2">
    <w:name w:val="heading 2"/>
    <w:basedOn w:val="HeadingBase"/>
    <w:next w:val="BodyText"/>
    <w:link w:val="Heading2Char"/>
    <w:qFormat/>
    <w:rsid w:val="00487414"/>
    <w:pPr>
      <w:keepLines/>
      <w:spacing w:before="240" w:after="120"/>
      <w:outlineLvl w:val="1"/>
    </w:pPr>
    <w:rPr>
      <w:sz w:val="28"/>
      <w:szCs w:val="40"/>
    </w:rPr>
  </w:style>
  <w:style w:type="paragraph" w:styleId="Heading3">
    <w:name w:val="heading 3"/>
    <w:basedOn w:val="HeadingBase"/>
    <w:next w:val="BodyText"/>
    <w:link w:val="Heading3Char"/>
    <w:qFormat/>
    <w:rsid w:val="00487414"/>
    <w:pPr>
      <w:spacing w:before="180" w:after="120"/>
      <w:outlineLvl w:val="2"/>
    </w:pPr>
    <w:rPr>
      <w:spacing w:val="-10"/>
      <w:kern w:val="32"/>
    </w:rPr>
  </w:style>
  <w:style w:type="paragraph" w:styleId="Heading4">
    <w:name w:val="heading 4"/>
    <w:basedOn w:val="HeadingBase"/>
    <w:next w:val="BodyText"/>
    <w:link w:val="Heading4Char"/>
    <w:qFormat/>
    <w:rsid w:val="00487414"/>
    <w:pPr>
      <w:spacing w:before="160" w:after="120"/>
      <w:outlineLvl w:val="3"/>
    </w:pPr>
    <w:rPr>
      <w:sz w:val="22"/>
    </w:rPr>
  </w:style>
  <w:style w:type="paragraph" w:styleId="Heading5">
    <w:name w:val="heading 5"/>
    <w:basedOn w:val="HeadingBase"/>
    <w:next w:val="Normal"/>
    <w:link w:val="Heading5Char"/>
    <w:qFormat/>
    <w:rsid w:val="00487414"/>
    <w:pPr>
      <w:spacing w:before="80"/>
      <w:outlineLvl w:val="4"/>
    </w:pPr>
    <w:rPr>
      <w:color w:val="918585"/>
      <w:sz w:val="20"/>
    </w:rPr>
  </w:style>
  <w:style w:type="paragraph" w:styleId="Heading6">
    <w:name w:val="heading 6"/>
    <w:basedOn w:val="HeadingBase"/>
    <w:next w:val="Normal"/>
    <w:link w:val="Heading6Char"/>
    <w:qFormat/>
    <w:rsid w:val="00487414"/>
    <w:pPr>
      <w:spacing w:before="60"/>
      <w:outlineLvl w:val="5"/>
    </w:pPr>
    <w:rPr>
      <w:color w:val="918585"/>
      <w:sz w:val="20"/>
    </w:rPr>
  </w:style>
  <w:style w:type="paragraph" w:styleId="Heading7">
    <w:name w:val="heading 7"/>
    <w:basedOn w:val="Normal"/>
    <w:next w:val="Normal"/>
    <w:link w:val="Heading7Char"/>
    <w:qFormat/>
    <w:rsid w:val="00487414"/>
    <w:pPr>
      <w:ind w:left="720"/>
      <w:outlineLvl w:val="6"/>
    </w:pPr>
    <w:rPr>
      <w:i/>
    </w:rPr>
  </w:style>
  <w:style w:type="paragraph" w:styleId="Heading8">
    <w:name w:val="heading 8"/>
    <w:basedOn w:val="Normal"/>
    <w:next w:val="Normal"/>
    <w:link w:val="Heading8Char"/>
    <w:qFormat/>
    <w:rsid w:val="00487414"/>
    <w:pPr>
      <w:ind w:left="720"/>
      <w:outlineLvl w:val="7"/>
    </w:pPr>
    <w:rPr>
      <w:i/>
    </w:rPr>
  </w:style>
  <w:style w:type="paragraph" w:styleId="Heading9">
    <w:name w:val="heading 9"/>
    <w:basedOn w:val="Normal"/>
    <w:next w:val="Normal"/>
    <w:link w:val="Heading9Char"/>
    <w:qFormat/>
    <w:rsid w:val="00487414"/>
    <w:pPr>
      <w:ind w:left="720"/>
      <w:outlineLvl w:val="8"/>
    </w:pPr>
    <w:rPr>
      <w:i/>
    </w:rPr>
  </w:style>
  <w:style w:type="character" w:default="1" w:styleId="DefaultParagraphFont">
    <w:name w:val="Default Paragraph Font"/>
    <w:uiPriority w:val="1"/>
    <w:unhideWhenUsed/>
    <w:rsid w:val="004874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7414"/>
  </w:style>
  <w:style w:type="character" w:customStyle="1" w:styleId="Heading1Char">
    <w:name w:val="Heading 1 Char"/>
    <w:basedOn w:val="DefaultParagraphFont"/>
    <w:link w:val="Heading1"/>
    <w:rsid w:val="0048741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87414"/>
    <w:rPr>
      <w:rFonts w:ascii="Times New Roman" w:eastAsia="Times New Roman" w:hAnsi="Times New Roman" w:cs="Times New Roman"/>
      <w:b/>
      <w:szCs w:val="20"/>
      <w:lang w:eastAsia="en-US"/>
    </w:rPr>
  </w:style>
  <w:style w:type="paragraph" w:styleId="BodyText">
    <w:name w:val="Body Text"/>
    <w:basedOn w:val="Normal"/>
    <w:link w:val="BodyTextChar"/>
    <w:rsid w:val="004874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7414"/>
    <w:rPr>
      <w:rFonts w:ascii="Times New Roman" w:eastAsia="Times New Roman" w:hAnsi="Times New Roman" w:cs="Times New Roman"/>
      <w:sz w:val="24"/>
      <w:lang w:eastAsia="en-US"/>
    </w:rPr>
  </w:style>
  <w:style w:type="paragraph" w:styleId="ListBullet">
    <w:name w:val="List Bullet"/>
    <w:basedOn w:val="List"/>
    <w:rsid w:val="00487414"/>
    <w:pPr>
      <w:numPr>
        <w:numId w:val="14"/>
      </w:numPr>
      <w:tabs>
        <w:tab w:val="clear" w:pos="340"/>
      </w:tabs>
      <w:spacing w:before="40" w:after="40"/>
    </w:pPr>
  </w:style>
  <w:style w:type="character" w:customStyle="1" w:styleId="SpecialBold">
    <w:name w:val="Special Bold"/>
    <w:basedOn w:val="DefaultParagraphFont"/>
    <w:rsid w:val="00487414"/>
    <w:rPr>
      <w:b/>
      <w:spacing w:val="0"/>
    </w:rPr>
  </w:style>
  <w:style w:type="paragraph" w:styleId="ListBullet2">
    <w:name w:val="List Bullet 2"/>
    <w:basedOn w:val="List2"/>
    <w:rsid w:val="00487414"/>
    <w:pPr>
      <w:numPr>
        <w:numId w:val="15"/>
      </w:numPr>
      <w:tabs>
        <w:tab w:val="clear" w:pos="680"/>
      </w:tabs>
    </w:pPr>
  </w:style>
  <w:style w:type="paragraph" w:customStyle="1" w:styleId="SuperHeading">
    <w:name w:val="SuperHeading"/>
    <w:basedOn w:val="Normal"/>
    <w:rsid w:val="00487414"/>
    <w:pPr>
      <w:spacing w:before="240" w:after="120"/>
      <w:outlineLvl w:val="0"/>
    </w:pPr>
    <w:rPr>
      <w:rFonts w:ascii="Times New Roman" w:hAnsi="Times New Roman"/>
      <w:b/>
      <w:sz w:val="32"/>
    </w:rPr>
  </w:style>
  <w:style w:type="paragraph" w:customStyle="1" w:styleId="AllowPageBreak">
    <w:name w:val="AllowPageBreak"/>
    <w:rsid w:val="0048741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87414"/>
    <w:pPr>
      <w:numPr>
        <w:numId w:val="3"/>
      </w:numPr>
      <w:tabs>
        <w:tab w:val="clear" w:pos="1021"/>
      </w:tabs>
      <w:ind w:left="1037" w:hanging="357"/>
    </w:pPr>
  </w:style>
  <w:style w:type="character" w:customStyle="1" w:styleId="Heading2Char">
    <w:name w:val="Heading 2 Char"/>
    <w:basedOn w:val="DefaultParagraphFont"/>
    <w:link w:val="Heading2"/>
    <w:rsid w:val="004874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741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874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74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74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74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7414"/>
    <w:rPr>
      <w:rFonts w:ascii="Courier New" w:eastAsia="Times New Roman" w:hAnsi="Courier New" w:cs="Times New Roman"/>
      <w:i/>
      <w:szCs w:val="20"/>
      <w:lang w:eastAsia="en-US"/>
    </w:rPr>
  </w:style>
  <w:style w:type="paragraph" w:customStyle="1" w:styleId="HeadingBase">
    <w:name w:val="Heading Base"/>
    <w:rsid w:val="004874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7414"/>
    <w:pPr>
      <w:tabs>
        <w:tab w:val="right" w:leader="dot" w:pos="9072"/>
      </w:tabs>
      <w:ind w:left="567"/>
    </w:pPr>
    <w:rPr>
      <w:szCs w:val="22"/>
    </w:rPr>
  </w:style>
  <w:style w:type="paragraph" w:customStyle="1" w:styleId="TOCBase">
    <w:name w:val="TOC Base"/>
    <w:rsid w:val="004874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7414"/>
    <w:pPr>
      <w:tabs>
        <w:tab w:val="right" w:leader="dot" w:pos="9072"/>
      </w:tabs>
      <w:spacing w:before="40" w:after="40"/>
      <w:ind w:left="284"/>
    </w:pPr>
    <w:rPr>
      <w:rFonts w:ascii="Times New Roman" w:hAnsi="Times New Roman"/>
    </w:rPr>
  </w:style>
  <w:style w:type="paragraph" w:styleId="TOC1">
    <w:name w:val="toc 1"/>
    <w:basedOn w:val="TOCBase"/>
    <w:next w:val="Normal"/>
    <w:rsid w:val="004874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74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7414"/>
    <w:rPr>
      <w:rFonts w:ascii="Times New Roman" w:eastAsia="Times New Roman" w:hAnsi="Times New Roman" w:cs="Times New Roman"/>
      <w:sz w:val="16"/>
      <w:lang w:eastAsia="en-US"/>
    </w:rPr>
  </w:style>
  <w:style w:type="paragraph" w:styleId="Title">
    <w:name w:val="Title"/>
    <w:basedOn w:val="HeadingBase"/>
    <w:link w:val="TitleChar"/>
    <w:qFormat/>
    <w:rsid w:val="00487414"/>
    <w:pPr>
      <w:spacing w:before="5040"/>
      <w:jc w:val="center"/>
    </w:pPr>
    <w:rPr>
      <w:sz w:val="48"/>
      <w:szCs w:val="72"/>
      <w:lang w:val="en-US"/>
    </w:rPr>
  </w:style>
  <w:style w:type="character" w:customStyle="1" w:styleId="TitleChar">
    <w:name w:val="Title Char"/>
    <w:basedOn w:val="DefaultParagraphFont"/>
    <w:link w:val="Title"/>
    <w:rsid w:val="004874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7414"/>
    <w:pPr>
      <w:tabs>
        <w:tab w:val="left" w:pos="3600"/>
        <w:tab w:val="left" w:pos="3958"/>
      </w:tabs>
    </w:pPr>
  </w:style>
  <w:style w:type="paragraph" w:styleId="List">
    <w:name w:val="List"/>
    <w:basedOn w:val="BodyText"/>
    <w:next w:val="BodyText"/>
    <w:rsid w:val="00487414"/>
    <w:pPr>
      <w:tabs>
        <w:tab w:val="left" w:pos="340"/>
      </w:tabs>
      <w:spacing w:before="60" w:after="60"/>
      <w:ind w:left="340" w:hanging="340"/>
    </w:pPr>
  </w:style>
  <w:style w:type="paragraph" w:customStyle="1" w:styleId="Note">
    <w:name w:val="Note"/>
    <w:basedOn w:val="BodyText"/>
    <w:rsid w:val="004874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7414"/>
    <w:pPr>
      <w:framePr w:wrap="auto" w:hAnchor="text" w:y="6049"/>
    </w:pPr>
    <w:rPr>
      <w:color w:val="000000"/>
      <w:sz w:val="40"/>
    </w:rPr>
  </w:style>
  <w:style w:type="paragraph" w:customStyle="1" w:styleId="TOCTitle">
    <w:name w:val="TOCTitle"/>
    <w:basedOn w:val="Heading1"/>
    <w:rsid w:val="00487414"/>
    <w:pPr>
      <w:spacing w:after="240"/>
      <w:jc w:val="center"/>
      <w:outlineLvl w:val="9"/>
    </w:pPr>
    <w:rPr>
      <w:caps/>
    </w:rPr>
  </w:style>
  <w:style w:type="paragraph" w:customStyle="1" w:styleId="Version">
    <w:name w:val="Version"/>
    <w:rsid w:val="004874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7414"/>
    <w:pPr>
      <w:keepNext w:val="0"/>
      <w:tabs>
        <w:tab w:val="right" w:pos="4176"/>
      </w:tabs>
      <w:ind w:left="198" w:hanging="198"/>
    </w:pPr>
    <w:rPr>
      <w:rFonts w:ascii="Garamond" w:hAnsi="Garamond"/>
    </w:rPr>
  </w:style>
  <w:style w:type="paragraph" w:styleId="IndexHeading">
    <w:name w:val="index heading"/>
    <w:basedOn w:val="Normal"/>
    <w:next w:val="Index1"/>
    <w:semiHidden/>
    <w:rsid w:val="00487414"/>
    <w:pPr>
      <w:spacing w:before="120" w:after="120"/>
    </w:pPr>
    <w:rPr>
      <w:rFonts w:ascii="Arial" w:hAnsi="Arial"/>
      <w:b/>
      <w:color w:val="918585"/>
      <w:sz w:val="24"/>
    </w:rPr>
  </w:style>
  <w:style w:type="paragraph" w:styleId="Header">
    <w:name w:val="header"/>
    <w:basedOn w:val="Normal"/>
    <w:link w:val="HeaderChar"/>
    <w:rsid w:val="004874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7414"/>
    <w:rPr>
      <w:rFonts w:ascii="Times New Roman" w:eastAsia="Times New Roman" w:hAnsi="Times New Roman" w:cs="Times New Roman"/>
      <w:sz w:val="16"/>
      <w:szCs w:val="20"/>
      <w:lang w:val="en-GB" w:eastAsia="en-US"/>
    </w:rPr>
  </w:style>
  <w:style w:type="paragraph" w:customStyle="1" w:styleId="Chapter">
    <w:name w:val="Chapter"/>
    <w:basedOn w:val="Normal"/>
    <w:rsid w:val="00487414"/>
    <w:pPr>
      <w:spacing w:before="240"/>
    </w:pPr>
    <w:rPr>
      <w:rFonts w:ascii="Times New Roman" w:hAnsi="Times New Roman"/>
      <w:smallCaps/>
      <w:spacing w:val="80"/>
      <w:sz w:val="28"/>
    </w:rPr>
  </w:style>
  <w:style w:type="paragraph" w:customStyle="1" w:styleId="InChapter">
    <w:name w:val="InChapter"/>
    <w:basedOn w:val="Heading3"/>
    <w:rsid w:val="00487414"/>
    <w:pPr>
      <w:spacing w:after="240"/>
      <w:outlineLvl w:val="9"/>
    </w:pPr>
    <w:rPr>
      <w:noProof/>
    </w:rPr>
  </w:style>
  <w:style w:type="paragraph" w:styleId="Index2">
    <w:name w:val="index 2"/>
    <w:basedOn w:val="Normal"/>
    <w:next w:val="Normal"/>
    <w:semiHidden/>
    <w:rsid w:val="00487414"/>
    <w:pPr>
      <w:tabs>
        <w:tab w:val="right" w:pos="4176"/>
      </w:tabs>
      <w:ind w:left="568" w:hanging="284"/>
    </w:pPr>
    <w:rPr>
      <w:rFonts w:ascii="Garamond" w:hAnsi="Garamond"/>
    </w:rPr>
  </w:style>
  <w:style w:type="paragraph" w:customStyle="1" w:styleId="Byline">
    <w:name w:val="Byline"/>
    <w:rsid w:val="004874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7414"/>
    <w:pPr>
      <w:tabs>
        <w:tab w:val="clear" w:pos="3600"/>
        <w:tab w:val="clear" w:pos="3958"/>
      </w:tabs>
      <w:jc w:val="right"/>
    </w:pPr>
  </w:style>
  <w:style w:type="character" w:styleId="Emphasis">
    <w:name w:val="Emphasis"/>
    <w:basedOn w:val="DefaultParagraphFont"/>
    <w:qFormat/>
    <w:rsid w:val="00487414"/>
    <w:rPr>
      <w:i/>
    </w:rPr>
  </w:style>
  <w:style w:type="paragraph" w:styleId="Caption">
    <w:name w:val="caption"/>
    <w:basedOn w:val="BodyText"/>
    <w:next w:val="Normal"/>
    <w:qFormat/>
    <w:rsid w:val="00487414"/>
    <w:pPr>
      <w:framePr w:w="2268" w:hSpace="181" w:vSpace="181" w:wrap="around" w:vAnchor="text" w:hAnchor="page" w:x="1135" w:y="285" w:anchorLock="1"/>
    </w:pPr>
    <w:rPr>
      <w:i/>
    </w:rPr>
  </w:style>
  <w:style w:type="paragraph" w:customStyle="1" w:styleId="MiniTOCTitle">
    <w:name w:val="MiniTOCTitle"/>
    <w:basedOn w:val="Heading4"/>
    <w:rsid w:val="00487414"/>
    <w:pPr>
      <w:spacing w:before="240"/>
      <w:outlineLvl w:val="9"/>
    </w:pPr>
    <w:rPr>
      <w:noProof/>
      <w:sz w:val="24"/>
    </w:rPr>
  </w:style>
  <w:style w:type="paragraph" w:customStyle="1" w:styleId="MiniTOCItem">
    <w:name w:val="MiniTOCItem"/>
    <w:basedOn w:val="ListBullet"/>
    <w:rsid w:val="00487414"/>
    <w:pPr>
      <w:numPr>
        <w:numId w:val="0"/>
      </w:numPr>
      <w:tabs>
        <w:tab w:val="right" w:leader="dot" w:pos="6521"/>
      </w:tabs>
      <w:spacing w:before="0" w:after="0"/>
    </w:pPr>
  </w:style>
  <w:style w:type="paragraph" w:customStyle="1" w:styleId="TOFTitle">
    <w:name w:val="TOFTitle"/>
    <w:basedOn w:val="TOCTitle"/>
    <w:rsid w:val="00487414"/>
  </w:style>
  <w:style w:type="paragraph" w:styleId="TableofFigures">
    <w:name w:val="table of figures"/>
    <w:basedOn w:val="Normal"/>
    <w:next w:val="Normal"/>
    <w:semiHidden/>
    <w:rsid w:val="00487414"/>
    <w:pPr>
      <w:tabs>
        <w:tab w:val="right" w:leader="dot" w:pos="9072"/>
      </w:tabs>
      <w:ind w:left="970" w:hanging="403"/>
    </w:pPr>
    <w:rPr>
      <w:rFonts w:ascii="Times New Roman" w:hAnsi="Times New Roman"/>
      <w:b/>
    </w:rPr>
  </w:style>
  <w:style w:type="paragraph" w:styleId="ListNumber">
    <w:name w:val="List Number"/>
    <w:basedOn w:val="List"/>
    <w:rsid w:val="00487414"/>
    <w:pPr>
      <w:numPr>
        <w:numId w:val="12"/>
      </w:numPr>
    </w:pPr>
  </w:style>
  <w:style w:type="character" w:customStyle="1" w:styleId="WingdingSymbols">
    <w:name w:val="Wingding Symbols"/>
    <w:rsid w:val="00487414"/>
    <w:rPr>
      <w:rFonts w:ascii="Wingdings" w:hAnsi="Wingdings"/>
    </w:rPr>
  </w:style>
  <w:style w:type="paragraph" w:customStyle="1" w:styleId="TableHeading">
    <w:name w:val="Table Heading"/>
    <w:basedOn w:val="HeadingBase"/>
    <w:rsid w:val="00487414"/>
    <w:pPr>
      <w:keepLines/>
      <w:pBdr>
        <w:bottom w:val="single" w:sz="6" w:space="1" w:color="918585"/>
      </w:pBdr>
      <w:spacing w:before="240"/>
    </w:pPr>
  </w:style>
  <w:style w:type="character" w:customStyle="1" w:styleId="HotSpot">
    <w:name w:val="HotSpot"/>
    <w:rsid w:val="00487414"/>
    <w:rPr>
      <w:color w:val="0033CC"/>
      <w:u w:val="none"/>
    </w:rPr>
  </w:style>
  <w:style w:type="paragraph" w:customStyle="1" w:styleId="BodyTextRight">
    <w:name w:val="Body Text Right"/>
    <w:basedOn w:val="BodyText"/>
    <w:rsid w:val="00487414"/>
    <w:pPr>
      <w:spacing w:before="0" w:after="0"/>
      <w:jc w:val="right"/>
    </w:pPr>
  </w:style>
  <w:style w:type="paragraph" w:styleId="Index3">
    <w:name w:val="index 3"/>
    <w:basedOn w:val="ListNumber2"/>
    <w:next w:val="Normal"/>
    <w:semiHidden/>
    <w:rsid w:val="00487414"/>
    <w:pPr>
      <w:numPr>
        <w:numId w:val="0"/>
      </w:numPr>
      <w:tabs>
        <w:tab w:val="right" w:leader="dot" w:pos="4176"/>
      </w:tabs>
    </w:pPr>
  </w:style>
  <w:style w:type="paragraph" w:styleId="ListNumber2">
    <w:name w:val="List Number 2"/>
    <w:basedOn w:val="List2"/>
    <w:rsid w:val="00487414"/>
    <w:pPr>
      <w:numPr>
        <w:numId w:val="11"/>
      </w:numPr>
      <w:tabs>
        <w:tab w:val="clear" w:pos="1060"/>
      </w:tabs>
    </w:pPr>
  </w:style>
  <w:style w:type="paragraph" w:customStyle="1" w:styleId="MarginNote">
    <w:name w:val="Margin Note"/>
    <w:basedOn w:val="BodyText"/>
    <w:rsid w:val="004874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74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74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7414"/>
    <w:rPr>
      <w:sz w:val="32"/>
    </w:rPr>
  </w:style>
  <w:style w:type="paragraph" w:customStyle="1" w:styleId="HeadingProcedure">
    <w:name w:val="Heading Procedure"/>
    <w:basedOn w:val="HeadingBase"/>
    <w:next w:val="Normal"/>
    <w:rsid w:val="00487414"/>
    <w:pPr>
      <w:tabs>
        <w:tab w:val="left" w:pos="0"/>
      </w:tabs>
      <w:spacing w:before="120" w:after="60"/>
    </w:pPr>
    <w:rPr>
      <w:i/>
      <w:color w:val="918585"/>
      <w:sz w:val="22"/>
    </w:rPr>
  </w:style>
  <w:style w:type="paragraph" w:customStyle="1" w:styleId="TableBodyText">
    <w:name w:val="Table Body Text"/>
    <w:basedOn w:val="BodyText"/>
    <w:rsid w:val="00487414"/>
    <w:pPr>
      <w:spacing w:before="60" w:after="60"/>
    </w:pPr>
  </w:style>
  <w:style w:type="paragraph" w:styleId="ListContinue">
    <w:name w:val="List Continue"/>
    <w:basedOn w:val="List"/>
    <w:rsid w:val="00487414"/>
    <w:pPr>
      <w:ind w:firstLine="0"/>
    </w:pPr>
  </w:style>
  <w:style w:type="paragraph" w:customStyle="1" w:styleId="ListNote">
    <w:name w:val="List Note"/>
    <w:basedOn w:val="List"/>
    <w:rsid w:val="00487414"/>
    <w:pPr>
      <w:pBdr>
        <w:top w:val="single" w:sz="6" w:space="2" w:color="918585"/>
        <w:bottom w:val="single" w:sz="6" w:space="2" w:color="918585"/>
      </w:pBdr>
      <w:tabs>
        <w:tab w:val="left" w:pos="1021"/>
      </w:tabs>
      <w:ind w:firstLine="0"/>
    </w:pPr>
  </w:style>
  <w:style w:type="paragraph" w:customStyle="1" w:styleId="Warning">
    <w:name w:val="Warning"/>
    <w:basedOn w:val="BodyText"/>
    <w:rsid w:val="00487414"/>
    <w:pPr>
      <w:shd w:val="clear" w:color="auto" w:fill="D9D9D9"/>
      <w:tabs>
        <w:tab w:val="left" w:pos="992"/>
      </w:tabs>
      <w:ind w:left="119" w:right="119"/>
    </w:pPr>
    <w:rPr>
      <w:sz w:val="20"/>
    </w:rPr>
  </w:style>
  <w:style w:type="paragraph" w:customStyle="1" w:styleId="MarginIcons">
    <w:name w:val="Margin Icons"/>
    <w:basedOn w:val="BodyText"/>
    <w:rsid w:val="004874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7414"/>
    <w:rPr>
      <w:rFonts w:ascii="Courier New" w:hAnsi="Courier New"/>
    </w:rPr>
  </w:style>
  <w:style w:type="paragraph" w:customStyle="1" w:styleId="NoteBullet">
    <w:name w:val="Note Bullet"/>
    <w:basedOn w:val="Note"/>
    <w:rsid w:val="00487414"/>
    <w:pPr>
      <w:tabs>
        <w:tab w:val="clear" w:pos="680"/>
      </w:tabs>
      <w:spacing w:before="60" w:after="60"/>
    </w:pPr>
  </w:style>
  <w:style w:type="paragraph" w:customStyle="1" w:styleId="SubHeading2">
    <w:name w:val="SubHeading2"/>
    <w:basedOn w:val="HeadingBase"/>
    <w:rsid w:val="00487414"/>
    <w:pPr>
      <w:spacing w:before="240" w:after="60"/>
    </w:pPr>
    <w:rPr>
      <w:sz w:val="20"/>
    </w:rPr>
  </w:style>
  <w:style w:type="paragraph" w:customStyle="1" w:styleId="SubHeading1">
    <w:name w:val="SubHeading1"/>
    <w:basedOn w:val="HeadingBase"/>
    <w:rsid w:val="00487414"/>
    <w:pPr>
      <w:spacing w:before="240" w:after="60"/>
    </w:pPr>
    <w:rPr>
      <w:color w:val="918585"/>
      <w:sz w:val="22"/>
    </w:rPr>
  </w:style>
  <w:style w:type="paragraph" w:customStyle="1" w:styleId="SideHeading">
    <w:name w:val="Side Heading"/>
    <w:basedOn w:val="HeadingBase"/>
    <w:rsid w:val="004874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7414"/>
    <w:pPr>
      <w:numPr>
        <w:numId w:val="13"/>
      </w:numPr>
    </w:pPr>
  </w:style>
  <w:style w:type="paragraph" w:styleId="PlainText">
    <w:name w:val="Plain Text"/>
    <w:basedOn w:val="Normal"/>
    <w:link w:val="PlainTextChar"/>
    <w:rsid w:val="00487414"/>
    <w:rPr>
      <w:sz w:val="20"/>
    </w:rPr>
  </w:style>
  <w:style w:type="character" w:customStyle="1" w:styleId="PlainTextChar">
    <w:name w:val="Plain Text Char"/>
    <w:basedOn w:val="DefaultParagraphFont"/>
    <w:link w:val="PlainText"/>
    <w:rsid w:val="00487414"/>
    <w:rPr>
      <w:rFonts w:ascii="Courier New" w:eastAsia="Times New Roman" w:hAnsi="Courier New" w:cs="Times New Roman"/>
      <w:sz w:val="20"/>
      <w:szCs w:val="20"/>
      <w:lang w:eastAsia="en-US"/>
    </w:rPr>
  </w:style>
  <w:style w:type="character" w:customStyle="1" w:styleId="MenuOption">
    <w:name w:val="Menu Option"/>
    <w:basedOn w:val="DefaultParagraphFont"/>
    <w:rsid w:val="00487414"/>
    <w:rPr>
      <w:b/>
      <w:smallCaps/>
    </w:rPr>
  </w:style>
  <w:style w:type="paragraph" w:customStyle="1" w:styleId="TableListNumber">
    <w:name w:val="Table List Number"/>
    <w:basedOn w:val="ListNumber"/>
    <w:rsid w:val="00487414"/>
    <w:pPr>
      <w:numPr>
        <w:numId w:val="0"/>
      </w:numPr>
    </w:pPr>
  </w:style>
  <w:style w:type="paragraph" w:styleId="TOC4">
    <w:name w:val="toc 4"/>
    <w:basedOn w:val="TOCBase"/>
    <w:next w:val="Normal"/>
    <w:semiHidden/>
    <w:rsid w:val="00487414"/>
    <w:pPr>
      <w:tabs>
        <w:tab w:val="right" w:leader="dot" w:pos="9071"/>
      </w:tabs>
      <w:ind w:left="1701"/>
    </w:pPr>
  </w:style>
  <w:style w:type="paragraph" w:customStyle="1" w:styleId="ListAlpha">
    <w:name w:val="List Alpha"/>
    <w:basedOn w:val="List"/>
    <w:rsid w:val="00487414"/>
    <w:pPr>
      <w:numPr>
        <w:numId w:val="10"/>
      </w:numPr>
    </w:pPr>
  </w:style>
  <w:style w:type="paragraph" w:customStyle="1" w:styleId="ListAlpha2">
    <w:name w:val="List Alpha 2"/>
    <w:basedOn w:val="List2"/>
    <w:rsid w:val="00487414"/>
    <w:pPr>
      <w:numPr>
        <w:numId w:val="9"/>
      </w:numPr>
    </w:pPr>
  </w:style>
  <w:style w:type="paragraph" w:styleId="List2">
    <w:name w:val="List 2"/>
    <w:basedOn w:val="BodyText"/>
    <w:rsid w:val="00487414"/>
    <w:pPr>
      <w:tabs>
        <w:tab w:val="left" w:pos="680"/>
      </w:tabs>
      <w:spacing w:before="60" w:after="60"/>
      <w:ind w:left="680" w:hanging="340"/>
    </w:pPr>
  </w:style>
  <w:style w:type="paragraph" w:styleId="List3">
    <w:name w:val="List 3"/>
    <w:basedOn w:val="BodyText"/>
    <w:rsid w:val="00487414"/>
    <w:pPr>
      <w:tabs>
        <w:tab w:val="left" w:pos="1021"/>
      </w:tabs>
      <w:spacing w:before="60" w:after="60"/>
      <w:ind w:left="1020" w:hanging="340"/>
    </w:pPr>
  </w:style>
  <w:style w:type="paragraph" w:styleId="List4">
    <w:name w:val="List 4"/>
    <w:basedOn w:val="BodyText"/>
    <w:rsid w:val="00487414"/>
    <w:pPr>
      <w:tabs>
        <w:tab w:val="left" w:pos="1361"/>
      </w:tabs>
      <w:spacing w:before="60" w:after="60"/>
      <w:ind w:left="1361" w:hanging="340"/>
    </w:pPr>
  </w:style>
  <w:style w:type="paragraph" w:styleId="List5">
    <w:name w:val="List 5"/>
    <w:basedOn w:val="BodyText"/>
    <w:rsid w:val="00487414"/>
    <w:pPr>
      <w:tabs>
        <w:tab w:val="left" w:pos="1701"/>
      </w:tabs>
      <w:spacing w:before="60" w:after="60"/>
      <w:ind w:left="1701" w:hanging="340"/>
    </w:pPr>
  </w:style>
  <w:style w:type="paragraph" w:styleId="ListBullet4">
    <w:name w:val="List Bullet 4"/>
    <w:basedOn w:val="List4"/>
    <w:rsid w:val="00487414"/>
    <w:pPr>
      <w:numPr>
        <w:numId w:val="4"/>
      </w:numPr>
    </w:pPr>
  </w:style>
  <w:style w:type="paragraph" w:styleId="ListBullet5">
    <w:name w:val="List Bullet 5"/>
    <w:basedOn w:val="List5"/>
    <w:rsid w:val="00487414"/>
    <w:pPr>
      <w:numPr>
        <w:numId w:val="5"/>
      </w:numPr>
    </w:pPr>
  </w:style>
  <w:style w:type="paragraph" w:styleId="ListContinue2">
    <w:name w:val="List Continue 2"/>
    <w:basedOn w:val="List2"/>
    <w:rsid w:val="00487414"/>
    <w:pPr>
      <w:ind w:firstLine="0"/>
    </w:pPr>
  </w:style>
  <w:style w:type="paragraph" w:styleId="ListContinue3">
    <w:name w:val="List Continue 3"/>
    <w:basedOn w:val="List3"/>
    <w:rsid w:val="00487414"/>
    <w:pPr>
      <w:ind w:left="1021" w:firstLine="0"/>
    </w:pPr>
  </w:style>
  <w:style w:type="paragraph" w:styleId="ListContinue4">
    <w:name w:val="List Continue 4"/>
    <w:basedOn w:val="List4"/>
    <w:rsid w:val="00487414"/>
    <w:pPr>
      <w:ind w:firstLine="0"/>
    </w:pPr>
  </w:style>
  <w:style w:type="paragraph" w:styleId="ListContinue5">
    <w:name w:val="List Continue 5"/>
    <w:basedOn w:val="List5"/>
    <w:rsid w:val="00487414"/>
    <w:pPr>
      <w:ind w:firstLine="0"/>
    </w:pPr>
  </w:style>
  <w:style w:type="paragraph" w:styleId="ListNumber3">
    <w:name w:val="List Number 3"/>
    <w:basedOn w:val="List3"/>
    <w:rsid w:val="00487414"/>
    <w:pPr>
      <w:numPr>
        <w:numId w:val="6"/>
      </w:numPr>
    </w:pPr>
  </w:style>
  <w:style w:type="paragraph" w:styleId="ListNumber4">
    <w:name w:val="List Number 4"/>
    <w:basedOn w:val="List4"/>
    <w:rsid w:val="00487414"/>
    <w:pPr>
      <w:numPr>
        <w:numId w:val="7"/>
      </w:numPr>
    </w:pPr>
  </w:style>
  <w:style w:type="paragraph" w:styleId="ListNumber5">
    <w:name w:val="List Number 5"/>
    <w:basedOn w:val="List5"/>
    <w:rsid w:val="00487414"/>
    <w:pPr>
      <w:numPr>
        <w:numId w:val="8"/>
      </w:numPr>
    </w:pPr>
  </w:style>
  <w:style w:type="paragraph" w:styleId="BlockText">
    <w:name w:val="Block Text"/>
    <w:basedOn w:val="Normal"/>
    <w:rsid w:val="00487414"/>
    <w:pPr>
      <w:spacing w:after="120"/>
      <w:ind w:left="1440" w:right="1440"/>
    </w:pPr>
  </w:style>
  <w:style w:type="character" w:customStyle="1" w:styleId="Subscript">
    <w:name w:val="Subscript"/>
    <w:basedOn w:val="DefaultParagraphFont"/>
    <w:rsid w:val="00487414"/>
    <w:rPr>
      <w:sz w:val="16"/>
      <w:vertAlign w:val="subscript"/>
    </w:rPr>
  </w:style>
  <w:style w:type="character" w:customStyle="1" w:styleId="Superscript">
    <w:name w:val="Superscript"/>
    <w:basedOn w:val="DefaultParagraphFont"/>
    <w:rsid w:val="00487414"/>
    <w:rPr>
      <w:sz w:val="16"/>
      <w:vertAlign w:val="superscript"/>
    </w:rPr>
  </w:style>
  <w:style w:type="character" w:customStyle="1" w:styleId="Symbols">
    <w:name w:val="Symbols"/>
    <w:basedOn w:val="DefaultParagraphFont"/>
    <w:rsid w:val="00487414"/>
    <w:rPr>
      <w:rFonts w:ascii="Symbol" w:hAnsi="Symbol"/>
    </w:rPr>
  </w:style>
  <w:style w:type="character" w:customStyle="1" w:styleId="MenuOptions">
    <w:name w:val="Menu Options"/>
    <w:basedOn w:val="DefaultParagraphFont"/>
    <w:rsid w:val="00487414"/>
    <w:rPr>
      <w:rFonts w:ascii="Arial Narrow" w:hAnsi="Arial Narrow"/>
      <w:smallCaps/>
    </w:rPr>
  </w:style>
  <w:style w:type="character" w:customStyle="1" w:styleId="Buttons">
    <w:name w:val="Buttons"/>
    <w:basedOn w:val="DefaultParagraphFont"/>
    <w:rsid w:val="00487414"/>
    <w:rPr>
      <w:b/>
    </w:rPr>
  </w:style>
  <w:style w:type="character" w:customStyle="1" w:styleId="Underlined">
    <w:name w:val="Underlined"/>
    <w:basedOn w:val="DefaultParagraphFont"/>
    <w:rsid w:val="00487414"/>
    <w:rPr>
      <w:u w:val="single"/>
    </w:rPr>
  </w:style>
  <w:style w:type="paragraph" w:customStyle="1" w:styleId="TableBodyTextRight">
    <w:name w:val="Table Body Text Right"/>
    <w:basedOn w:val="TableBodyText"/>
    <w:rsid w:val="00487414"/>
    <w:pPr>
      <w:widowControl w:val="0"/>
      <w:autoSpaceDE w:val="0"/>
      <w:autoSpaceDN w:val="0"/>
      <w:adjustRightInd w:val="0"/>
      <w:jc w:val="right"/>
    </w:pPr>
    <w:rPr>
      <w:rFonts w:cs="Arial"/>
      <w:szCs w:val="18"/>
    </w:rPr>
  </w:style>
  <w:style w:type="paragraph" w:customStyle="1" w:styleId="CopyrightText">
    <w:name w:val="Copyright Text"/>
    <w:basedOn w:val="BodyText"/>
    <w:rsid w:val="00487414"/>
    <w:rPr>
      <w:sz w:val="18"/>
    </w:rPr>
  </w:style>
  <w:style w:type="paragraph" w:customStyle="1" w:styleId="BodySmallRight">
    <w:name w:val="Body Small Right"/>
    <w:basedOn w:val="BodyTextRight"/>
    <w:rsid w:val="00487414"/>
    <w:rPr>
      <w:sz w:val="18"/>
      <w:szCs w:val="18"/>
    </w:rPr>
  </w:style>
  <w:style w:type="paragraph" w:customStyle="1" w:styleId="MarginEdition">
    <w:name w:val="Margin Edition"/>
    <w:basedOn w:val="MarginNote"/>
    <w:rsid w:val="00487414"/>
    <w:pPr>
      <w:spacing w:before="0" w:after="0"/>
    </w:pPr>
    <w:rPr>
      <w:rFonts w:ascii="Times New Roman" w:hAnsi="Times New Roman"/>
      <w:color w:val="999999"/>
    </w:rPr>
  </w:style>
  <w:style w:type="paragraph" w:customStyle="1" w:styleId="Spacer">
    <w:name w:val="Spacer"/>
    <w:basedOn w:val="Normal"/>
    <w:rsid w:val="00487414"/>
    <w:rPr>
      <w:sz w:val="2"/>
      <w:szCs w:val="2"/>
    </w:rPr>
  </w:style>
  <w:style w:type="character" w:customStyle="1" w:styleId="Small">
    <w:name w:val="Small"/>
    <w:basedOn w:val="DefaultParagraphFont"/>
    <w:rsid w:val="00487414"/>
    <w:rPr>
      <w:sz w:val="16"/>
    </w:rPr>
  </w:style>
  <w:style w:type="paragraph" w:customStyle="1" w:styleId="WideTable">
    <w:name w:val="Wide Table"/>
    <w:basedOn w:val="Normal"/>
    <w:rsid w:val="00487414"/>
    <w:pPr>
      <w:ind w:left="-1418"/>
    </w:pPr>
    <w:rPr>
      <w:sz w:val="2"/>
      <w:szCs w:val="2"/>
    </w:rPr>
  </w:style>
  <w:style w:type="character" w:styleId="PageNumber">
    <w:name w:val="page number"/>
    <w:basedOn w:val="DefaultParagraphFont"/>
    <w:rsid w:val="00487414"/>
  </w:style>
  <w:style w:type="paragraph" w:styleId="Quote">
    <w:name w:val="Quote"/>
    <w:basedOn w:val="Heading1"/>
    <w:link w:val="QuoteChar"/>
    <w:qFormat/>
    <w:rsid w:val="00487414"/>
    <w:rPr>
      <w:b w:val="0"/>
      <w:sz w:val="72"/>
      <w:szCs w:val="72"/>
      <w:lang w:val="en-NZ"/>
    </w:rPr>
  </w:style>
  <w:style w:type="character" w:customStyle="1" w:styleId="QuoteChar">
    <w:name w:val="Quote Char"/>
    <w:basedOn w:val="DefaultParagraphFont"/>
    <w:link w:val="Quote"/>
    <w:rsid w:val="004874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7414"/>
    <w:pPr>
      <w:pageBreakBefore/>
    </w:pPr>
  </w:style>
  <w:style w:type="paragraph" w:customStyle="1" w:styleId="Border">
    <w:name w:val="Border"/>
    <w:basedOn w:val="Normal"/>
    <w:qFormat/>
    <w:rsid w:val="004874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7414"/>
    <w:rPr>
      <w:b/>
      <w:bCs/>
      <w:i/>
      <w:iCs/>
      <w:color w:val="auto"/>
    </w:rPr>
  </w:style>
  <w:style w:type="paragraph" w:styleId="IntenseQuote">
    <w:name w:val="Intense Quote"/>
    <w:basedOn w:val="Normal"/>
    <w:next w:val="Normal"/>
    <w:link w:val="IntenseQuoteChar"/>
    <w:uiPriority w:val="30"/>
    <w:qFormat/>
    <w:rsid w:val="004874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74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7414"/>
    <w:rPr>
      <w:smallCaps/>
      <w:color w:val="auto"/>
      <w:u w:val="single"/>
    </w:rPr>
  </w:style>
  <w:style w:type="character" w:styleId="IntenseReference">
    <w:name w:val="Intense Reference"/>
    <w:basedOn w:val="DefaultParagraphFont"/>
    <w:uiPriority w:val="32"/>
    <w:qFormat/>
    <w:rsid w:val="00487414"/>
    <w:rPr>
      <w:b/>
      <w:bCs/>
      <w:smallCaps/>
      <w:color w:val="auto"/>
      <w:spacing w:val="5"/>
      <w:u w:val="single"/>
    </w:rPr>
  </w:style>
  <w:style w:type="paragraph" w:customStyle="1" w:styleId="2ColumnHeading">
    <w:name w:val="2Column Heading"/>
    <w:basedOn w:val="BodyText"/>
    <w:qFormat/>
    <w:rsid w:val="00487414"/>
    <w:pPr>
      <w:spacing w:after="60"/>
      <w:ind w:left="-2268"/>
    </w:pPr>
    <w:rPr>
      <w:b/>
    </w:rPr>
  </w:style>
  <w:style w:type="paragraph" w:customStyle="1" w:styleId="Heading1TOC">
    <w:name w:val="Heading1 TOC"/>
    <w:basedOn w:val="Normal"/>
    <w:qFormat/>
    <w:rsid w:val="00487414"/>
    <w:pPr>
      <w:spacing w:before="240" w:after="120"/>
    </w:pPr>
    <w:rPr>
      <w:rFonts w:ascii="Times New Roman" w:hAnsi="Times New Roman"/>
      <w:b/>
      <w:sz w:val="32"/>
    </w:rPr>
  </w:style>
  <w:style w:type="paragraph" w:customStyle="1" w:styleId="Heading2TOC">
    <w:name w:val="Heading2 TOC"/>
    <w:basedOn w:val="Normal"/>
    <w:qFormat/>
    <w:rsid w:val="00487414"/>
    <w:pPr>
      <w:spacing w:before="240" w:after="60"/>
    </w:pPr>
    <w:rPr>
      <w:rFonts w:ascii="Times New Roman" w:hAnsi="Times New Roman"/>
      <w:b/>
      <w:sz w:val="28"/>
    </w:rPr>
  </w:style>
  <w:style w:type="character" w:customStyle="1" w:styleId="Underline">
    <w:name w:val="Underline"/>
    <w:basedOn w:val="DefaultParagraphFont"/>
    <w:qFormat/>
    <w:rsid w:val="00487414"/>
    <w:rPr>
      <w:u w:val="single"/>
    </w:rPr>
  </w:style>
  <w:style w:type="character" w:customStyle="1" w:styleId="BoldandItalics">
    <w:name w:val="Bold and Italics"/>
    <w:qFormat/>
    <w:rsid w:val="00487414"/>
    <w:rPr>
      <w:b/>
      <w:i/>
      <w:u w:val="none"/>
    </w:rPr>
  </w:style>
  <w:style w:type="paragraph" w:styleId="BalloonText">
    <w:name w:val="Balloon Text"/>
    <w:basedOn w:val="Normal"/>
    <w:link w:val="BalloonTextChar"/>
    <w:rsid w:val="00487414"/>
    <w:rPr>
      <w:rFonts w:ascii="Tahoma" w:hAnsi="Tahoma" w:cs="Tahoma"/>
      <w:sz w:val="16"/>
      <w:szCs w:val="16"/>
    </w:rPr>
  </w:style>
  <w:style w:type="character" w:customStyle="1" w:styleId="BalloonTextChar">
    <w:name w:val="Balloon Text Char"/>
    <w:basedOn w:val="DefaultParagraphFont"/>
    <w:link w:val="BalloonText"/>
    <w:rsid w:val="004874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74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74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7414"/>
    <w:rPr>
      <w:b/>
      <w:color w:val="660033"/>
      <w:spacing w:val="0"/>
    </w:rPr>
  </w:style>
  <w:style w:type="paragraph" w:customStyle="1" w:styleId="Nameditemlist">
    <w:name w:val="Named item list"/>
    <w:basedOn w:val="BodyText"/>
    <w:qFormat/>
    <w:rsid w:val="0048741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2082</Words>
  <Characters>12804</Characters>
  <Application>Microsoft Office Word</Application>
  <DocSecurity>0</DocSecurity>
  <Lines>480</Lines>
  <Paragraphs>212</Paragraphs>
  <ScaleCrop>false</ScaleCrop>
  <Company>Author-it Software Corporation Ltd.</Company>
  <LinksUpToDate>false</LinksUpToDate>
  <CharactersWithSpaces>14758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UEENEEE127A Use advanced computational processes to provide solutions to energy sector engineering problems</dc:title>
  <dc:subject>Approved</dc:subject>
  <dc:creator>E-OZ Training Standards</dc:creator>
  <cp:keywords>Release: 2</cp:keywords>
  <dc:description>Review Date: 12 April 2008</dc:description>
  <cp:lastModifiedBy>TPCMS</cp:lastModifiedBy>
  <cp:revision>3</cp:revision>
  <dcterms:created xsi:type="dcterms:W3CDTF">2013-08-14T06:42:00Z</dcterms:created>
  <dcterms:modified xsi:type="dcterms:W3CDTF">2013-08-14T06:42:00Z</dcterms:modified>
</cp:coreProperties>
</file>