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7F2" w:rsidP="001807F2">
      <w:pPr>
        <w:pStyle w:val="Title"/>
      </w:pPr>
      <w:r>
        <w:fldChar w:fldCharType="begin"/>
      </w:r>
      <w:r>
        <w:instrText xml:space="preserve"> TITLE   \* MERGEFORMAT </w:instrText>
      </w:r>
      <w:r>
        <w:fldChar w:fldCharType="separate"/>
      </w:r>
      <w:r>
        <w:t>UEENEEE124A Compile and produce an energy sector detailed report</w:t>
      </w:r>
      <w:r>
        <w:fldChar w:fldCharType="end"/>
      </w:r>
    </w:p>
    <w:p w:rsidR="001807F2" w:rsidP="001807F2">
      <w:pPr>
        <w:pStyle w:val="Version"/>
        <w:sectPr w:rsidSect="00CB4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5C0" w:rsidP="00CB45C0">
      <w:pPr>
        <w:pStyle w:val="SuperHeading"/>
      </w:pPr>
      <w:r w:rsidRPr="00CB45C0">
        <w:t>UEENEEE124A Compile and produce an energy sector detailed report</w:t>
      </w:r>
    </w:p>
    <w:p w:rsidR="00000000" w:rsidRPr="00CB45C0" w:rsidP="00CB45C0">
      <w:pPr>
        <w:pStyle w:val="Heading1"/>
      </w:pPr>
      <w:bookmarkStart w:id="1" w:name="O_417389"/>
      <w:bookmarkEnd w:id="1"/>
      <w:r w:rsidRPr="00CB45C0">
        <w:t>Modification History</w:t>
      </w:r>
    </w:p>
    <w:p w:rsidR="00000000" w:rsidRPr="00CB45C0" w:rsidP="00CB45C0">
      <w:pPr>
        <w:pStyle w:val="BodyText"/>
      </w:pPr>
      <w:r w:rsidRPr="00CB45C0">
        <w:t>Not applicable.</w:t>
      </w:r>
    </w:p>
    <w:p w:rsidR="00000000" w:rsidRPr="00CB45C0" w:rsidP="00CB45C0">
      <w:pPr>
        <w:pStyle w:val="AllowPageBreak"/>
      </w:pPr>
    </w:p>
    <w:p w:rsidR="00000000" w:rsidRPr="00CB45C0" w:rsidP="00CB45C0">
      <w:pPr>
        <w:pStyle w:val="Heading1"/>
      </w:pPr>
      <w:bookmarkStart w:id="2" w:name="O_417387"/>
      <w:bookmarkEnd w:id="2"/>
      <w:r w:rsidRPr="00CB45C0">
        <w:t>Unit Descriptor</w:t>
      </w:r>
    </w:p>
    <w:tbl>
      <w:tblPr>
        <w:tblW w:w="0" w:type="auto"/>
        <w:tblLayout w:type="fixed"/>
        <w:tblCellMar>
          <w:left w:w="62" w:type="dxa"/>
          <w:right w:w="62" w:type="dxa"/>
        </w:tblCellMar>
        <w:tblLook w:val="0000"/>
      </w:tblPr>
      <w:tblGrid>
        <w:gridCol w:w="2700"/>
        <w:gridCol w:w="5760"/>
      </w:tblGrid>
      <w:tr w:rsidTr="001807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1)</w:t>
            </w:r>
            <w:r w:rsidRPr="00CB45C0">
              <w:t xml:space="preserve"> </w:t>
            </w:r>
            <w:r w:rsidRPr="00CB45C0">
              <w:rPr>
                <w:rStyle w:val="SpecialBold"/>
              </w:rPr>
              <w:t>Scope:</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5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1.1) Descriptor</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This unit covers complying and producing an energy sector report. It encompasses determining the safety requirements are met and all regulatory responsibilities are adhered to. The person competent in this unit must demonstrate an ability to identify infor</w:t>
            </w:r>
            <w:r w:rsidRPr="00CB45C0">
              <w:t>mation sources and collect and analyse and format information applicable to the electrotechnology industry and produce a report as required.</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3" w:name="O_417376"/>
      <w:bookmarkEnd w:id="3"/>
      <w:r w:rsidRPr="00CB45C0">
        <w:t>Application of the Unit</w:t>
      </w:r>
    </w:p>
    <w:tbl>
      <w:tblPr>
        <w:tblW w:w="0" w:type="auto"/>
        <w:tblLayout w:type="fixed"/>
        <w:tblCellMar>
          <w:left w:w="62" w:type="dxa"/>
          <w:right w:w="62" w:type="dxa"/>
        </w:tblCellMar>
        <w:tblLook w:val="0000"/>
      </w:tblPr>
      <w:tblGrid>
        <w:gridCol w:w="2672"/>
        <w:gridCol w:w="5699"/>
      </w:tblGrid>
      <w:tr w:rsidTr="001807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2)</w:t>
            </w:r>
          </w:p>
        </w:tc>
      </w:tr>
      <w:tr w:rsidTr="001807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This competency standard is suitable for employment-based programs under an approved contract of training at the AQF level of the qualification in which the unit is first packaged or higher.</w:t>
            </w:r>
          </w:p>
          <w:p w:rsidR="00000000" w:rsidRPr="00CB45C0" w:rsidP="00CB45C0">
            <w:pPr>
              <w:pStyle w:val="BodyText"/>
            </w:pPr>
          </w:p>
          <w:p w:rsidR="00000000" w:rsidRPr="00CB45C0" w:rsidP="00CB45C0">
            <w:pPr>
              <w:pStyle w:val="BodyText"/>
            </w:pPr>
            <w:r w:rsidRPr="00CB45C0">
              <w:t>The unit may be selected as an elective from the relevant schedu</w:t>
            </w:r>
            <w:r w:rsidRPr="00CB45C0">
              <w:t>le (see qualification packaging rules) provided that all prerequisite units are undertaken or addressed through recognition processes.</w:t>
            </w:r>
          </w:p>
          <w:p w:rsidR="00000000" w:rsidRPr="00CB45C0" w:rsidP="00CB45C0">
            <w:pPr>
              <w:pStyle w:val="BodyText"/>
            </w:pPr>
          </w:p>
          <w:p w:rsidR="00000000" w:rsidRPr="00CB45C0" w:rsidP="00CB45C0">
            <w:pPr>
              <w:pStyle w:val="BodyText"/>
            </w:pPr>
            <w:r w:rsidRPr="00CB45C0">
              <w:t>This unit may be included in a skill set provided that it is listed in the schedule of electives (see Qualification Fram</w:t>
            </w:r>
            <w:r w:rsidRPr="00CB45C0">
              <w:t>ework) and all prerequisite units are undertaken or addressed through recognition processes.</w:t>
            </w:r>
          </w:p>
          <w:p w:rsidR="00000000" w:rsidRPr="00CB45C0" w:rsidP="00CB45C0">
            <w:pPr>
              <w:pStyle w:val="BodyText"/>
            </w:pPr>
          </w:p>
          <w:p w:rsidR="00000000" w:rsidRPr="00CB45C0" w:rsidP="00CB45C0">
            <w:pPr>
              <w:pStyle w:val="BodyText"/>
            </w:pPr>
            <w:r w:rsidRPr="00CB45C0">
              <w:t xml:space="preserve">Delivery and assessment of this unit should be </w:t>
            </w:r>
            <w:r w:rsidRPr="00CB45C0">
              <w:t>undertaken within regard to the requirements of License to Practice (1.2 above), Prerequisite Competencies and Lite</w:t>
            </w:r>
            <w:r w:rsidRPr="00CB45C0">
              <w:t>racy and Numeracy skills (2 above) and the  recommendations for concurrent assessment and relationship with other units (9.5 below).</w:t>
            </w:r>
          </w:p>
          <w:p w:rsidR="00000000" w:rsidRPr="00CB45C0" w:rsidP="00CB45C0">
            <w:pPr>
              <w:pStyle w:val="BodyText"/>
            </w:pPr>
          </w:p>
          <w:p w:rsidR="00000000" w:rsidRPr="00CB45C0" w:rsidP="00CB45C0">
            <w:pPr>
              <w:pStyle w:val="BodyText"/>
            </w:pPr>
            <w:r w:rsidRPr="00CB45C0">
              <w:t>Practice in the workplace and during training is also subject to regulations directly related to occupational health and s</w:t>
            </w:r>
            <w:r w:rsidRPr="00CB45C0">
              <w:t>afety and where applicable contracts of training such as apprenticeships.</w:t>
            </w:r>
          </w:p>
          <w:p w:rsidR="00000000" w:rsidRPr="00CB45C0" w:rsidP="00CB45C0">
            <w:pPr>
              <w:pStyle w:val="BodyText"/>
            </w:pPr>
            <w:r w:rsidRPr="00CB45C0">
              <w:t xml:space="preserve">Note: </w:t>
            </w:r>
          </w:p>
          <w:p w:rsidR="00000000" w:rsidRPr="00CB45C0" w:rsidP="00CB45C0">
            <w:pPr>
              <w:pStyle w:val="BodyText"/>
            </w:pPr>
            <w:r w:rsidRPr="00CB45C0">
              <w:t xml:space="preserve">1. Compliance with permits may be required in various jurisdictions and typically relates to the operation of plant, machinery and equipment such as elevating work platforms, </w:t>
            </w:r>
            <w:r w:rsidRPr="00CB45C0">
              <w:t>powder operated fixing tools, power operated tools, vehicles, road signage and traffic control and lifting equipment. Permits may also be required for some work environments such as confined spaces, working aloft, near live electrical apparatus and site re</w:t>
            </w:r>
            <w:r w:rsidRPr="00CB45C0">
              <w:t>habilitation.</w:t>
            </w:r>
          </w:p>
          <w:p w:rsidR="00000000" w:rsidRPr="00CB45C0" w:rsidP="00CB45C0">
            <w:pPr>
              <w:pStyle w:val="BodyText"/>
            </w:pPr>
            <w:r w:rsidRPr="00CB45C0">
              <w:t>2. Compliance may be required in various jurisdictions relating to currency in First Aid, confined space, lifting, risk safety measures etc.</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4" w:name="O_417383"/>
      <w:bookmarkEnd w:id="4"/>
      <w:r w:rsidRPr="00CB45C0">
        <w:t>Licensing/Regulatory Information</w:t>
      </w:r>
    </w:p>
    <w:tbl>
      <w:tblPr>
        <w:tblW w:w="0" w:type="auto"/>
        <w:tblLayout w:type="fixed"/>
        <w:tblCellMar>
          <w:left w:w="62" w:type="dxa"/>
          <w:right w:w="62" w:type="dxa"/>
        </w:tblCellMar>
        <w:tblLook w:val="0000"/>
      </w:tblPr>
      <w:tblGrid>
        <w:gridCol w:w="2700"/>
        <w:gridCol w:w="5760"/>
      </w:tblGrid>
      <w:tr w:rsidTr="001807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 xml:space="preserve">3) </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The skills and knowledge described in this unit do not require a license to practice in the workplace. However, practice in this unit is subject to regulations directly related to occupational health and safety and where applicable contracts of training su</w:t>
            </w:r>
            <w:r w:rsidRPr="00CB45C0">
              <w:t>ch as apprenticeships.</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5" w:name="O_417384"/>
      <w:bookmarkEnd w:id="5"/>
      <w:r w:rsidRPr="00CB45C0">
        <w:t>Pre-Requisites</w:t>
      </w:r>
    </w:p>
    <w:tbl>
      <w:tblPr>
        <w:tblW w:w="0" w:type="auto"/>
        <w:tblLayout w:type="fixed"/>
        <w:tblCellMar>
          <w:left w:w="62" w:type="dxa"/>
          <w:right w:w="62" w:type="dxa"/>
        </w:tblCellMar>
        <w:tblLook w:val="0000"/>
      </w:tblPr>
      <w:tblGrid>
        <w:gridCol w:w="2700"/>
        <w:gridCol w:w="5760"/>
      </w:tblGrid>
      <w:tr w:rsidTr="001807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 xml:space="preserve">4) </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4.1)</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There are no prerequisite competencies for this unit.</w:t>
            </w:r>
          </w:p>
        </w:tc>
      </w:tr>
    </w:tbl>
    <w:p w:rsidR="00000000" w:rsidRPr="00CB45C0" w:rsidP="00CB45C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807F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 xml:space="preserve">4.2) </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Participants are best equipped to ac</w:t>
            </w:r>
            <w:r w:rsidRPr="00CB45C0">
              <w:t>hieve competency in this unit if they have reading, writing and numeracy skills indicated by the following scales. Description of each scale is given in Volume 2, Part 3 ‘Literacy and Numeracy’</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Reading</w:t>
            </w:r>
          </w:p>
        </w:tc>
        <w:tc>
          <w:tcPr>
            <w:tcW w:w="81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5</w:t>
            </w:r>
          </w:p>
        </w:tc>
        <w:tc>
          <w:tcPr>
            <w:tcW w:w="99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Writing</w:t>
            </w: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5</w:t>
            </w:r>
          </w:p>
        </w:tc>
        <w:tc>
          <w:tcPr>
            <w:tcW w:w="12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Numeracy</w:t>
            </w:r>
          </w:p>
        </w:tc>
        <w:tc>
          <w:tcPr>
            <w:tcW w:w="72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5</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6" w:name="O_417380"/>
      <w:bookmarkEnd w:id="6"/>
      <w:r w:rsidRPr="00CB45C0">
        <w:t>Employability Skills Information</w:t>
      </w:r>
    </w:p>
    <w:tbl>
      <w:tblPr>
        <w:tblW w:w="0" w:type="auto"/>
        <w:tblLayout w:type="fixed"/>
        <w:tblCellMar>
          <w:left w:w="62" w:type="dxa"/>
          <w:right w:w="62" w:type="dxa"/>
        </w:tblCellMar>
        <w:tblLook w:val="0000"/>
      </w:tblPr>
      <w:tblGrid>
        <w:gridCol w:w="2700"/>
        <w:gridCol w:w="5760"/>
      </w:tblGrid>
      <w:tr w:rsidTr="001807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 xml:space="preserve">5) </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This unit contains Employability Skills</w:t>
            </w:r>
          </w:p>
          <w:p w:rsidR="00000000" w:rsidRPr="00CB45C0" w:rsidP="00CB45C0">
            <w:pPr>
              <w:pStyle w:val="BodyText"/>
            </w:pPr>
            <w:r w:rsidRPr="00CB45C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45C0">
              <w:t>requirements.</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7" w:name="O_417379"/>
      <w:bookmarkEnd w:id="7"/>
      <w:r w:rsidRPr="00CB45C0">
        <w:t>Elements and Performance Criteria Pre-Content</w:t>
      </w:r>
    </w:p>
    <w:tbl>
      <w:tblPr>
        <w:tblW w:w="0" w:type="auto"/>
        <w:tblLayout w:type="fixed"/>
        <w:tblCellMar>
          <w:left w:w="62" w:type="dxa"/>
          <w:right w:w="62" w:type="dxa"/>
        </w:tblCellMar>
        <w:tblLook w:val="0000"/>
      </w:tblPr>
      <w:tblGrid>
        <w:gridCol w:w="2700"/>
        <w:gridCol w:w="5760"/>
      </w:tblGrid>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6)</w:t>
            </w:r>
            <w:r w:rsidRPr="00CB45C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Performance Criteria describe the required performance needed to demonstrate achievement of the element</w:t>
            </w:r>
            <w:r w:rsidRPr="00CB45C0">
              <w:t>. Assessment of performance is to be consistent with the Evidence Guide.</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8" w:name="O_417378"/>
      <w:bookmarkEnd w:id="8"/>
      <w:r w:rsidRPr="00CB45C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807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PERFORMANCE CRITERIA</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1</w:t>
            </w:r>
          </w:p>
        </w:tc>
        <w:tc>
          <w:tcPr>
            <w:tcW w:w="2296" w:type="dxa"/>
            <w:vMerge w:val="restart"/>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Prepare to develop a energy sector report.</w:t>
            </w: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1.1</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OHS processes and procedures for a given work area are identified, obtained and understood.</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1.2</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 xml:space="preserve">Established techniques for report writing are reviewed are adopted in accordance with </w:t>
            </w:r>
            <w:r w:rsidRPr="00CB45C0">
              <w:t>organisation policies.</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1.3</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The scope of the report is evaluated and report parameters established using a formal evaluation/survey processes.</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1.4</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Criteria from other related works impacting on the report are determined from other sources.</w:t>
            </w:r>
          </w:p>
        </w:tc>
      </w:tr>
      <w:tr w:rsidTr="001807F2">
        <w:tblPrEx>
          <w:tblW w:w="0" w:type="auto"/>
          <w:tblLayout w:type="fixed"/>
          <w:tblCellMar>
            <w:left w:w="62" w:type="dxa"/>
            <w:right w:w="62" w:type="dxa"/>
          </w:tblCellMar>
          <w:tblLook w:val="0000"/>
        </w:tblPrEx>
        <w:trPr>
          <w:trHeight w:val="38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1.5</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Identify source and availability</w:t>
            </w:r>
            <w:r w:rsidRPr="00CB45C0">
              <w:t xml:space="preserve"> of information.</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w:t>
            </w:r>
          </w:p>
        </w:tc>
        <w:tc>
          <w:tcPr>
            <w:tcW w:w="2296" w:type="dxa"/>
            <w:vMerge w:val="restart"/>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Develop energy sector report.</w:t>
            </w: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2.1</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Report is developed to include scenarios/requirements established in consultation with appropriate person(s), and regulatory requirements.</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2.2</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Report is developed in collaboration with all relevant p</w:t>
            </w:r>
            <w:r w:rsidRPr="00CB45C0">
              <w:t>ersonnel.</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2.3</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Competent persons are identified to assist in the compilation of the report.</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2.4</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Report is reviewed against all inputs and adjusted to rectify any anomalies.</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2.5</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Compile report in accordance with organisation policies and procedures.</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2.6</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Compile and analyse research report information</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3</w:t>
            </w:r>
          </w:p>
        </w:tc>
        <w:tc>
          <w:tcPr>
            <w:tcW w:w="2296" w:type="dxa"/>
            <w:vMerge w:val="restart"/>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Obtain approval for final energy sector report.</w:t>
            </w: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3.1</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Report is presented and discussed with person(s) of higher authority.</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3.2</w:t>
            </w:r>
          </w:p>
        </w:tc>
        <w:tc>
          <w:tcPr>
            <w:tcW w:w="48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Alterations to the report resulting from the presentation/discussion are negotiated with person(s) of higher authority within the constraints of organisation policy.</w:t>
            </w:r>
          </w:p>
        </w:tc>
      </w:tr>
      <w:tr w:rsidTr="001807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3.3</w:t>
            </w:r>
          </w:p>
        </w:tc>
        <w:tc>
          <w:tcPr>
            <w:tcW w:w="48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Final report is presented and approval obtained from appropriate person(s).</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9" w:name="O_417386"/>
      <w:bookmarkEnd w:id="9"/>
      <w:r w:rsidRPr="00CB45C0">
        <w:t>Required Skills and Knowledge</w:t>
      </w:r>
    </w:p>
    <w:tbl>
      <w:tblPr>
        <w:tblW w:w="0" w:type="auto"/>
        <w:tblLayout w:type="fixed"/>
        <w:tblCellMar>
          <w:left w:w="62" w:type="dxa"/>
          <w:right w:w="62" w:type="dxa"/>
        </w:tblCellMar>
        <w:tblLook w:val="0000"/>
      </w:tblPr>
      <w:tblGrid>
        <w:gridCol w:w="8460"/>
      </w:tblGrid>
      <w:tr w:rsidTr="001807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REQUIRED SKILLS AND KNOWLEDGE</w:t>
            </w:r>
          </w:p>
        </w:tc>
      </w:tr>
      <w:tr w:rsidTr="001807F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8)</w:t>
            </w:r>
            <w:r w:rsidRPr="00CB45C0">
              <w:t xml:space="preserve"> This describes the essential skills and knowledge and their level, required for this unit.</w:t>
            </w:r>
          </w:p>
          <w:p w:rsidR="00000000" w:rsidRPr="00CB45C0" w:rsidP="00CB45C0">
            <w:pPr>
              <w:pStyle w:val="BodyText"/>
            </w:pPr>
            <w:r w:rsidRPr="00CB45C0">
              <w:t>Evidence shall show that knowledge has been acquired of safe working practices and co</w:t>
            </w:r>
            <w:r w:rsidRPr="00CB45C0">
              <w:t>mpiling and producing an electrotechnology report.</w:t>
            </w:r>
          </w:p>
          <w:p w:rsidR="00000000" w:rsidRPr="00CB45C0" w:rsidP="00CB45C0">
            <w:pPr>
              <w:pStyle w:val="BodyText"/>
            </w:pPr>
            <w:r w:rsidRPr="00CB45C0">
              <w:t>All knowledge and skills detailed in this unit should be contextualised to current industry practices and technologies.</w:t>
            </w:r>
          </w:p>
          <w:p w:rsidR="00000000" w:rsidRPr="00CB45C0" w:rsidP="00CB45C0">
            <w:pPr>
              <w:pStyle w:val="BodyText"/>
            </w:pPr>
            <w:r w:rsidRPr="00CB45C0">
              <w:rPr>
                <w:rStyle w:val="SpecialBold"/>
              </w:rPr>
              <w:t>KS01-EE124A</w:t>
            </w:r>
            <w:r w:rsidRPr="00CB45C0">
              <w:rPr>
                <w:rStyle w:val="SpecialBold"/>
              </w:rPr>
              <w:tab/>
              <w:t xml:space="preserve">              Energy sector detailed report writing</w:t>
            </w:r>
          </w:p>
          <w:p w:rsidR="00000000" w:rsidRPr="00CB45C0" w:rsidP="00CB45C0">
            <w:pPr>
              <w:pStyle w:val="BodyText"/>
            </w:pPr>
            <w:r w:rsidRPr="00CB45C0">
              <w:t>Evidence shall show a</w:t>
            </w:r>
            <w:r w:rsidRPr="00CB45C0">
              <w:t>n understanding of analysis, decision making and reporting as they apply to engineering work functions to an extent indicated by the following aspects:</w:t>
            </w:r>
          </w:p>
          <w:p w:rsidR="00000000" w:rsidRPr="00CB45C0" w:rsidP="00CB45C0">
            <w:pPr>
              <w:pStyle w:val="BodyText"/>
            </w:pPr>
            <w:r w:rsidRPr="00CB45C0">
              <w:t>T1</w:t>
            </w:r>
            <w:r w:rsidRPr="00CB45C0">
              <w:tab/>
              <w:t>Communicating with personnel encompassing:</w:t>
            </w:r>
          </w:p>
          <w:p w:rsidR="00000000" w:rsidRPr="00CB45C0" w:rsidP="00CB45C0">
            <w:pPr>
              <w:pStyle w:val="ListBullet"/>
            </w:pPr>
            <w:r w:rsidRPr="00CB45C0">
              <w:t>Oral communications</w:t>
            </w:r>
          </w:p>
          <w:p w:rsidR="00000000" w:rsidRPr="00CB45C0" w:rsidP="00CB45C0">
            <w:pPr>
              <w:pStyle w:val="ListBullet"/>
            </w:pPr>
            <w:r w:rsidRPr="00CB45C0">
              <w:t>Written procedures and work instructions</w:t>
            </w:r>
          </w:p>
          <w:p w:rsidR="00000000" w:rsidRPr="00CB45C0" w:rsidP="00CB45C0">
            <w:pPr>
              <w:pStyle w:val="BodyText"/>
            </w:pPr>
            <w:r w:rsidRPr="00CB45C0">
              <w:t>T2</w:t>
            </w:r>
            <w:r w:rsidRPr="00CB45C0">
              <w:tab/>
              <w:t>Communicating with suppliers</w:t>
            </w:r>
          </w:p>
          <w:p w:rsidR="00000000" w:rsidRPr="00CB45C0" w:rsidP="00CB45C0">
            <w:pPr>
              <w:pStyle w:val="BodyText"/>
            </w:pPr>
            <w:r w:rsidRPr="00CB45C0">
              <w:t>T3</w:t>
            </w:r>
            <w:r w:rsidRPr="00CB45C0">
              <w:tab/>
              <w:t>Communicating with customers</w:t>
            </w:r>
          </w:p>
          <w:p w:rsidR="00000000" w:rsidRPr="00CB45C0" w:rsidP="00CB45C0">
            <w:pPr>
              <w:pStyle w:val="BodyText"/>
            </w:pPr>
            <w:r w:rsidRPr="00CB45C0">
              <w:t>T4</w:t>
            </w:r>
            <w:r w:rsidRPr="00CB45C0">
              <w:tab/>
              <w:t>Purpose and extent of maintaining work activities records in an enterprise encompassing:</w:t>
            </w:r>
          </w:p>
          <w:p w:rsidR="00000000" w:rsidRPr="00CB45C0" w:rsidP="00CB45C0">
            <w:pPr>
              <w:pStyle w:val="ListBullet"/>
            </w:pPr>
            <w:r w:rsidRPr="00CB45C0">
              <w:t>Types of records for maintaining work activities in an ent</w:t>
            </w:r>
            <w:r w:rsidRPr="00CB45C0">
              <w:t>erprise</w:t>
            </w:r>
          </w:p>
          <w:p w:rsidR="00000000" w:rsidRPr="00CB45C0" w:rsidP="00CB45C0">
            <w:pPr>
              <w:pStyle w:val="ListBullet"/>
            </w:pPr>
            <w:r w:rsidRPr="00CB45C0">
              <w:t>Methods for recording and maintaining work records</w:t>
            </w:r>
          </w:p>
          <w:p w:rsidR="00000000" w:rsidRPr="00CB45C0" w:rsidP="00CB45C0">
            <w:pPr>
              <w:pStyle w:val="ListBullet"/>
            </w:pPr>
            <w:r w:rsidRPr="00CB45C0">
              <w:t>Work records required by regulation requirements</w:t>
            </w:r>
          </w:p>
          <w:p w:rsidR="00000000" w:rsidRPr="00CB45C0" w:rsidP="00CB45C0">
            <w:pPr>
              <w:pStyle w:val="ListBullet"/>
            </w:pPr>
            <w:r w:rsidRPr="00CB45C0">
              <w:t>Using basic computer functions encompassing:</w:t>
            </w:r>
          </w:p>
          <w:p w:rsidR="00000000" w:rsidRPr="00CB45C0" w:rsidP="00CB45C0">
            <w:pPr>
              <w:pStyle w:val="ListBullet"/>
            </w:pPr>
            <w:r w:rsidRPr="00CB45C0">
              <w:t>Starting up</w:t>
            </w:r>
          </w:p>
          <w:p w:rsidR="00000000" w:rsidRPr="00CB45C0" w:rsidP="00CB45C0">
            <w:pPr>
              <w:pStyle w:val="ListBullet"/>
            </w:pPr>
            <w:r w:rsidRPr="00CB45C0">
              <w:t>Selecting application</w:t>
            </w:r>
          </w:p>
          <w:p w:rsidR="00000000" w:rsidRPr="00CB45C0" w:rsidP="00CB45C0">
            <w:pPr>
              <w:pStyle w:val="ListBullet"/>
            </w:pPr>
            <w:r w:rsidRPr="00CB45C0">
              <w:t>Entering information</w:t>
            </w:r>
          </w:p>
          <w:p w:rsidR="00000000" w:rsidRPr="00CB45C0" w:rsidP="00CB45C0">
            <w:pPr>
              <w:pStyle w:val="ListBullet"/>
            </w:pPr>
            <w:r w:rsidRPr="00CB45C0">
              <w:t>Saving</w:t>
            </w:r>
          </w:p>
          <w:p w:rsidR="00000000" w:rsidRPr="00CB45C0" w:rsidP="00CB45C0">
            <w:pPr>
              <w:pStyle w:val="ListBullet"/>
            </w:pPr>
            <w:r w:rsidRPr="00CB45C0">
              <w:t>Printing</w:t>
            </w:r>
          </w:p>
          <w:p w:rsidR="00000000" w:rsidRPr="00CB45C0" w:rsidP="00CB45C0">
            <w:pPr>
              <w:pStyle w:val="BodyText"/>
            </w:pPr>
            <w:r w:rsidRPr="00CB45C0">
              <w:t>T5</w:t>
            </w:r>
            <w:r w:rsidRPr="00CB45C0">
              <w:tab/>
              <w:t>Techniques of analysis encomp</w:t>
            </w:r>
            <w:r w:rsidRPr="00CB45C0">
              <w:t>assing:</w:t>
            </w:r>
          </w:p>
          <w:p w:rsidR="00000000" w:rsidRPr="00CB45C0" w:rsidP="00CB45C0">
            <w:pPr>
              <w:pStyle w:val="ListBullet"/>
            </w:pPr>
            <w:r w:rsidRPr="00CB45C0">
              <w:t>use of appropriate sampling techniques to collect data.</w:t>
            </w:r>
          </w:p>
          <w:p w:rsidR="00000000" w:rsidRPr="00CB45C0" w:rsidP="00CB45C0">
            <w:pPr>
              <w:pStyle w:val="ListBullet"/>
            </w:pPr>
            <w:r w:rsidRPr="00CB45C0">
              <w:t>types of data and classification.</w:t>
            </w:r>
          </w:p>
          <w:p w:rsidR="00000000" w:rsidRPr="00CB45C0" w:rsidP="00CB45C0">
            <w:pPr>
              <w:pStyle w:val="ListBullet"/>
            </w:pPr>
            <w:r w:rsidRPr="00CB45C0">
              <w:t>effective questionnaire design</w:t>
            </w:r>
          </w:p>
          <w:p w:rsidR="00000000" w:rsidRPr="00CB45C0" w:rsidP="00CB45C0">
            <w:pPr>
              <w:pStyle w:val="ListBullet"/>
            </w:pPr>
            <w:r w:rsidRPr="00CB45C0">
              <w:t>data collection errors.</w:t>
            </w:r>
          </w:p>
          <w:p w:rsidR="00000000" w:rsidRPr="00CB45C0" w:rsidP="00CB45C0">
            <w:pPr>
              <w:pStyle w:val="ListBullet"/>
            </w:pPr>
            <w:r w:rsidRPr="00CB45C0">
              <w:t>frequency tables.</w:t>
            </w:r>
          </w:p>
          <w:p w:rsidR="00000000" w:rsidRPr="00CB45C0" w:rsidP="00CB45C0">
            <w:pPr>
              <w:pStyle w:val="ListBullet"/>
            </w:pPr>
            <w:r w:rsidRPr="00CB45C0">
              <w:t>statistical diagrams – drawing and interpretation.</w:t>
            </w:r>
          </w:p>
          <w:p w:rsidR="00000000" w:rsidRPr="00CB45C0" w:rsidP="00CB45C0">
            <w:pPr>
              <w:pStyle w:val="ListBullet"/>
            </w:pPr>
            <w:r w:rsidRPr="00CB45C0">
              <w:t>the general shape of a frequency distribution.</w:t>
            </w:r>
          </w:p>
          <w:p w:rsidR="00000000" w:rsidRPr="00CB45C0" w:rsidP="00CB45C0">
            <w:pPr>
              <w:pStyle w:val="ListBullet"/>
            </w:pPr>
            <w:r w:rsidRPr="00CB45C0">
              <w:t>different types of diagrams.</w:t>
            </w:r>
          </w:p>
          <w:p w:rsidR="00000000" w:rsidRPr="00CB45C0" w:rsidP="00CB45C0">
            <w:pPr>
              <w:pStyle w:val="ListBullet"/>
            </w:pPr>
            <w:r w:rsidRPr="00CB45C0">
              <w:t>mean time between failures calculations</w:t>
            </w:r>
          </w:p>
          <w:p w:rsidR="00000000" w:rsidRPr="00CB45C0" w:rsidP="00CB45C0">
            <w:pPr>
              <w:pStyle w:val="BodyText"/>
            </w:pPr>
            <w:r w:rsidRPr="00CB45C0">
              <w:t>T6</w:t>
            </w:r>
            <w:r w:rsidRPr="00CB45C0">
              <w:tab/>
              <w:t>Summary of statistics encompassing:</w:t>
            </w:r>
          </w:p>
          <w:p w:rsidR="00000000" w:rsidRPr="00CB45C0" w:rsidP="00CB45C0">
            <w:pPr>
              <w:pStyle w:val="ListBullet"/>
            </w:pPr>
            <w:r w:rsidRPr="00CB45C0">
              <w:t>measures of central tendency</w:t>
            </w:r>
          </w:p>
          <w:p w:rsidR="00000000" w:rsidRPr="00CB45C0" w:rsidP="00CB45C0">
            <w:pPr>
              <w:pStyle w:val="ListBullet"/>
            </w:pPr>
            <w:r w:rsidRPr="00CB45C0">
              <w:t>measures of dispersion</w:t>
            </w:r>
          </w:p>
          <w:p w:rsidR="00000000" w:rsidRPr="00CB45C0" w:rsidP="00CB45C0">
            <w:pPr>
              <w:pStyle w:val="ListBullet"/>
            </w:pPr>
            <w:r w:rsidRPr="00CB45C0">
              <w:t xml:space="preserve">a 5-point summary for a given data set, box and </w:t>
            </w:r>
            <w:r w:rsidRPr="00CB45C0">
              <w:t>whisker plot distribution</w:t>
            </w:r>
          </w:p>
          <w:p w:rsidR="00000000" w:rsidRPr="00CB45C0" w:rsidP="00CB45C0">
            <w:pPr>
              <w:pStyle w:val="ListBullet"/>
            </w:pPr>
            <w:r w:rsidRPr="00CB45C0">
              <w:t>data sets comparison using measures of centre and spread</w:t>
            </w:r>
          </w:p>
          <w:p w:rsidR="00000000" w:rsidRPr="00CB45C0" w:rsidP="00CB45C0">
            <w:pPr>
              <w:pStyle w:val="ListBullet"/>
            </w:pPr>
            <w:r w:rsidRPr="00CB45C0">
              <w:t>the effect of outliers on measures of centre and spread</w:t>
            </w:r>
          </w:p>
          <w:p w:rsidR="00000000" w:rsidRPr="00CB45C0" w:rsidP="00CB45C0">
            <w:pPr>
              <w:pStyle w:val="ListBullet"/>
            </w:pPr>
            <w:r w:rsidRPr="00CB45C0">
              <w:t>use computer programs or calculators to simplify calculations</w:t>
            </w:r>
          </w:p>
          <w:p w:rsidR="00000000" w:rsidRPr="00CB45C0" w:rsidP="00CB45C0">
            <w:pPr>
              <w:pStyle w:val="BodyText"/>
            </w:pPr>
            <w:r w:rsidRPr="00CB45C0">
              <w:t>T7</w:t>
            </w:r>
            <w:r w:rsidRPr="00CB45C0">
              <w:tab/>
              <w:t>Correlation and regression encompassing:</w:t>
            </w:r>
          </w:p>
          <w:p w:rsidR="00000000" w:rsidRPr="00CB45C0" w:rsidP="00CB45C0">
            <w:pPr>
              <w:pStyle w:val="ListBullet"/>
            </w:pPr>
            <w:r w:rsidRPr="00CB45C0">
              <w:t xml:space="preserve">bivariate </w:t>
            </w:r>
            <w:r w:rsidRPr="00CB45C0">
              <w:t>data and scatter diagrams.</w:t>
            </w:r>
          </w:p>
          <w:p w:rsidR="00000000" w:rsidRPr="00CB45C0" w:rsidP="00CB45C0">
            <w:pPr>
              <w:pStyle w:val="ListBullet"/>
            </w:pPr>
            <w:r w:rsidRPr="00CB45C0">
              <w:t>product-moment correlation coefficient calculation and interpretation.</w:t>
            </w:r>
          </w:p>
          <w:p w:rsidR="00000000" w:rsidRPr="00CB45C0" w:rsidP="00CB45C0">
            <w:pPr>
              <w:pStyle w:val="ListBullet"/>
            </w:pPr>
            <w:r w:rsidRPr="00CB45C0">
              <w:t xml:space="preserve">difference between causation and correlation. </w:t>
            </w:r>
          </w:p>
          <w:p w:rsidR="00000000" w:rsidRPr="00CB45C0" w:rsidP="00CB45C0">
            <w:pPr>
              <w:pStyle w:val="ListBullet"/>
            </w:pPr>
            <w:r w:rsidRPr="00CB45C0">
              <w:t>equations of regression lines from bivariate data with a calculator and line plotting on a scatter diagram.</w:t>
            </w:r>
          </w:p>
          <w:p w:rsidR="00000000" w:rsidRPr="00CB45C0" w:rsidP="00CB45C0">
            <w:pPr>
              <w:pStyle w:val="ListBullet"/>
            </w:pPr>
            <w:r w:rsidRPr="00CB45C0">
              <w:t>usi</w:t>
            </w:r>
            <w:r w:rsidRPr="00CB45C0">
              <w:t>ng the equation of regression to make predictions in practical situations.</w:t>
            </w:r>
          </w:p>
          <w:p w:rsidR="00000000" w:rsidRPr="00CB45C0" w:rsidP="00CB45C0">
            <w:pPr>
              <w:pStyle w:val="ListBullet"/>
            </w:pPr>
            <w:r w:rsidRPr="00CB45C0">
              <w:t>investigation of practical problems using correlation and regression.</w:t>
            </w:r>
          </w:p>
          <w:p w:rsidR="00000000" w:rsidRPr="00CB45C0" w:rsidP="00CB45C0">
            <w:pPr>
              <w:pStyle w:val="BodyText"/>
            </w:pPr>
            <w:r w:rsidRPr="00CB45C0">
              <w:t>T8</w:t>
            </w:r>
            <w:r w:rsidRPr="00CB45C0">
              <w:tab/>
              <w:t>Investigation and reporting encompassing:</w:t>
            </w:r>
          </w:p>
          <w:p w:rsidR="00000000" w:rsidRPr="00CB45C0" w:rsidP="00CB45C0">
            <w:pPr>
              <w:pStyle w:val="ListBullet"/>
            </w:pPr>
            <w:r w:rsidRPr="00CB45C0">
              <w:t>presentation of a well formatted report with a clearly stated aim.</w:t>
            </w:r>
          </w:p>
          <w:p w:rsidR="00000000" w:rsidRPr="00CB45C0" w:rsidP="00CB45C0">
            <w:pPr>
              <w:pStyle w:val="ListBullet"/>
            </w:pPr>
            <w:r w:rsidRPr="00CB45C0">
              <w:t>using the internet to obtain relevant data.</w:t>
            </w:r>
          </w:p>
          <w:p w:rsidR="00000000" w:rsidRPr="00CB45C0" w:rsidP="00CB45C0">
            <w:pPr>
              <w:pStyle w:val="ListBullet"/>
            </w:pPr>
            <w:r w:rsidRPr="00CB45C0">
              <w:t>description of the statistical method and design chosen to meet the aim of the investigation.</w:t>
            </w:r>
          </w:p>
          <w:p w:rsidR="00000000" w:rsidRPr="00CB45C0" w:rsidP="00CB45C0">
            <w:pPr>
              <w:pStyle w:val="ListBullet"/>
            </w:pPr>
            <w:r w:rsidRPr="00CB45C0">
              <w:t>statistical analysis and results reporting.</w:t>
            </w:r>
          </w:p>
          <w:p w:rsidR="00000000" w:rsidRPr="00CB45C0" w:rsidP="00CB45C0">
            <w:pPr>
              <w:pStyle w:val="ListBullet"/>
            </w:pPr>
            <w:r w:rsidRPr="00CB45C0">
              <w:t>evaluat</w:t>
            </w:r>
            <w:r w:rsidRPr="00CB45C0">
              <w:t>ion and interpretation of the results of the investigation.</w:t>
            </w:r>
          </w:p>
          <w:p w:rsidR="00000000" w:rsidRPr="00CB45C0" w:rsidP="00CB45C0">
            <w:pPr>
              <w:pStyle w:val="ListBullet"/>
            </w:pPr>
            <w:r w:rsidRPr="00CB45C0">
              <w:t>discussion of the investigation with reference to real world applications.</w:t>
            </w:r>
          </w:p>
          <w:p w:rsidR="00000000" w:rsidRPr="00CB45C0" w:rsidP="00CB45C0">
            <w:pPr>
              <w:pStyle w:val="ListBullet"/>
            </w:pPr>
            <w:r w:rsidRPr="00CB45C0">
              <w:t>chronology of the investigation.</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10" w:name="O_417381"/>
      <w:bookmarkEnd w:id="10"/>
      <w:r w:rsidRPr="00CB45C0">
        <w:t>Evidence Guide</w:t>
      </w:r>
    </w:p>
    <w:tbl>
      <w:tblPr>
        <w:tblW w:w="0" w:type="auto"/>
        <w:tblLayout w:type="fixed"/>
        <w:tblCellMar>
          <w:left w:w="62" w:type="dxa"/>
          <w:right w:w="62" w:type="dxa"/>
        </w:tblCellMar>
        <w:tblLook w:val="0000"/>
      </w:tblPr>
      <w:tblGrid>
        <w:gridCol w:w="8460"/>
      </w:tblGrid>
      <w:tr w:rsidTr="001807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EVIDENCE GUIDE</w:t>
            </w:r>
          </w:p>
        </w:tc>
      </w:tr>
      <w:tr w:rsidTr="001807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9)</w:t>
            </w:r>
            <w:r w:rsidRPr="00CB45C0">
              <w:t xml:space="preserve"> The evidence guide provides advice on assessment and must be read in conjunction with the Performance Criteria, Required Skills and Knowledge, the Range Statement and the Assessment Guidelines for this Training Package. </w:t>
            </w:r>
          </w:p>
          <w:p w:rsidR="00000000" w:rsidRPr="00CB45C0" w:rsidP="00CB45C0">
            <w:pPr>
              <w:pStyle w:val="BodyText"/>
            </w:pPr>
            <w:r w:rsidRPr="00CB45C0">
              <w:t>The Evidence Guide forms an integr</w:t>
            </w:r>
            <w:r w:rsidRPr="00CB45C0">
              <w:t>al part of this unit. It must be used in conjunction with all parts of the unit and performed in accordance with the Assessment Guidelines of this Training Package.</w:t>
            </w:r>
          </w:p>
        </w:tc>
      </w:tr>
    </w:tbl>
    <w:p w:rsidR="00000000" w:rsidRPr="00CB45C0" w:rsidP="00CB45C0">
      <w:pPr>
        <w:pStyle w:val="BodyText"/>
      </w:pPr>
    </w:p>
    <w:tbl>
      <w:tblPr>
        <w:tblW w:w="0" w:type="auto"/>
        <w:tblLayout w:type="fixed"/>
        <w:tblCellMar>
          <w:left w:w="62" w:type="dxa"/>
          <w:right w:w="62" w:type="dxa"/>
        </w:tblCellMar>
        <w:tblLook w:val="0000"/>
      </w:tblPr>
      <w:tblGrid>
        <w:gridCol w:w="1890"/>
        <w:gridCol w:w="6570"/>
      </w:tblGrid>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9.1)</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Longitudinal competency development approaches to assessmen</w:t>
            </w:r>
            <w:r w:rsidRPr="00CB45C0">
              <w:t>t, such as Profiling, require data to be reliably gathered in a form that can be consistently interpreted over time. This approach is best utilised in Apprenticeship programs and reduces assessment intervention. It is the industry-preferred model for appre</w:t>
            </w:r>
            <w:r w:rsidRPr="00CB45C0">
              <w:t>nticeships. However, where summative (or final) assessment is used it is to include the application of the competency in the normal work environment or, at a minimum, the application of the competency in a realistically simulated work environment. It is re</w:t>
            </w:r>
            <w:r w:rsidRPr="00CB45C0">
              <w:t>cognised that, in some circumstances, assessment in part or full can occur outside the workplace. However, it must be in accordance with industry and regulatory policy.</w:t>
            </w:r>
          </w:p>
          <w:p w:rsidR="00000000" w:rsidRPr="00CB45C0" w:rsidP="00CB45C0">
            <w:pPr>
              <w:pStyle w:val="BodyText"/>
            </w:pPr>
            <w:r w:rsidRPr="00CB45C0">
              <w:t>Methods chosen for a particular assessment will be influenced by various factors. These</w:t>
            </w:r>
            <w:r w:rsidRPr="00CB45C0">
              <w:t xml:space="preserv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CB45C0" w:rsidP="00CB45C0">
            <w:pPr>
              <w:pStyle w:val="BodyText"/>
            </w:pPr>
            <w:r w:rsidRPr="00CB45C0">
              <w:t>The c</w:t>
            </w:r>
            <w:r w:rsidRPr="00CB45C0">
              <w:t>ritical safety nature of working with electricity, electrical equipment, gas or any other hazardous substance/material carries risk in deeming a person competent. Sources of evidence need to be ‘rich’ in nature to minimise error in judgment.</w:t>
            </w:r>
          </w:p>
          <w:p w:rsidR="00000000" w:rsidRPr="00CB45C0" w:rsidP="00CB45C0">
            <w:pPr>
              <w:pStyle w:val="BodyText"/>
            </w:pPr>
            <w:r w:rsidRPr="00CB45C0">
              <w:t>Activities associated with normal everyday work have a bearing on the decision as to how much and how detailed the data gathered will contribute to its ‘richness’. Some skills are more critical to safety and operational requirements while the same skills m</w:t>
            </w:r>
            <w:r w:rsidRPr="00CB45C0">
              <w:t>ay be more or less frequently practised. These points are raised for the assessors to consider when choosing an assessment method and developing assessment instruments. Sample assessment instruments are included for Assessors in the Assessment Guidelines o</w:t>
            </w:r>
            <w:r w:rsidRPr="00CB45C0">
              <w:t>f this Training Package.</w:t>
            </w:r>
          </w:p>
        </w:tc>
      </w:tr>
    </w:tbl>
    <w:p w:rsidR="00000000" w:rsidRPr="00CB45C0" w:rsidP="00CB45C0">
      <w:pPr>
        <w:pStyle w:val="BodyText"/>
      </w:pPr>
    </w:p>
    <w:tbl>
      <w:tblPr>
        <w:tblW w:w="0" w:type="auto"/>
        <w:tblLayout w:type="fixed"/>
        <w:tblCellMar>
          <w:left w:w="62" w:type="dxa"/>
          <w:right w:w="62" w:type="dxa"/>
        </w:tblCellMar>
        <w:tblLook w:val="0000"/>
      </w:tblPr>
      <w:tblGrid>
        <w:gridCol w:w="1890"/>
        <w:gridCol w:w="1620"/>
        <w:gridCol w:w="4950"/>
      </w:tblGrid>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9.2)</w:t>
            </w:r>
          </w:p>
        </w:tc>
      </w:tr>
      <w:tr w:rsidTr="001807F2">
        <w:tblPrEx>
          <w:tblW w:w="0" w:type="auto"/>
          <w:tblLayout w:type="fixed"/>
          <w:tblCellMar>
            <w:left w:w="62" w:type="dxa"/>
            <w:right w:w="62" w:type="dxa"/>
          </w:tblCellMar>
          <w:tblLook w:val="0000"/>
        </w:tblPrEx>
        <w:trPr>
          <w:trHeight w:val="723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Before the critical aspects of evidence are considered all prerequisites must be met.</w:t>
            </w:r>
          </w:p>
          <w:p w:rsidR="00000000" w:rsidRPr="00CB45C0" w:rsidP="00CB45C0">
            <w:pPr>
              <w:pStyle w:val="BodyText"/>
            </w:pPr>
            <w:r w:rsidRPr="00CB45C0">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CB45C0" w:rsidP="00CB45C0">
            <w:pPr>
              <w:pStyle w:val="ListBullet"/>
            </w:pPr>
            <w:r w:rsidRPr="00CB45C0">
              <w:t>A representative body of work performance demonstrated within the timeframes typically expected of the discipline, work function and industrial environment. In particular this shall incorporate evidence that shows a candidate is able to:</w:t>
            </w:r>
          </w:p>
          <w:p w:rsidR="00000000" w:rsidRPr="00CB45C0" w:rsidP="00CB45C0">
            <w:pPr>
              <w:pStyle w:val="ListBullet2"/>
            </w:pPr>
            <w:r w:rsidRPr="00CB45C0">
              <w:t>Implement Occupational Health and Safety workplace procedures and practices, including the use of risk control measures as specified in the performance criteria and range statement</w:t>
            </w:r>
          </w:p>
          <w:p w:rsidR="00000000" w:rsidRPr="00CB45C0" w:rsidP="00CB45C0">
            <w:pPr>
              <w:pStyle w:val="ListBullet2"/>
            </w:pPr>
            <w:r w:rsidRPr="00CB45C0">
              <w:t>Apply sustainable energy principles and practices as specified in the perfo</w:t>
            </w:r>
            <w:r w:rsidRPr="00CB45C0">
              <w:t>rmance criteria and range statement</w:t>
            </w:r>
          </w:p>
          <w:p w:rsidR="00000000" w:rsidRPr="00CB45C0" w:rsidP="00CB45C0">
            <w:pPr>
              <w:pStyle w:val="ListBullet2"/>
            </w:pPr>
            <w:r w:rsidRPr="00CB45C0">
              <w:t>Demonstrate an understanding of the essential knowledge and associated skills as described in this unit.  It may be required by some jurisdictions that RTOs provide a percentile graded result for the purpose of regulator</w:t>
            </w:r>
            <w:r w:rsidRPr="00CB45C0">
              <w:t xml:space="preserve">y or licensing requirements.   </w:t>
            </w:r>
          </w:p>
          <w:p w:rsidR="00000000" w:rsidRPr="00CB45C0" w:rsidP="00CB45C0">
            <w:pPr>
              <w:pStyle w:val="ListBullet2"/>
            </w:pPr>
            <w:r w:rsidRPr="00CB45C0">
              <w:t>Demonstrate an appropriate level of skills enabling employment</w:t>
            </w:r>
          </w:p>
          <w:p w:rsidR="00000000" w:rsidRPr="00CB45C0" w:rsidP="00CB45C0">
            <w:pPr>
              <w:pStyle w:val="ListBullet2"/>
            </w:pPr>
            <w:r w:rsidRPr="00CB45C0">
              <w:t>Conduct work observing the relevant Anti Discrimination legislation, regulations, polices and workplace procedures</w:t>
            </w:r>
          </w:p>
          <w:p w:rsidR="00000000" w:rsidRPr="00CB45C0" w:rsidP="00CB45C0">
            <w:pPr>
              <w:pStyle w:val="ListBullet"/>
            </w:pPr>
            <w:r w:rsidRPr="00CB45C0">
              <w:t xml:space="preserve">Demonstrated consistent performance across a </w:t>
            </w:r>
            <w:r w:rsidRPr="00CB45C0">
              <w:t>representative range of contexts from the prescribed items below:</w:t>
            </w:r>
          </w:p>
          <w:p w:rsidR="00000000" w:rsidP="00CB45C0">
            <w:pPr>
              <w:pStyle w:val="ListBullet2"/>
              <w:rPr>
                <w:lang w:val="en-NZ"/>
              </w:rPr>
            </w:pPr>
            <w:r w:rsidRPr="00CB45C0">
              <w:t>Compile and produce an energy sector report as described in 8) and including:</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A</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 xml:space="preserve">Typical organisation policies and procedures. </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B</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Access to a report brief to established report parameters.</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C</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Access to appropriate person(s) to establish report requirements.</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D</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Establishing the scope and parameters of the report.</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E</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Determining the impact of other related works.</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F</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Developing design brief incorporating scenarios and all requirements.</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G</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Appropriate computer application.</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H</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Identifying competencies required for the report.</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I</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Documenting report proposal.</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J</w:t>
            </w:r>
          </w:p>
        </w:tc>
        <w:tc>
          <w:tcPr>
            <w:tcW w:w="495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t>Negotiating alterations to the proposed report successfully.</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 xml:space="preserve">Note: </w:t>
            </w:r>
            <w:r w:rsidRPr="00CB45C0">
              <w:br/>
              <w:t>Successful completion of relevant vendor training may be used to contribute to evidence on which competency is deemed. In these cases the alignment of outcomes of vendor training with pe</w:t>
            </w:r>
            <w:r w:rsidRPr="00CB45C0">
              <w:t>rformance criteria and critical aspects of evidence shall be clearly identified.</w:t>
            </w:r>
          </w:p>
        </w:tc>
      </w:tr>
    </w:tbl>
    <w:p w:rsidR="00000000" w:rsidRPr="00CB45C0" w:rsidP="00CB45C0">
      <w:pPr>
        <w:pStyle w:val="BodyText"/>
      </w:pPr>
    </w:p>
    <w:tbl>
      <w:tblPr>
        <w:tblW w:w="0" w:type="auto"/>
        <w:tblLayout w:type="fixed"/>
        <w:tblCellMar>
          <w:left w:w="62" w:type="dxa"/>
          <w:right w:w="62" w:type="dxa"/>
        </w:tblCellMar>
        <w:tblLook w:val="0000"/>
      </w:tblPr>
      <w:tblGrid>
        <w:gridCol w:w="1890"/>
        <w:gridCol w:w="6570"/>
      </w:tblGrid>
      <w:tr w:rsidTr="001807F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9.3)</w:t>
            </w:r>
          </w:p>
        </w:tc>
      </w:tr>
      <w:tr w:rsidTr="001807F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This unit should be assessed as it relates to normal work practice using procedures, information and resources typical of a workplace. This should include:</w:t>
            </w:r>
          </w:p>
          <w:p w:rsidR="00000000" w:rsidRPr="00CB45C0" w:rsidP="00CB45C0">
            <w:pPr>
              <w:pStyle w:val="ListBullet"/>
            </w:pPr>
            <w:r w:rsidRPr="00CB45C0">
              <w:t>OHS policy and work procedures and instructions.</w:t>
            </w:r>
          </w:p>
          <w:p w:rsidR="00000000" w:rsidRPr="00CB45C0" w:rsidP="00CB45C0">
            <w:pPr>
              <w:pStyle w:val="ListBullet"/>
            </w:pPr>
            <w:r w:rsidRPr="00CB45C0">
              <w:t>Suitable work environment, facilities, equipment a</w:t>
            </w:r>
            <w:r w:rsidRPr="00CB45C0">
              <w:t>nd materials to undertake actual work as prescribed in this unit.</w:t>
            </w:r>
          </w:p>
          <w:p w:rsidR="00000000" w:rsidRPr="00CB45C0" w:rsidP="00CB45C0">
            <w:pPr>
              <w:pStyle w:val="BodyText"/>
            </w:pPr>
            <w:r w:rsidRPr="00CB45C0">
              <w:t>These should be used in the formal learning/assessment environment.</w:t>
            </w:r>
          </w:p>
          <w:p w:rsidR="00000000" w:rsidRPr="00CB45C0" w:rsidP="00CB45C0">
            <w:pPr>
              <w:pStyle w:val="BodyText"/>
            </w:pPr>
            <w:r w:rsidRPr="00CB45C0">
              <w:t>Note:</w:t>
            </w:r>
          </w:p>
          <w:p w:rsidR="00000000" w:rsidRPr="00CB45C0" w:rsidP="00CB45C0">
            <w:pPr>
              <w:pStyle w:val="BodyText"/>
            </w:pPr>
            <w:r w:rsidRPr="00CB45C0">
              <w:t>Where simulation is considered a suitable strategy for assessment, conditions for assessment must be authentic and a</w:t>
            </w:r>
            <w:r w:rsidRPr="00CB45C0">
              <w:t>s far as possible reproduce and replicate the workplace and be consistent with the approved industry simulation policy.</w:t>
            </w:r>
          </w:p>
          <w:p w:rsidR="00000000" w:rsidRPr="00CB45C0" w:rsidP="00CB45C0">
            <w:pPr>
              <w:pStyle w:val="BodyText"/>
            </w:pPr>
            <w:r w:rsidRPr="00CB45C0">
              <w:t>The resources used for assessment should reflect current industry practices in relation to compiling and producing an energy sector repo</w:t>
            </w:r>
            <w:r w:rsidRPr="00CB45C0">
              <w:t>rt.</w:t>
            </w:r>
          </w:p>
        </w:tc>
      </w:tr>
    </w:tbl>
    <w:p w:rsidR="00000000" w:rsidRPr="00CB45C0" w:rsidP="00CB45C0">
      <w:pPr>
        <w:pStyle w:val="BodyText"/>
      </w:pPr>
    </w:p>
    <w:tbl>
      <w:tblPr>
        <w:tblW w:w="0" w:type="auto"/>
        <w:tblLayout w:type="fixed"/>
        <w:tblCellMar>
          <w:left w:w="62" w:type="dxa"/>
          <w:right w:w="62" w:type="dxa"/>
        </w:tblCellMar>
        <w:tblLook w:val="0000"/>
      </w:tblPr>
      <w:tblGrid>
        <w:gridCol w:w="1890"/>
        <w:gridCol w:w="6570"/>
      </w:tblGrid>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9.4)</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This unit shall be assessed by methods given in Volume 1, Part 3 ‘Assessment Guidelines’.</w:t>
            </w:r>
          </w:p>
          <w:p w:rsidR="00000000" w:rsidRPr="00CB45C0" w:rsidP="00CB45C0">
            <w:pPr>
              <w:pStyle w:val="BodyText"/>
            </w:pPr>
            <w:r w:rsidRPr="00CB45C0">
              <w:t xml:space="preserve">Note: </w:t>
            </w:r>
            <w:r w:rsidRPr="00CB45C0">
              <w:br/>
            </w:r>
            <w:r w:rsidRPr="00CB45C0">
              <w:t>Competent performance with inherent safe working practices is expected in the Industry to which this unit applies. This requires that the specified essential knowledge and associated skills are assessed in a structured environment which is primarily intend</w:t>
            </w:r>
            <w:r w:rsidRPr="00CB45C0">
              <w:t>ed for learning/assessment and incorporates all necessary equipment and facilities for learners to develop and demonstrate the essential knowledge and skills described in this unit.</w:t>
            </w:r>
          </w:p>
        </w:tc>
      </w:tr>
    </w:tbl>
    <w:p w:rsidR="00000000" w:rsidRPr="00CB45C0" w:rsidP="00CB45C0">
      <w:pPr>
        <w:pStyle w:val="BodyText"/>
      </w:pPr>
    </w:p>
    <w:tbl>
      <w:tblPr>
        <w:tblW w:w="0" w:type="auto"/>
        <w:tblLayout w:type="fixed"/>
        <w:tblCellMar>
          <w:left w:w="62" w:type="dxa"/>
          <w:right w:w="62" w:type="dxa"/>
        </w:tblCellMar>
        <w:tblLook w:val="0000"/>
      </w:tblPr>
      <w:tblGrid>
        <w:gridCol w:w="1890"/>
        <w:gridCol w:w="6570"/>
      </w:tblGrid>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9.5)</w:t>
            </w:r>
          </w:p>
        </w:tc>
      </w:tr>
      <w:tr w:rsidTr="001807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There are</w:t>
            </w:r>
            <w:r w:rsidRPr="00CB45C0">
              <w:t xml:space="preserve"> no concurrent assessment recommendations for this unit.</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11" w:name="O_417385"/>
      <w:bookmarkEnd w:id="11"/>
      <w:r w:rsidRPr="00CB45C0">
        <w:t>Range Statement</w:t>
      </w:r>
    </w:p>
    <w:tbl>
      <w:tblPr>
        <w:tblW w:w="0" w:type="auto"/>
        <w:tblLayout w:type="fixed"/>
        <w:tblCellMar>
          <w:left w:w="62" w:type="dxa"/>
          <w:right w:w="62" w:type="dxa"/>
        </w:tblCellMar>
        <w:tblLook w:val="0000"/>
      </w:tblPr>
      <w:tblGrid>
        <w:gridCol w:w="8460"/>
      </w:tblGrid>
      <w:tr w:rsidTr="001807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RANGE STATEMENT</w:t>
            </w:r>
          </w:p>
        </w:tc>
      </w:tr>
      <w:tr w:rsidTr="001807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10)</w:t>
            </w:r>
            <w:r w:rsidRPr="00CB45C0">
              <w:t xml:space="preserve"> This relates to the unit as a whole providing the range of contexts and conditions to which </w:t>
            </w:r>
            <w:r w:rsidRPr="00CB45C0">
              <w:t>the performance criteria apply. It allows for different work environments and situations that will affect performance.</w:t>
            </w:r>
          </w:p>
          <w:p w:rsidR="00000000" w:rsidRPr="00CB45C0" w:rsidP="00CB45C0">
            <w:pPr>
              <w:pStyle w:val="BodyText"/>
            </w:pPr>
            <w:r w:rsidRPr="00CB45C0">
              <w:t xml:space="preserve">This unit of competency describes work conducted by technical personnel who contribute to the conduct of energy sector report writing. </w:t>
            </w:r>
          </w:p>
          <w:p w:rsidR="00000000" w:rsidRPr="00CB45C0" w:rsidP="00CB45C0">
            <w:pPr>
              <w:pStyle w:val="BodyText"/>
            </w:pPr>
            <w:r w:rsidRPr="00CB45C0">
              <w:t>T</w:t>
            </w:r>
            <w:r w:rsidRPr="00CB45C0">
              <w:t>his unit of competency is typically performed by high-level technicians, working as part of a product/application/service research and/or design, development and implementation team. This generally involves working closely with a range of management and pr</w:t>
            </w:r>
            <w:r w:rsidRPr="00CB45C0">
              <w:t>oduction/operations personnel and requires balancing the business and technical sides of the research process.</w:t>
            </w:r>
          </w:p>
          <w:p w:rsidR="00000000" w:rsidRPr="00CB45C0" w:rsidP="00CB45C0">
            <w:pPr>
              <w:pStyle w:val="BodyText"/>
            </w:pPr>
            <w:r w:rsidRPr="00CB45C0">
              <w:t>At this level, personnel should be able to interpret and explain sections/types of legislation, codes, regulations, Australian Standards and Inte</w:t>
            </w:r>
            <w:r w:rsidRPr="00CB45C0">
              <w:t>llectual Property rights that apply to the subject matter being reported upon. This unit of competency should be demonstrated in accordance with the organisations</w:t>
            </w:r>
          </w:p>
          <w:p w:rsidR="00000000" w:rsidRPr="00CB45C0" w:rsidP="00CB45C0">
            <w:pPr>
              <w:pStyle w:val="ListBullet3"/>
            </w:pPr>
            <w:r w:rsidRPr="00CB45C0">
              <w:t>Occupational Health and Safety and Workplace Safety policies and procedures</w:t>
            </w:r>
          </w:p>
          <w:p w:rsidR="00000000" w:rsidRPr="00CB45C0" w:rsidP="00CB45C0">
            <w:pPr>
              <w:pStyle w:val="ListBullet3"/>
            </w:pPr>
            <w:r w:rsidRPr="00CB45C0">
              <w:t>Goals, values, o</w:t>
            </w:r>
            <w:r w:rsidRPr="00CB45C0">
              <w:t>bjectives, plans, systems and processes</w:t>
            </w:r>
          </w:p>
          <w:p w:rsidR="00000000" w:rsidRPr="00CB45C0" w:rsidP="00CB45C0">
            <w:pPr>
              <w:pStyle w:val="ListBullet3"/>
            </w:pPr>
            <w:r w:rsidRPr="00CB45C0">
              <w:t>Business and performance plans</w:t>
            </w:r>
          </w:p>
          <w:p w:rsidR="00000000" w:rsidRPr="00CB45C0" w:rsidP="00CB45C0">
            <w:pPr>
              <w:pStyle w:val="ListBullet3"/>
            </w:pPr>
            <w:r w:rsidRPr="00CB45C0">
              <w:t>Ethical standards</w:t>
            </w:r>
          </w:p>
          <w:p w:rsidR="00000000" w:rsidRPr="00CB45C0" w:rsidP="00CB45C0">
            <w:pPr>
              <w:pStyle w:val="ListBullet3"/>
            </w:pPr>
            <w:r w:rsidRPr="00CB45C0">
              <w:t>Client service standards</w:t>
            </w:r>
          </w:p>
          <w:p w:rsidR="00000000" w:rsidRPr="00CB45C0" w:rsidP="00CB45C0">
            <w:pPr>
              <w:pStyle w:val="ListBullet3"/>
            </w:pPr>
            <w:r w:rsidRPr="00CB45C0">
              <w:t>Quality and continuous improvement processes and standards</w:t>
            </w:r>
          </w:p>
          <w:p w:rsidR="00000000" w:rsidRPr="00CB45C0" w:rsidP="00CB45C0">
            <w:pPr>
              <w:pStyle w:val="ListBullet3"/>
            </w:pPr>
            <w:r w:rsidRPr="00CB45C0">
              <w:t>Standard Operating Procedures</w:t>
            </w:r>
          </w:p>
          <w:p w:rsidR="00000000" w:rsidRPr="00CB45C0" w:rsidP="00CB45C0">
            <w:pPr>
              <w:pStyle w:val="ListBullet3"/>
            </w:pPr>
            <w:r w:rsidRPr="00CB45C0">
              <w:t>Resources</w:t>
            </w:r>
          </w:p>
          <w:p w:rsidR="00000000" w:rsidRPr="00CB45C0" w:rsidP="00CB45C0">
            <w:pPr>
              <w:pStyle w:val="ListBullet3"/>
            </w:pPr>
            <w:r w:rsidRPr="00CB45C0">
              <w:t>Technical standards</w:t>
            </w:r>
          </w:p>
          <w:p w:rsidR="00000000" w:rsidRPr="00CB45C0" w:rsidP="00CB45C0">
            <w:pPr>
              <w:pStyle w:val="ListBullet3"/>
            </w:pPr>
            <w:r w:rsidRPr="00CB45C0">
              <w:t>Regulatory requirements</w:t>
            </w:r>
          </w:p>
          <w:p w:rsidR="00000000" w:rsidRPr="00CB45C0" w:rsidP="00CB45C0">
            <w:pPr>
              <w:pStyle w:val="BodyText"/>
            </w:pPr>
            <w:r w:rsidRPr="00CB45C0">
              <w:t>Generic terms used throughout this Vocational Standard shall be regarded as part of the Range Statement in which competency is demonstrated. The definition of these and other terms that apply are given in Volume 2, Part 2.1.</w:t>
            </w:r>
          </w:p>
        </w:tc>
      </w:tr>
    </w:tbl>
    <w:p w:rsidR="00000000" w:rsidRPr="00CB45C0" w:rsidP="00CB45C0">
      <w:pPr>
        <w:pStyle w:val="BodyText"/>
      </w:pPr>
    </w:p>
    <w:p w:rsidR="00000000" w:rsidRPr="00CB45C0" w:rsidP="00CB45C0">
      <w:pPr>
        <w:pStyle w:val="AllowPageBreak"/>
      </w:pPr>
    </w:p>
    <w:p w:rsidR="00000000" w:rsidRPr="00CB45C0" w:rsidP="00CB45C0">
      <w:pPr>
        <w:pStyle w:val="Heading1"/>
      </w:pPr>
      <w:bookmarkStart w:id="12" w:name="O_417388"/>
      <w:bookmarkEnd w:id="12"/>
      <w:r w:rsidRPr="00CB45C0">
        <w:t>Unit Sector</w:t>
      </w:r>
      <w:r w:rsidRPr="00CB45C0">
        <w:t>(s)</w:t>
      </w:r>
    </w:p>
    <w:p w:rsidR="00000000" w:rsidRPr="00CB45C0" w:rsidP="00CB45C0">
      <w:pPr>
        <w:pStyle w:val="BodyText"/>
      </w:pPr>
      <w:r w:rsidRPr="00CB45C0">
        <w:t>Not applicable.</w:t>
      </w:r>
    </w:p>
    <w:p w:rsidR="00000000" w:rsidRPr="00CB45C0" w:rsidP="00CB45C0">
      <w:pPr>
        <w:pStyle w:val="AllowPageBreak"/>
      </w:pPr>
    </w:p>
    <w:p w:rsidR="00000000" w:rsidRPr="00CB45C0" w:rsidP="00CB45C0">
      <w:pPr>
        <w:pStyle w:val="Heading1"/>
      </w:pPr>
      <w:bookmarkStart w:id="13" w:name="O_417377"/>
      <w:bookmarkEnd w:id="13"/>
      <w:r w:rsidRPr="00CB45C0">
        <w:t>Competency Field</w:t>
      </w:r>
    </w:p>
    <w:tbl>
      <w:tblPr>
        <w:tblW w:w="0" w:type="auto"/>
        <w:tblLayout w:type="fixed"/>
        <w:tblCellMar>
          <w:left w:w="62" w:type="dxa"/>
          <w:right w:w="62" w:type="dxa"/>
        </w:tblCellMar>
        <w:tblLook w:val="0000"/>
      </w:tblPr>
      <w:tblGrid>
        <w:gridCol w:w="2700"/>
        <w:gridCol w:w="5760"/>
      </w:tblGrid>
      <w:tr w:rsidTr="001807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45C0">
            <w:pPr>
              <w:pStyle w:val="BodyText"/>
              <w:rPr>
                <w:lang w:val="en-NZ"/>
              </w:rPr>
            </w:pPr>
            <w:r w:rsidRPr="00CB45C0">
              <w:rPr>
                <w:rStyle w:val="SpecialBold"/>
              </w:rPr>
              <w:t xml:space="preserve">11) </w:t>
            </w:r>
          </w:p>
        </w:tc>
      </w:tr>
      <w:tr w:rsidTr="001807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45C0" w:rsidP="00CB45C0">
            <w:pPr>
              <w:pStyle w:val="BodyText"/>
            </w:pPr>
            <w:r w:rsidRPr="00CB45C0">
              <w:t>Electrotechnology</w:t>
            </w:r>
          </w:p>
        </w:tc>
      </w:tr>
    </w:tbl>
    <w:p w:rsidR="00000000" w:rsidRPr="00CB45C0" w:rsidP="00CB45C0">
      <w:pPr>
        <w:pStyle w:val="BodyText"/>
      </w:pPr>
    </w:p>
    <w:p w:rsidR="00000000" w:rsidRPr="00CB45C0" w:rsidP="00CB45C0"/>
    <w:sectPr w:rsidSect="00CB4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7F2" w:rsidP="00180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2" w:rsidP="00CB4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807F2" w:rsidP="00CB4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807F2" w:rsidP="00CB4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7F2" w:rsidP="001807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2" w:rsidP="00CB45C0">
    <w:pPr>
      <w:pStyle w:val="Header"/>
      <w:framePr w:wrap="around"/>
    </w:pPr>
    <w:r>
      <w:fldChar w:fldCharType="begin"/>
    </w:r>
    <w:r>
      <w:instrText xml:space="preserve"> TITLE   \* MERGEFORMAT </w:instrText>
    </w:r>
    <w:r>
      <w:fldChar w:fldCharType="separate"/>
    </w:r>
    <w:r>
      <w:t>UEENEEE124A Compile and produce an energy sector detailed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07F2" w:rsidP="00CB45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CC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A9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C7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5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5C0"/>
    <w:pPr>
      <w:spacing w:before="360" w:after="60"/>
      <w:outlineLvl w:val="0"/>
    </w:pPr>
    <w:rPr>
      <w:sz w:val="32"/>
    </w:rPr>
  </w:style>
  <w:style w:type="paragraph" w:styleId="Heading2">
    <w:name w:val="heading 2"/>
    <w:basedOn w:val="HeadingBase"/>
    <w:next w:val="BodyText"/>
    <w:link w:val="Heading2Char"/>
    <w:qFormat/>
    <w:rsid w:val="00CB45C0"/>
    <w:pPr>
      <w:keepLines/>
      <w:spacing w:before="240" w:after="120"/>
      <w:outlineLvl w:val="1"/>
    </w:pPr>
    <w:rPr>
      <w:sz w:val="28"/>
      <w:szCs w:val="40"/>
    </w:rPr>
  </w:style>
  <w:style w:type="paragraph" w:styleId="Heading3">
    <w:name w:val="heading 3"/>
    <w:basedOn w:val="HeadingBase"/>
    <w:next w:val="BodyText"/>
    <w:link w:val="Heading3Char"/>
    <w:qFormat/>
    <w:rsid w:val="00CB45C0"/>
    <w:pPr>
      <w:spacing w:before="180" w:after="120"/>
      <w:outlineLvl w:val="2"/>
    </w:pPr>
    <w:rPr>
      <w:spacing w:val="-10"/>
      <w:kern w:val="32"/>
    </w:rPr>
  </w:style>
  <w:style w:type="paragraph" w:styleId="Heading4">
    <w:name w:val="heading 4"/>
    <w:basedOn w:val="HeadingBase"/>
    <w:next w:val="BodyText"/>
    <w:link w:val="Heading4Char"/>
    <w:qFormat/>
    <w:rsid w:val="00CB45C0"/>
    <w:pPr>
      <w:spacing w:before="160" w:after="120"/>
      <w:outlineLvl w:val="3"/>
    </w:pPr>
    <w:rPr>
      <w:sz w:val="22"/>
    </w:rPr>
  </w:style>
  <w:style w:type="paragraph" w:styleId="Heading5">
    <w:name w:val="heading 5"/>
    <w:basedOn w:val="HeadingBase"/>
    <w:next w:val="Normal"/>
    <w:link w:val="Heading5Char"/>
    <w:qFormat/>
    <w:rsid w:val="00CB45C0"/>
    <w:pPr>
      <w:spacing w:before="80"/>
      <w:outlineLvl w:val="4"/>
    </w:pPr>
    <w:rPr>
      <w:color w:val="918585"/>
      <w:sz w:val="20"/>
    </w:rPr>
  </w:style>
  <w:style w:type="paragraph" w:styleId="Heading6">
    <w:name w:val="heading 6"/>
    <w:basedOn w:val="HeadingBase"/>
    <w:next w:val="Normal"/>
    <w:link w:val="Heading6Char"/>
    <w:qFormat/>
    <w:rsid w:val="00CB45C0"/>
    <w:pPr>
      <w:spacing w:before="60"/>
      <w:outlineLvl w:val="5"/>
    </w:pPr>
    <w:rPr>
      <w:color w:val="918585"/>
      <w:sz w:val="20"/>
    </w:rPr>
  </w:style>
  <w:style w:type="paragraph" w:styleId="Heading7">
    <w:name w:val="heading 7"/>
    <w:basedOn w:val="Normal"/>
    <w:next w:val="Normal"/>
    <w:link w:val="Heading7Char"/>
    <w:qFormat/>
    <w:rsid w:val="00CB45C0"/>
    <w:pPr>
      <w:ind w:left="720"/>
      <w:outlineLvl w:val="6"/>
    </w:pPr>
    <w:rPr>
      <w:i/>
    </w:rPr>
  </w:style>
  <w:style w:type="paragraph" w:styleId="Heading8">
    <w:name w:val="heading 8"/>
    <w:basedOn w:val="Normal"/>
    <w:next w:val="Normal"/>
    <w:link w:val="Heading8Char"/>
    <w:qFormat/>
    <w:rsid w:val="00CB45C0"/>
    <w:pPr>
      <w:ind w:left="720"/>
      <w:outlineLvl w:val="7"/>
    </w:pPr>
    <w:rPr>
      <w:i/>
    </w:rPr>
  </w:style>
  <w:style w:type="paragraph" w:styleId="Heading9">
    <w:name w:val="heading 9"/>
    <w:basedOn w:val="Normal"/>
    <w:next w:val="Normal"/>
    <w:link w:val="Heading9Char"/>
    <w:qFormat/>
    <w:rsid w:val="00CB45C0"/>
    <w:pPr>
      <w:ind w:left="720"/>
      <w:outlineLvl w:val="8"/>
    </w:pPr>
    <w:rPr>
      <w:i/>
    </w:rPr>
  </w:style>
  <w:style w:type="character" w:default="1" w:styleId="DefaultParagraphFont">
    <w:name w:val="Default Paragraph Font"/>
    <w:uiPriority w:val="1"/>
    <w:unhideWhenUsed/>
    <w:rsid w:val="00CB4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5C0"/>
  </w:style>
  <w:style w:type="character" w:customStyle="1" w:styleId="Heading1Char">
    <w:name w:val="Heading 1 Char"/>
    <w:basedOn w:val="DefaultParagraphFont"/>
    <w:link w:val="Heading1"/>
    <w:rsid w:val="00CB45C0"/>
    <w:rPr>
      <w:rFonts w:ascii="Times New Roman" w:eastAsia="Times New Roman" w:hAnsi="Times New Roman" w:cs="Times New Roman"/>
      <w:b/>
      <w:sz w:val="32"/>
      <w:szCs w:val="20"/>
      <w:lang w:eastAsia="en-US"/>
    </w:rPr>
  </w:style>
  <w:style w:type="paragraph" w:styleId="BodyText">
    <w:name w:val="Body Text"/>
    <w:basedOn w:val="Normal"/>
    <w:link w:val="BodyTextChar"/>
    <w:rsid w:val="00CB4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5C0"/>
    <w:rPr>
      <w:rFonts w:ascii="Times New Roman" w:eastAsia="Times New Roman" w:hAnsi="Times New Roman" w:cs="Times New Roman"/>
      <w:sz w:val="24"/>
      <w:lang w:val="en-US" w:eastAsia="en-US"/>
    </w:rPr>
  </w:style>
  <w:style w:type="paragraph" w:styleId="Footer">
    <w:name w:val="footer"/>
    <w:basedOn w:val="Normal"/>
    <w:link w:val="FooterChar"/>
    <w:rsid w:val="00CB4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5C0"/>
    <w:rPr>
      <w:rFonts w:ascii="Times New Roman" w:eastAsia="Times New Roman" w:hAnsi="Times New Roman" w:cs="Times New Roman"/>
      <w:sz w:val="16"/>
      <w:lang w:val="en-US" w:eastAsia="en-US"/>
    </w:rPr>
  </w:style>
  <w:style w:type="paragraph" w:styleId="ListBullet">
    <w:name w:val="List Bullet"/>
    <w:basedOn w:val="List"/>
    <w:rsid w:val="00CB45C0"/>
    <w:pPr>
      <w:numPr>
        <w:numId w:val="14"/>
      </w:numPr>
      <w:tabs>
        <w:tab w:val="clear" w:pos="340"/>
      </w:tabs>
      <w:spacing w:before="40" w:after="40"/>
    </w:pPr>
  </w:style>
  <w:style w:type="character" w:customStyle="1" w:styleId="SpecialBold">
    <w:name w:val="Special Bold"/>
    <w:basedOn w:val="DefaultParagraphFont"/>
    <w:rsid w:val="00CB45C0"/>
    <w:rPr>
      <w:b/>
      <w:spacing w:val="0"/>
    </w:rPr>
  </w:style>
  <w:style w:type="paragraph" w:styleId="ListBullet2">
    <w:name w:val="List Bullet 2"/>
    <w:basedOn w:val="List2"/>
    <w:rsid w:val="00CB45C0"/>
    <w:pPr>
      <w:numPr>
        <w:numId w:val="15"/>
      </w:numPr>
      <w:tabs>
        <w:tab w:val="clear" w:pos="680"/>
      </w:tabs>
    </w:pPr>
  </w:style>
  <w:style w:type="paragraph" w:styleId="Header">
    <w:name w:val="header"/>
    <w:basedOn w:val="Normal"/>
    <w:link w:val="HeaderChar"/>
    <w:rsid w:val="00CB4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5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5C0"/>
    <w:pPr>
      <w:spacing w:before="240" w:after="120"/>
      <w:outlineLvl w:val="0"/>
    </w:pPr>
    <w:rPr>
      <w:rFonts w:ascii="Times New Roman" w:hAnsi="Times New Roman"/>
      <w:b/>
      <w:sz w:val="28"/>
    </w:rPr>
  </w:style>
  <w:style w:type="paragraph" w:customStyle="1" w:styleId="AllowPageBreak">
    <w:name w:val="AllowPageBreak"/>
    <w:rsid w:val="00CB45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45C0"/>
    <w:pPr>
      <w:numPr>
        <w:numId w:val="3"/>
      </w:numPr>
      <w:tabs>
        <w:tab w:val="clear" w:pos="1021"/>
      </w:tabs>
      <w:ind w:left="1037" w:hanging="357"/>
    </w:pPr>
  </w:style>
  <w:style w:type="character" w:customStyle="1" w:styleId="Heading2Char">
    <w:name w:val="Heading 2 Char"/>
    <w:basedOn w:val="DefaultParagraphFont"/>
    <w:link w:val="Heading2"/>
    <w:rsid w:val="00CB4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5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5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5C0"/>
    <w:rPr>
      <w:rFonts w:ascii="Courier New" w:eastAsia="Times New Roman" w:hAnsi="Courier New" w:cs="Times New Roman"/>
      <w:i/>
      <w:szCs w:val="20"/>
      <w:lang w:val="en-US" w:eastAsia="en-US"/>
    </w:rPr>
  </w:style>
  <w:style w:type="paragraph" w:customStyle="1" w:styleId="HeadingBase">
    <w:name w:val="Heading Base"/>
    <w:rsid w:val="00CB4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5C0"/>
    <w:pPr>
      <w:tabs>
        <w:tab w:val="right" w:leader="dot" w:pos="9072"/>
      </w:tabs>
      <w:ind w:left="567"/>
    </w:pPr>
    <w:rPr>
      <w:szCs w:val="22"/>
    </w:rPr>
  </w:style>
  <w:style w:type="paragraph" w:customStyle="1" w:styleId="TOCBase">
    <w:name w:val="TOC Base"/>
    <w:rsid w:val="00CB4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5C0"/>
    <w:pPr>
      <w:tabs>
        <w:tab w:val="right" w:leader="dot" w:pos="9072"/>
      </w:tabs>
      <w:spacing w:before="40" w:after="40"/>
      <w:ind w:left="284"/>
    </w:pPr>
    <w:rPr>
      <w:rFonts w:ascii="Times New Roman" w:hAnsi="Times New Roman"/>
    </w:rPr>
  </w:style>
  <w:style w:type="paragraph" w:styleId="TOC1">
    <w:name w:val="toc 1"/>
    <w:basedOn w:val="TOCBase"/>
    <w:next w:val="Normal"/>
    <w:rsid w:val="00CB4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5C0"/>
    <w:pPr>
      <w:spacing w:before="5040"/>
      <w:jc w:val="center"/>
    </w:pPr>
    <w:rPr>
      <w:sz w:val="48"/>
      <w:szCs w:val="72"/>
      <w:lang w:val="en-US"/>
    </w:rPr>
  </w:style>
  <w:style w:type="character" w:customStyle="1" w:styleId="TitleChar">
    <w:name w:val="Title Char"/>
    <w:basedOn w:val="DefaultParagraphFont"/>
    <w:link w:val="Title"/>
    <w:rsid w:val="00CB4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5C0"/>
    <w:pPr>
      <w:tabs>
        <w:tab w:val="left" w:pos="3600"/>
        <w:tab w:val="left" w:pos="3958"/>
      </w:tabs>
    </w:pPr>
  </w:style>
  <w:style w:type="paragraph" w:styleId="List">
    <w:name w:val="List"/>
    <w:basedOn w:val="BodyText"/>
    <w:next w:val="BodyText"/>
    <w:rsid w:val="00CB45C0"/>
    <w:pPr>
      <w:tabs>
        <w:tab w:val="left" w:pos="340"/>
      </w:tabs>
      <w:spacing w:before="60" w:after="60"/>
      <w:ind w:left="340" w:hanging="340"/>
    </w:pPr>
  </w:style>
  <w:style w:type="paragraph" w:customStyle="1" w:styleId="Note">
    <w:name w:val="Note"/>
    <w:basedOn w:val="BodyText"/>
    <w:rsid w:val="00CB4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5C0"/>
    <w:pPr>
      <w:framePr w:wrap="auto" w:hAnchor="text" w:y="6049"/>
    </w:pPr>
    <w:rPr>
      <w:color w:val="000000"/>
      <w:sz w:val="40"/>
    </w:rPr>
  </w:style>
  <w:style w:type="paragraph" w:customStyle="1" w:styleId="TOCTitle">
    <w:name w:val="TOCTitle"/>
    <w:basedOn w:val="Heading1"/>
    <w:rsid w:val="00CB45C0"/>
    <w:pPr>
      <w:spacing w:after="240"/>
      <w:jc w:val="center"/>
      <w:outlineLvl w:val="9"/>
    </w:pPr>
    <w:rPr>
      <w:caps/>
    </w:rPr>
  </w:style>
  <w:style w:type="paragraph" w:customStyle="1" w:styleId="Version">
    <w:name w:val="Version"/>
    <w:rsid w:val="00CB4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5C0"/>
    <w:pPr>
      <w:keepNext w:val="0"/>
      <w:tabs>
        <w:tab w:val="right" w:pos="4176"/>
      </w:tabs>
      <w:ind w:left="198" w:hanging="198"/>
    </w:pPr>
    <w:rPr>
      <w:rFonts w:ascii="Garamond" w:hAnsi="Garamond"/>
    </w:rPr>
  </w:style>
  <w:style w:type="paragraph" w:styleId="IndexHeading">
    <w:name w:val="index heading"/>
    <w:basedOn w:val="Normal"/>
    <w:next w:val="Index1"/>
    <w:semiHidden/>
    <w:rsid w:val="00CB45C0"/>
    <w:pPr>
      <w:spacing w:before="120" w:after="120"/>
    </w:pPr>
    <w:rPr>
      <w:rFonts w:ascii="Arial" w:hAnsi="Arial"/>
      <w:b/>
      <w:color w:val="918585"/>
      <w:sz w:val="24"/>
    </w:rPr>
  </w:style>
  <w:style w:type="paragraph" w:customStyle="1" w:styleId="Chapter">
    <w:name w:val="Chapter"/>
    <w:basedOn w:val="Normal"/>
    <w:rsid w:val="00CB45C0"/>
    <w:pPr>
      <w:spacing w:before="240"/>
    </w:pPr>
    <w:rPr>
      <w:rFonts w:ascii="Times New Roman" w:hAnsi="Times New Roman"/>
      <w:smallCaps/>
      <w:spacing w:val="80"/>
      <w:sz w:val="28"/>
    </w:rPr>
  </w:style>
  <w:style w:type="paragraph" w:customStyle="1" w:styleId="InChapter">
    <w:name w:val="InChapter"/>
    <w:basedOn w:val="Heading3"/>
    <w:rsid w:val="00CB45C0"/>
    <w:pPr>
      <w:spacing w:after="240"/>
      <w:outlineLvl w:val="9"/>
    </w:pPr>
    <w:rPr>
      <w:noProof/>
    </w:rPr>
  </w:style>
  <w:style w:type="paragraph" w:styleId="Index2">
    <w:name w:val="index 2"/>
    <w:basedOn w:val="Normal"/>
    <w:next w:val="Normal"/>
    <w:semiHidden/>
    <w:rsid w:val="00CB45C0"/>
    <w:pPr>
      <w:tabs>
        <w:tab w:val="right" w:pos="4176"/>
      </w:tabs>
      <w:ind w:left="568" w:hanging="284"/>
    </w:pPr>
    <w:rPr>
      <w:rFonts w:ascii="Garamond" w:hAnsi="Garamond"/>
    </w:rPr>
  </w:style>
  <w:style w:type="paragraph" w:customStyle="1" w:styleId="Byline">
    <w:name w:val="Byline"/>
    <w:rsid w:val="00CB4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5C0"/>
    <w:pPr>
      <w:tabs>
        <w:tab w:val="clear" w:pos="3600"/>
        <w:tab w:val="clear" w:pos="3958"/>
      </w:tabs>
      <w:jc w:val="right"/>
    </w:pPr>
  </w:style>
  <w:style w:type="character" w:styleId="Emphasis">
    <w:name w:val="Emphasis"/>
    <w:basedOn w:val="DefaultParagraphFont"/>
    <w:qFormat/>
    <w:rsid w:val="00CB45C0"/>
    <w:rPr>
      <w:i/>
    </w:rPr>
  </w:style>
  <w:style w:type="paragraph" w:styleId="Caption">
    <w:name w:val="caption"/>
    <w:basedOn w:val="BodyText"/>
    <w:next w:val="Normal"/>
    <w:qFormat/>
    <w:rsid w:val="00CB45C0"/>
    <w:pPr>
      <w:framePr w:w="2268" w:hSpace="181" w:vSpace="181" w:wrap="around" w:vAnchor="text" w:hAnchor="page" w:x="1135" w:y="285" w:anchorLock="1"/>
    </w:pPr>
    <w:rPr>
      <w:i/>
    </w:rPr>
  </w:style>
  <w:style w:type="paragraph" w:customStyle="1" w:styleId="MiniTOCTitle">
    <w:name w:val="MiniTOCTitle"/>
    <w:basedOn w:val="Heading4"/>
    <w:rsid w:val="00CB45C0"/>
    <w:pPr>
      <w:spacing w:before="240"/>
      <w:outlineLvl w:val="9"/>
    </w:pPr>
    <w:rPr>
      <w:noProof/>
      <w:sz w:val="24"/>
    </w:rPr>
  </w:style>
  <w:style w:type="paragraph" w:customStyle="1" w:styleId="MiniTOCItem">
    <w:name w:val="MiniTOCItem"/>
    <w:basedOn w:val="ListBullet"/>
    <w:rsid w:val="00CB45C0"/>
    <w:pPr>
      <w:numPr>
        <w:numId w:val="0"/>
      </w:numPr>
      <w:tabs>
        <w:tab w:val="right" w:leader="dot" w:pos="6521"/>
      </w:tabs>
      <w:spacing w:before="0" w:after="0"/>
    </w:pPr>
  </w:style>
  <w:style w:type="paragraph" w:customStyle="1" w:styleId="TOFTitle">
    <w:name w:val="TOFTitle"/>
    <w:basedOn w:val="TOCTitle"/>
    <w:rsid w:val="00CB45C0"/>
  </w:style>
  <w:style w:type="paragraph" w:styleId="TableofFigures">
    <w:name w:val="table of figures"/>
    <w:basedOn w:val="Normal"/>
    <w:next w:val="Normal"/>
    <w:semiHidden/>
    <w:rsid w:val="00CB45C0"/>
    <w:pPr>
      <w:tabs>
        <w:tab w:val="right" w:leader="dot" w:pos="9072"/>
      </w:tabs>
      <w:ind w:left="970" w:hanging="403"/>
    </w:pPr>
    <w:rPr>
      <w:rFonts w:ascii="Times New Roman" w:hAnsi="Times New Roman"/>
      <w:b/>
    </w:rPr>
  </w:style>
  <w:style w:type="paragraph" w:styleId="ListNumber">
    <w:name w:val="List Number"/>
    <w:basedOn w:val="List"/>
    <w:rsid w:val="00CB45C0"/>
    <w:pPr>
      <w:numPr>
        <w:numId w:val="12"/>
      </w:numPr>
    </w:pPr>
  </w:style>
  <w:style w:type="character" w:customStyle="1" w:styleId="WingdingSymbols">
    <w:name w:val="Wingding Symbols"/>
    <w:rsid w:val="00CB45C0"/>
    <w:rPr>
      <w:rFonts w:ascii="Wingdings" w:hAnsi="Wingdings"/>
    </w:rPr>
  </w:style>
  <w:style w:type="paragraph" w:customStyle="1" w:styleId="TableHeading">
    <w:name w:val="Table Heading"/>
    <w:basedOn w:val="HeadingBase"/>
    <w:rsid w:val="00CB45C0"/>
    <w:pPr>
      <w:keepLines/>
      <w:pBdr>
        <w:bottom w:val="single" w:sz="6" w:space="1" w:color="918585"/>
      </w:pBdr>
      <w:spacing w:before="240"/>
    </w:pPr>
  </w:style>
  <w:style w:type="character" w:customStyle="1" w:styleId="HotSpot">
    <w:name w:val="HotSpot"/>
    <w:rsid w:val="00CB45C0"/>
    <w:rPr>
      <w:color w:val="0033CC"/>
      <w:u w:val="none"/>
    </w:rPr>
  </w:style>
  <w:style w:type="paragraph" w:customStyle="1" w:styleId="BodyTextRight">
    <w:name w:val="Body Text Right"/>
    <w:basedOn w:val="BodyText"/>
    <w:rsid w:val="00CB45C0"/>
    <w:pPr>
      <w:spacing w:before="0" w:after="0"/>
      <w:jc w:val="right"/>
    </w:pPr>
  </w:style>
  <w:style w:type="paragraph" w:styleId="Index3">
    <w:name w:val="index 3"/>
    <w:basedOn w:val="ListNumber2"/>
    <w:next w:val="Normal"/>
    <w:semiHidden/>
    <w:rsid w:val="00CB45C0"/>
    <w:pPr>
      <w:numPr>
        <w:numId w:val="0"/>
      </w:numPr>
      <w:tabs>
        <w:tab w:val="right" w:leader="dot" w:pos="4176"/>
      </w:tabs>
    </w:pPr>
  </w:style>
  <w:style w:type="paragraph" w:styleId="ListNumber2">
    <w:name w:val="List Number 2"/>
    <w:basedOn w:val="List2"/>
    <w:rsid w:val="00CB45C0"/>
    <w:pPr>
      <w:numPr>
        <w:numId w:val="11"/>
      </w:numPr>
      <w:tabs>
        <w:tab w:val="clear" w:pos="1060"/>
      </w:tabs>
    </w:pPr>
  </w:style>
  <w:style w:type="paragraph" w:customStyle="1" w:styleId="MarginNote">
    <w:name w:val="Margin Note"/>
    <w:basedOn w:val="BodyText"/>
    <w:rsid w:val="00CB4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5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5C0"/>
    <w:rPr>
      <w:sz w:val="32"/>
    </w:rPr>
  </w:style>
  <w:style w:type="paragraph" w:customStyle="1" w:styleId="HeadingProcedure">
    <w:name w:val="Heading Procedure"/>
    <w:basedOn w:val="HeadingBase"/>
    <w:next w:val="Normal"/>
    <w:rsid w:val="00CB45C0"/>
    <w:pPr>
      <w:tabs>
        <w:tab w:val="left" w:pos="0"/>
      </w:tabs>
      <w:spacing w:before="120" w:after="60"/>
    </w:pPr>
    <w:rPr>
      <w:i/>
      <w:color w:val="918585"/>
      <w:sz w:val="22"/>
    </w:rPr>
  </w:style>
  <w:style w:type="paragraph" w:customStyle="1" w:styleId="TableBodyText">
    <w:name w:val="Table Body Text"/>
    <w:basedOn w:val="BodyText"/>
    <w:rsid w:val="00CB45C0"/>
    <w:pPr>
      <w:spacing w:before="60" w:after="60"/>
    </w:pPr>
  </w:style>
  <w:style w:type="paragraph" w:styleId="ListContinue">
    <w:name w:val="List Continue"/>
    <w:basedOn w:val="List"/>
    <w:rsid w:val="00CB45C0"/>
    <w:pPr>
      <w:ind w:firstLine="0"/>
    </w:pPr>
  </w:style>
  <w:style w:type="paragraph" w:customStyle="1" w:styleId="ListNote">
    <w:name w:val="List Note"/>
    <w:basedOn w:val="List"/>
    <w:rsid w:val="00CB45C0"/>
    <w:pPr>
      <w:pBdr>
        <w:top w:val="single" w:sz="6" w:space="2" w:color="918585"/>
        <w:bottom w:val="single" w:sz="6" w:space="2" w:color="918585"/>
      </w:pBdr>
      <w:tabs>
        <w:tab w:val="left" w:pos="1021"/>
      </w:tabs>
      <w:ind w:firstLine="0"/>
    </w:pPr>
  </w:style>
  <w:style w:type="paragraph" w:customStyle="1" w:styleId="Warning">
    <w:name w:val="Warning"/>
    <w:basedOn w:val="BodyText"/>
    <w:rsid w:val="00CB45C0"/>
    <w:pPr>
      <w:shd w:val="clear" w:color="auto" w:fill="D9D9D9"/>
      <w:tabs>
        <w:tab w:val="left" w:pos="992"/>
      </w:tabs>
      <w:ind w:left="119" w:right="119"/>
    </w:pPr>
    <w:rPr>
      <w:sz w:val="20"/>
    </w:rPr>
  </w:style>
  <w:style w:type="paragraph" w:customStyle="1" w:styleId="MarginIcons">
    <w:name w:val="Margin Icons"/>
    <w:basedOn w:val="BodyText"/>
    <w:rsid w:val="00CB4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5C0"/>
    <w:rPr>
      <w:rFonts w:ascii="Courier New" w:hAnsi="Courier New"/>
    </w:rPr>
  </w:style>
  <w:style w:type="paragraph" w:customStyle="1" w:styleId="NoteBullet">
    <w:name w:val="Note Bullet"/>
    <w:basedOn w:val="Note"/>
    <w:rsid w:val="00CB45C0"/>
    <w:pPr>
      <w:tabs>
        <w:tab w:val="clear" w:pos="680"/>
      </w:tabs>
      <w:spacing w:before="60" w:after="60"/>
    </w:pPr>
  </w:style>
  <w:style w:type="paragraph" w:customStyle="1" w:styleId="SubHeading2">
    <w:name w:val="SubHeading2"/>
    <w:basedOn w:val="HeadingBase"/>
    <w:rsid w:val="00CB45C0"/>
    <w:pPr>
      <w:spacing w:before="240" w:after="60"/>
    </w:pPr>
    <w:rPr>
      <w:sz w:val="20"/>
    </w:rPr>
  </w:style>
  <w:style w:type="paragraph" w:customStyle="1" w:styleId="SubHeading1">
    <w:name w:val="SubHeading1"/>
    <w:basedOn w:val="HeadingBase"/>
    <w:rsid w:val="00CB45C0"/>
    <w:pPr>
      <w:spacing w:before="240" w:after="60"/>
    </w:pPr>
    <w:rPr>
      <w:color w:val="918585"/>
      <w:sz w:val="22"/>
    </w:rPr>
  </w:style>
  <w:style w:type="paragraph" w:customStyle="1" w:styleId="SideHeading">
    <w:name w:val="Side Heading"/>
    <w:basedOn w:val="HeadingBase"/>
    <w:rsid w:val="00CB4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5C0"/>
    <w:pPr>
      <w:numPr>
        <w:numId w:val="13"/>
      </w:numPr>
    </w:pPr>
  </w:style>
  <w:style w:type="paragraph" w:styleId="PlainText">
    <w:name w:val="Plain Text"/>
    <w:basedOn w:val="Normal"/>
    <w:link w:val="PlainTextChar"/>
    <w:rsid w:val="00CB45C0"/>
    <w:rPr>
      <w:sz w:val="20"/>
    </w:rPr>
  </w:style>
  <w:style w:type="character" w:customStyle="1" w:styleId="PlainTextChar">
    <w:name w:val="Plain Text Char"/>
    <w:basedOn w:val="DefaultParagraphFont"/>
    <w:link w:val="PlainText"/>
    <w:rsid w:val="00CB45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5C0"/>
    <w:rPr>
      <w:b/>
      <w:smallCaps/>
    </w:rPr>
  </w:style>
  <w:style w:type="paragraph" w:customStyle="1" w:styleId="TableListNumber">
    <w:name w:val="Table List Number"/>
    <w:basedOn w:val="ListNumber"/>
    <w:rsid w:val="00CB45C0"/>
    <w:pPr>
      <w:numPr>
        <w:numId w:val="0"/>
      </w:numPr>
    </w:pPr>
  </w:style>
  <w:style w:type="paragraph" w:styleId="TOC4">
    <w:name w:val="toc 4"/>
    <w:basedOn w:val="TOCBase"/>
    <w:next w:val="Normal"/>
    <w:semiHidden/>
    <w:rsid w:val="00CB45C0"/>
    <w:pPr>
      <w:tabs>
        <w:tab w:val="right" w:leader="dot" w:pos="9071"/>
      </w:tabs>
      <w:ind w:left="1701"/>
    </w:pPr>
  </w:style>
  <w:style w:type="paragraph" w:customStyle="1" w:styleId="ListAlpha">
    <w:name w:val="List Alpha"/>
    <w:basedOn w:val="List"/>
    <w:rsid w:val="00CB45C0"/>
    <w:pPr>
      <w:numPr>
        <w:numId w:val="10"/>
      </w:numPr>
    </w:pPr>
  </w:style>
  <w:style w:type="paragraph" w:customStyle="1" w:styleId="ListAlpha2">
    <w:name w:val="List Alpha 2"/>
    <w:basedOn w:val="List2"/>
    <w:rsid w:val="00CB45C0"/>
    <w:pPr>
      <w:numPr>
        <w:numId w:val="9"/>
      </w:numPr>
    </w:pPr>
  </w:style>
  <w:style w:type="paragraph" w:styleId="List2">
    <w:name w:val="List 2"/>
    <w:basedOn w:val="BodyText"/>
    <w:rsid w:val="00CB45C0"/>
    <w:pPr>
      <w:tabs>
        <w:tab w:val="left" w:pos="680"/>
      </w:tabs>
      <w:spacing w:before="60" w:after="60"/>
      <w:ind w:left="680" w:hanging="340"/>
    </w:pPr>
  </w:style>
  <w:style w:type="paragraph" w:styleId="List3">
    <w:name w:val="List 3"/>
    <w:basedOn w:val="BodyText"/>
    <w:rsid w:val="00CB45C0"/>
    <w:pPr>
      <w:tabs>
        <w:tab w:val="left" w:pos="1021"/>
      </w:tabs>
      <w:spacing w:before="60" w:after="60"/>
      <w:ind w:left="1020" w:hanging="340"/>
    </w:pPr>
  </w:style>
  <w:style w:type="paragraph" w:styleId="List4">
    <w:name w:val="List 4"/>
    <w:basedOn w:val="BodyText"/>
    <w:rsid w:val="00CB45C0"/>
    <w:pPr>
      <w:tabs>
        <w:tab w:val="left" w:pos="1361"/>
      </w:tabs>
      <w:spacing w:before="60" w:after="60"/>
      <w:ind w:left="1361" w:hanging="340"/>
    </w:pPr>
  </w:style>
  <w:style w:type="paragraph" w:styleId="List5">
    <w:name w:val="List 5"/>
    <w:basedOn w:val="BodyText"/>
    <w:rsid w:val="00CB45C0"/>
    <w:pPr>
      <w:tabs>
        <w:tab w:val="left" w:pos="1701"/>
      </w:tabs>
      <w:spacing w:before="60" w:after="60"/>
      <w:ind w:left="1701" w:hanging="340"/>
    </w:pPr>
  </w:style>
  <w:style w:type="paragraph" w:styleId="ListBullet4">
    <w:name w:val="List Bullet 4"/>
    <w:basedOn w:val="List4"/>
    <w:rsid w:val="00CB45C0"/>
    <w:pPr>
      <w:numPr>
        <w:numId w:val="4"/>
      </w:numPr>
    </w:pPr>
  </w:style>
  <w:style w:type="paragraph" w:styleId="ListBullet5">
    <w:name w:val="List Bullet 5"/>
    <w:basedOn w:val="List5"/>
    <w:rsid w:val="00CB45C0"/>
    <w:pPr>
      <w:numPr>
        <w:numId w:val="5"/>
      </w:numPr>
    </w:pPr>
  </w:style>
  <w:style w:type="paragraph" w:styleId="ListContinue2">
    <w:name w:val="List Continue 2"/>
    <w:basedOn w:val="List2"/>
    <w:rsid w:val="00CB45C0"/>
    <w:pPr>
      <w:ind w:firstLine="0"/>
    </w:pPr>
  </w:style>
  <w:style w:type="paragraph" w:styleId="ListContinue3">
    <w:name w:val="List Continue 3"/>
    <w:basedOn w:val="List3"/>
    <w:rsid w:val="00CB45C0"/>
    <w:pPr>
      <w:ind w:left="1021" w:firstLine="0"/>
    </w:pPr>
  </w:style>
  <w:style w:type="paragraph" w:styleId="ListContinue4">
    <w:name w:val="List Continue 4"/>
    <w:basedOn w:val="List4"/>
    <w:rsid w:val="00CB45C0"/>
    <w:pPr>
      <w:ind w:firstLine="0"/>
    </w:pPr>
  </w:style>
  <w:style w:type="paragraph" w:styleId="ListContinue5">
    <w:name w:val="List Continue 5"/>
    <w:basedOn w:val="List5"/>
    <w:rsid w:val="00CB45C0"/>
    <w:pPr>
      <w:ind w:firstLine="0"/>
    </w:pPr>
  </w:style>
  <w:style w:type="paragraph" w:styleId="ListNumber3">
    <w:name w:val="List Number 3"/>
    <w:basedOn w:val="List3"/>
    <w:rsid w:val="00CB45C0"/>
    <w:pPr>
      <w:numPr>
        <w:numId w:val="6"/>
      </w:numPr>
    </w:pPr>
  </w:style>
  <w:style w:type="paragraph" w:styleId="ListNumber4">
    <w:name w:val="List Number 4"/>
    <w:basedOn w:val="List4"/>
    <w:rsid w:val="00CB45C0"/>
    <w:pPr>
      <w:numPr>
        <w:numId w:val="7"/>
      </w:numPr>
    </w:pPr>
  </w:style>
  <w:style w:type="paragraph" w:styleId="ListNumber5">
    <w:name w:val="List Number 5"/>
    <w:basedOn w:val="List5"/>
    <w:rsid w:val="00CB45C0"/>
    <w:pPr>
      <w:numPr>
        <w:numId w:val="8"/>
      </w:numPr>
    </w:pPr>
  </w:style>
  <w:style w:type="paragraph" w:styleId="BlockText">
    <w:name w:val="Block Text"/>
    <w:basedOn w:val="Normal"/>
    <w:rsid w:val="00CB45C0"/>
    <w:pPr>
      <w:spacing w:after="120"/>
      <w:ind w:left="1440" w:right="1440"/>
    </w:pPr>
  </w:style>
  <w:style w:type="character" w:customStyle="1" w:styleId="Subscript">
    <w:name w:val="Subscript"/>
    <w:basedOn w:val="DefaultParagraphFont"/>
    <w:rsid w:val="00CB45C0"/>
    <w:rPr>
      <w:sz w:val="16"/>
      <w:vertAlign w:val="subscript"/>
    </w:rPr>
  </w:style>
  <w:style w:type="character" w:customStyle="1" w:styleId="Superscript">
    <w:name w:val="Superscript"/>
    <w:basedOn w:val="DefaultParagraphFont"/>
    <w:rsid w:val="00CB45C0"/>
    <w:rPr>
      <w:sz w:val="16"/>
      <w:vertAlign w:val="superscript"/>
    </w:rPr>
  </w:style>
  <w:style w:type="character" w:customStyle="1" w:styleId="Symbols">
    <w:name w:val="Symbols"/>
    <w:basedOn w:val="DefaultParagraphFont"/>
    <w:rsid w:val="00CB45C0"/>
    <w:rPr>
      <w:rFonts w:ascii="Symbol" w:hAnsi="Symbol"/>
    </w:rPr>
  </w:style>
  <w:style w:type="character" w:customStyle="1" w:styleId="MenuOptions">
    <w:name w:val="Menu Options"/>
    <w:basedOn w:val="DefaultParagraphFont"/>
    <w:rsid w:val="00CB45C0"/>
    <w:rPr>
      <w:rFonts w:ascii="Arial Narrow" w:hAnsi="Arial Narrow"/>
      <w:smallCaps/>
    </w:rPr>
  </w:style>
  <w:style w:type="character" w:customStyle="1" w:styleId="Buttons">
    <w:name w:val="Buttons"/>
    <w:basedOn w:val="DefaultParagraphFont"/>
    <w:rsid w:val="00CB45C0"/>
    <w:rPr>
      <w:b/>
    </w:rPr>
  </w:style>
  <w:style w:type="character" w:customStyle="1" w:styleId="Underlined">
    <w:name w:val="Underlined"/>
    <w:basedOn w:val="DefaultParagraphFont"/>
    <w:rsid w:val="00CB45C0"/>
    <w:rPr>
      <w:u w:val="single"/>
    </w:rPr>
  </w:style>
  <w:style w:type="paragraph" w:customStyle="1" w:styleId="TableBodyTextRight">
    <w:name w:val="Table Body Text Right"/>
    <w:basedOn w:val="TableBodyText"/>
    <w:rsid w:val="00CB45C0"/>
    <w:pPr>
      <w:widowControl w:val="0"/>
      <w:autoSpaceDE w:val="0"/>
      <w:autoSpaceDN w:val="0"/>
      <w:adjustRightInd w:val="0"/>
      <w:jc w:val="right"/>
    </w:pPr>
    <w:rPr>
      <w:rFonts w:cs="Arial"/>
      <w:szCs w:val="18"/>
    </w:rPr>
  </w:style>
  <w:style w:type="paragraph" w:customStyle="1" w:styleId="CopyrightText">
    <w:name w:val="Copyright Text"/>
    <w:basedOn w:val="BodyText"/>
    <w:rsid w:val="00CB45C0"/>
    <w:rPr>
      <w:sz w:val="18"/>
    </w:rPr>
  </w:style>
  <w:style w:type="paragraph" w:customStyle="1" w:styleId="BodySmallRight">
    <w:name w:val="Body Small Right"/>
    <w:basedOn w:val="BodyTextRight"/>
    <w:rsid w:val="00CB45C0"/>
    <w:rPr>
      <w:sz w:val="18"/>
      <w:szCs w:val="18"/>
    </w:rPr>
  </w:style>
  <w:style w:type="paragraph" w:customStyle="1" w:styleId="MarginEdition">
    <w:name w:val="Margin Edition"/>
    <w:basedOn w:val="MarginNote"/>
    <w:rsid w:val="00CB45C0"/>
    <w:pPr>
      <w:spacing w:before="0" w:after="0"/>
    </w:pPr>
    <w:rPr>
      <w:rFonts w:ascii="Times New Roman" w:hAnsi="Times New Roman"/>
      <w:color w:val="999999"/>
    </w:rPr>
  </w:style>
  <w:style w:type="paragraph" w:customStyle="1" w:styleId="Spacer">
    <w:name w:val="Spacer"/>
    <w:basedOn w:val="Normal"/>
    <w:rsid w:val="00CB45C0"/>
    <w:rPr>
      <w:sz w:val="2"/>
      <w:szCs w:val="2"/>
    </w:rPr>
  </w:style>
  <w:style w:type="character" w:customStyle="1" w:styleId="Small">
    <w:name w:val="Small"/>
    <w:basedOn w:val="DefaultParagraphFont"/>
    <w:rsid w:val="00CB45C0"/>
    <w:rPr>
      <w:sz w:val="16"/>
    </w:rPr>
  </w:style>
  <w:style w:type="paragraph" w:customStyle="1" w:styleId="WideTable">
    <w:name w:val="Wide Table"/>
    <w:basedOn w:val="Normal"/>
    <w:rsid w:val="00CB45C0"/>
    <w:pPr>
      <w:ind w:left="-1418"/>
    </w:pPr>
    <w:rPr>
      <w:sz w:val="2"/>
      <w:szCs w:val="2"/>
    </w:rPr>
  </w:style>
  <w:style w:type="character" w:styleId="PageNumber">
    <w:name w:val="page number"/>
    <w:basedOn w:val="DefaultParagraphFont"/>
    <w:rsid w:val="00CB45C0"/>
  </w:style>
  <w:style w:type="paragraph" w:styleId="Quote">
    <w:name w:val="Quote"/>
    <w:basedOn w:val="Heading1"/>
    <w:link w:val="QuoteChar"/>
    <w:qFormat/>
    <w:rsid w:val="00CB45C0"/>
    <w:rPr>
      <w:b w:val="0"/>
      <w:sz w:val="72"/>
      <w:szCs w:val="72"/>
      <w:lang w:val="en-NZ"/>
    </w:rPr>
  </w:style>
  <w:style w:type="character" w:customStyle="1" w:styleId="QuoteChar">
    <w:name w:val="Quote Char"/>
    <w:basedOn w:val="DefaultParagraphFont"/>
    <w:link w:val="Quote"/>
    <w:rsid w:val="00CB4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5C0"/>
    <w:pPr>
      <w:pageBreakBefore/>
    </w:pPr>
  </w:style>
  <w:style w:type="paragraph" w:customStyle="1" w:styleId="Border">
    <w:name w:val="Border"/>
    <w:basedOn w:val="Normal"/>
    <w:qFormat/>
    <w:rsid w:val="00CB4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5C0"/>
    <w:rPr>
      <w:b/>
      <w:bCs/>
      <w:i/>
      <w:iCs/>
      <w:color w:val="auto"/>
    </w:rPr>
  </w:style>
  <w:style w:type="paragraph" w:styleId="IntenseQuote">
    <w:name w:val="Intense Quote"/>
    <w:basedOn w:val="Normal"/>
    <w:next w:val="Normal"/>
    <w:link w:val="IntenseQuoteChar"/>
    <w:uiPriority w:val="30"/>
    <w:qFormat/>
    <w:rsid w:val="00CB4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5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5C0"/>
    <w:rPr>
      <w:smallCaps/>
      <w:color w:val="auto"/>
      <w:u w:val="single"/>
    </w:rPr>
  </w:style>
  <w:style w:type="character" w:styleId="IntenseReference">
    <w:name w:val="Intense Reference"/>
    <w:basedOn w:val="DefaultParagraphFont"/>
    <w:uiPriority w:val="32"/>
    <w:qFormat/>
    <w:rsid w:val="00CB45C0"/>
    <w:rPr>
      <w:b/>
      <w:bCs/>
      <w:smallCaps/>
      <w:color w:val="auto"/>
      <w:spacing w:val="5"/>
      <w:u w:val="single"/>
    </w:rPr>
  </w:style>
  <w:style w:type="paragraph" w:customStyle="1" w:styleId="2ColumnHeading">
    <w:name w:val="2Column Heading"/>
    <w:basedOn w:val="BodyText"/>
    <w:qFormat/>
    <w:rsid w:val="00CB45C0"/>
    <w:pPr>
      <w:spacing w:after="60"/>
      <w:ind w:left="-2268"/>
    </w:pPr>
    <w:rPr>
      <w:b/>
    </w:rPr>
  </w:style>
  <w:style w:type="paragraph" w:customStyle="1" w:styleId="Heading1TOC">
    <w:name w:val="Heading1 TOC"/>
    <w:basedOn w:val="Normal"/>
    <w:qFormat/>
    <w:rsid w:val="00CB45C0"/>
    <w:pPr>
      <w:spacing w:before="240" w:after="120"/>
    </w:pPr>
    <w:rPr>
      <w:rFonts w:ascii="Times New Roman" w:hAnsi="Times New Roman"/>
      <w:b/>
      <w:sz w:val="32"/>
    </w:rPr>
  </w:style>
  <w:style w:type="paragraph" w:customStyle="1" w:styleId="Heading2TOC">
    <w:name w:val="Heading2 TOC"/>
    <w:basedOn w:val="Normal"/>
    <w:qFormat/>
    <w:rsid w:val="00CB45C0"/>
    <w:pPr>
      <w:spacing w:before="240" w:after="60"/>
    </w:pPr>
    <w:rPr>
      <w:rFonts w:ascii="Times New Roman" w:hAnsi="Times New Roman"/>
      <w:b/>
      <w:sz w:val="28"/>
    </w:rPr>
  </w:style>
  <w:style w:type="character" w:customStyle="1" w:styleId="Underline">
    <w:name w:val="Underline"/>
    <w:basedOn w:val="DefaultParagraphFont"/>
    <w:qFormat/>
    <w:rsid w:val="00CB45C0"/>
    <w:rPr>
      <w:u w:val="single"/>
    </w:rPr>
  </w:style>
  <w:style w:type="character" w:customStyle="1" w:styleId="BoldandItalics">
    <w:name w:val="Bold and Italics"/>
    <w:qFormat/>
    <w:rsid w:val="00CB45C0"/>
    <w:rPr>
      <w:b/>
      <w:i/>
      <w:u w:val="none"/>
    </w:rPr>
  </w:style>
  <w:style w:type="paragraph" w:styleId="BalloonText">
    <w:name w:val="Balloon Text"/>
    <w:basedOn w:val="Normal"/>
    <w:link w:val="BalloonTextChar"/>
    <w:rsid w:val="00CB45C0"/>
    <w:rPr>
      <w:rFonts w:ascii="Tahoma" w:hAnsi="Tahoma" w:cs="Tahoma"/>
      <w:sz w:val="16"/>
      <w:szCs w:val="16"/>
    </w:rPr>
  </w:style>
  <w:style w:type="character" w:customStyle="1" w:styleId="BalloonTextChar">
    <w:name w:val="Balloon Text Char"/>
    <w:basedOn w:val="DefaultParagraphFont"/>
    <w:link w:val="BalloonText"/>
    <w:rsid w:val="00CB45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5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2275</Words>
  <Characters>13809</Characters>
  <Application>Microsoft Office Word</Application>
  <DocSecurity>0</DocSecurity>
  <Lines>488</Lines>
  <Paragraphs>221</Paragraphs>
  <ScaleCrop>false</ScaleCrop>
  <Company>Author-it Software Corporation Ltd.</Company>
  <LinksUpToDate>false</LinksUpToDate>
  <CharactersWithSpaces>15956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UEENEEE124A Compile and produce an energy sector detailed report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2012-05-26T10:55:00Z</dcterms:created>
  <dcterms:modified xsi:type="dcterms:W3CDTF">2012-05-26T10:55:00Z</dcterms:modified>
</cp:coreProperties>
</file>