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65D" w:rsidP="0065765D">
      <w:pPr>
        <w:pStyle w:val="Title"/>
      </w:pPr>
      <w:bookmarkStart w:id="0" w:name="_GoBack"/>
      <w:bookmarkEnd w:id="0"/>
      <w:r>
        <w:fldChar w:fldCharType="begin"/>
      </w:r>
      <w:r>
        <w:instrText xml:space="preserve"> TITLE   \* MERGEFORMAT </w:instrText>
      </w:r>
      <w:r>
        <w:fldChar w:fldCharType="separate"/>
      </w:r>
      <w:r>
        <w:t>UEENEEE123A Solve basic problems electronic and digital equipment and circuits</w:t>
      </w:r>
      <w:r>
        <w:fldChar w:fldCharType="end"/>
      </w:r>
    </w:p>
    <w:p w:rsidR="0065765D" w:rsidP="0065765D">
      <w:pPr>
        <w:pStyle w:val="Version"/>
        <w:sectPr w:rsidSect="00F67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65E" w:rsidP="00F6765E">
      <w:pPr>
        <w:pStyle w:val="SuperHeading"/>
      </w:pPr>
      <w:r w:rsidRPr="00F6765E">
        <w:t>UEENEEE123A Solve basic problems electronic and digital equipment and circuits</w:t>
      </w:r>
    </w:p>
    <w:p w:rsidR="00000000" w:rsidRPr="00F6765E" w:rsidP="00F6765E">
      <w:pPr>
        <w:pStyle w:val="Heading1"/>
      </w:pPr>
      <w:bookmarkStart w:id="1" w:name="O_417374"/>
      <w:bookmarkEnd w:id="1"/>
      <w:r w:rsidRPr="00F6765E">
        <w:t>Modification History</w:t>
      </w:r>
    </w:p>
    <w:p w:rsidR="00000000" w:rsidRPr="00F6765E" w:rsidP="00F6765E">
      <w:pPr>
        <w:pStyle w:val="BodyText"/>
      </w:pPr>
      <w:r w:rsidRPr="00F6765E">
        <w:t>Not applicable.</w:t>
      </w:r>
    </w:p>
    <w:p w:rsidR="00000000" w:rsidRPr="00F6765E" w:rsidP="00F6765E">
      <w:pPr>
        <w:pStyle w:val="AllowPageBreak"/>
      </w:pPr>
    </w:p>
    <w:p w:rsidR="00000000" w:rsidRPr="00F6765E" w:rsidP="00F6765E">
      <w:pPr>
        <w:pStyle w:val="Heading1"/>
      </w:pPr>
      <w:bookmarkStart w:id="2" w:name="O_417372"/>
      <w:bookmarkEnd w:id="2"/>
      <w:r w:rsidRPr="00F6765E">
        <w:t>Unit Descriptor</w:t>
      </w:r>
    </w:p>
    <w:tbl>
      <w:tblPr>
        <w:tblW w:w="0" w:type="auto"/>
        <w:tblLayout w:type="fixed"/>
        <w:tblCellMar>
          <w:left w:w="62" w:type="dxa"/>
          <w:right w:w="62" w:type="dxa"/>
        </w:tblCellMar>
        <w:tblLook w:val="0000"/>
      </w:tblPr>
      <w:tblGrid>
        <w:gridCol w:w="2700"/>
        <w:gridCol w:w="5760"/>
      </w:tblGrid>
      <w:tr w:rsidTr="006576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1)</w:t>
            </w:r>
            <w:r w:rsidRPr="00F6765E">
              <w:t xml:space="preserve"> </w:t>
            </w:r>
            <w:r w:rsidRPr="00F6765E">
              <w:rPr>
                <w:rStyle w:val="SpecialBold"/>
              </w:rPr>
              <w:t>Scope:</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76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1.1) Descriptor</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This unit covers determining correct operation of basic electronic and digital equipment and circuits, and providing solutions as they apply to various electronic and computer work functions. It encompasses working safely, problem solving procedures, inclu</w:t>
            </w:r>
            <w:r w:rsidRPr="00F6765E">
              <w:t>ding the use of basic measuring devices, providing solutions derived from equipment behaviour and measurements to predictable problems.</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3" w:name="O_417361"/>
      <w:bookmarkEnd w:id="3"/>
      <w:r w:rsidRPr="00F6765E">
        <w:t>Application of the Unit</w:t>
      </w:r>
    </w:p>
    <w:tbl>
      <w:tblPr>
        <w:tblW w:w="0" w:type="auto"/>
        <w:tblLayout w:type="fixed"/>
        <w:tblCellMar>
          <w:left w:w="62" w:type="dxa"/>
          <w:right w:w="62" w:type="dxa"/>
        </w:tblCellMar>
        <w:tblLook w:val="0000"/>
      </w:tblPr>
      <w:tblGrid>
        <w:gridCol w:w="2672"/>
        <w:gridCol w:w="5699"/>
      </w:tblGrid>
      <w:tr w:rsidTr="006576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2)</w:t>
            </w:r>
          </w:p>
        </w:tc>
      </w:tr>
      <w:tr w:rsidTr="006576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This unit is intended for competency development entry-level employment based programs incorporated in approved contracts of training.</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4" w:name="O_417368"/>
      <w:bookmarkEnd w:id="4"/>
      <w:r w:rsidRPr="00F6765E">
        <w:t>Licensing/Regulatory Information</w:t>
      </w:r>
    </w:p>
    <w:tbl>
      <w:tblPr>
        <w:tblW w:w="0" w:type="auto"/>
        <w:tblLayout w:type="fixed"/>
        <w:tblCellMar>
          <w:left w:w="62" w:type="dxa"/>
          <w:right w:w="62" w:type="dxa"/>
        </w:tblCellMar>
        <w:tblLook w:val="0000"/>
      </w:tblPr>
      <w:tblGrid>
        <w:gridCol w:w="2700"/>
        <w:gridCol w:w="5760"/>
      </w:tblGrid>
      <w:tr w:rsidTr="006576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 xml:space="preserve">3) </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 xml:space="preserve">The skills and knowledge described in this </w:t>
            </w:r>
            <w:r w:rsidRPr="00F6765E">
              <w:t>unit do not require a license to practice in the workplace. However, practice in this unit is subject to regulations directly related to occupational health and safety and where applicable contracts of training such as apprenticeships.</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5" w:name="O_417369"/>
      <w:bookmarkEnd w:id="5"/>
      <w:r w:rsidRPr="00F6765E">
        <w:t>Pre-Requisites</w:t>
      </w:r>
    </w:p>
    <w:tbl>
      <w:tblPr>
        <w:tblW w:w="0" w:type="auto"/>
        <w:tblLayout w:type="fixed"/>
        <w:tblCellMar>
          <w:left w:w="62" w:type="dxa"/>
          <w:right w:w="62" w:type="dxa"/>
        </w:tblCellMar>
        <w:tblLook w:val="0000"/>
      </w:tblPr>
      <w:tblGrid>
        <w:gridCol w:w="2700"/>
        <w:gridCol w:w="1440"/>
        <w:gridCol w:w="4320"/>
      </w:tblGrid>
      <w:tr w:rsidTr="006576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 xml:space="preserve">4) </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4.1)</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Granting competency in this unit shall be made only after competency in the following unit(s) has/have been confirmed.</w:t>
            </w:r>
          </w:p>
        </w:tc>
      </w:tr>
      <w:tr w:rsidTr="0065765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UEENEEE101A</w:t>
            </w:r>
          </w:p>
        </w:tc>
        <w:tc>
          <w:tcPr>
            <w:tcW w:w="432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Apply Occupational Health and Safety regulations, codes and practices in the workplace</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UEENEEE104A</w:t>
            </w:r>
          </w:p>
        </w:tc>
        <w:tc>
          <w:tcPr>
            <w:tcW w:w="432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Solve problems in d.c. circuits</w:t>
            </w:r>
          </w:p>
        </w:tc>
      </w:tr>
    </w:tbl>
    <w:p w:rsidR="00000000" w:rsidRPr="00F6765E" w:rsidP="00F6765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5765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 xml:space="preserve">4.2) </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Participants are best equipped to achieve competency in this unit if they have reading, writing and numeracy skills indicated by the following scales. Description of each scale is given in Volume 2, Part 3 ‘Literacy and Numeracy’</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Reading</w:t>
            </w:r>
          </w:p>
        </w:tc>
        <w:tc>
          <w:tcPr>
            <w:tcW w:w="81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w:t>
            </w:r>
          </w:p>
        </w:tc>
        <w:tc>
          <w:tcPr>
            <w:tcW w:w="99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Writing</w:t>
            </w: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w:t>
            </w:r>
          </w:p>
        </w:tc>
        <w:tc>
          <w:tcPr>
            <w:tcW w:w="12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Numeracy</w:t>
            </w:r>
          </w:p>
        </w:tc>
        <w:tc>
          <w:tcPr>
            <w:tcW w:w="72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3</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6" w:name="O_417365"/>
      <w:bookmarkEnd w:id="6"/>
      <w:r w:rsidRPr="00F6765E">
        <w:t>Employability Skills Information</w:t>
      </w:r>
    </w:p>
    <w:tbl>
      <w:tblPr>
        <w:tblW w:w="0" w:type="auto"/>
        <w:tblLayout w:type="fixed"/>
        <w:tblCellMar>
          <w:left w:w="62" w:type="dxa"/>
          <w:right w:w="62" w:type="dxa"/>
        </w:tblCellMar>
        <w:tblLook w:val="0000"/>
      </w:tblPr>
      <w:tblGrid>
        <w:gridCol w:w="2700"/>
        <w:gridCol w:w="5760"/>
      </w:tblGrid>
      <w:tr w:rsidTr="006576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 xml:space="preserve">5) </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This unit contains Employability Skills</w:t>
            </w:r>
          </w:p>
          <w:p w:rsidR="00000000" w:rsidRPr="00F6765E" w:rsidP="00F6765E">
            <w:pPr>
              <w:pStyle w:val="BodyText"/>
            </w:pPr>
            <w:r w:rsidRPr="00F6765E">
              <w:t>The required outcomes described in this unit of competency contain applicable facets of Employability Ski</w:t>
            </w:r>
            <w:r w:rsidRPr="00F6765E">
              <w:t>lls. The Employability Skills Summary of the qualification in which this unit of competency is packaged will assist in identifying Employability Skill requirements.</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7" w:name="O_417364"/>
      <w:bookmarkEnd w:id="7"/>
      <w:r w:rsidRPr="00F6765E">
        <w:t>Elements and Performance Criteria Pre-Content</w:t>
      </w:r>
    </w:p>
    <w:tbl>
      <w:tblPr>
        <w:tblW w:w="0" w:type="auto"/>
        <w:tblLayout w:type="fixed"/>
        <w:tblCellMar>
          <w:left w:w="62" w:type="dxa"/>
          <w:right w:w="62" w:type="dxa"/>
        </w:tblCellMar>
        <w:tblLook w:val="0000"/>
      </w:tblPr>
      <w:tblGrid>
        <w:gridCol w:w="2700"/>
        <w:gridCol w:w="5760"/>
      </w:tblGrid>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6)</w:t>
            </w:r>
            <w:r w:rsidRPr="00F6765E">
              <w:t xml:space="preserve"> Elements describe the e</w:t>
            </w:r>
            <w:r w:rsidRPr="00F6765E">
              <w:t>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Performance Criteria describe the required performance needed to demonstrate achievement of the element. Assessment of performance is to be consistent with the Evidence Guide.</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8" w:name="O_417363"/>
      <w:bookmarkEnd w:id="8"/>
      <w:r w:rsidRPr="00F676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576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PERFORMANCE CRITERIA</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w:t>
            </w:r>
          </w:p>
        </w:tc>
        <w:tc>
          <w:tcPr>
            <w:tcW w:w="2296" w:type="dxa"/>
            <w:vMerge w:val="restart"/>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Prepare to work electronic and digital equipment.</w:t>
            </w: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1.1</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OHS procedures for a given work area are identified, obtained and understood.</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1.2</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OHS risk control work preparation measures and procedures are followed.</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1.3</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The nature of the problem is obtained from documentation or from work supervisor to establish the scope of work to be undertaken.</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1.4</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Advice is sought from the work superviso</w:t>
            </w:r>
            <w:r w:rsidRPr="00F6765E">
              <w:t>r to ensure the work is coordinated effectively with others.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1.5</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Sources of materials that may be required for the work are identified and accessed in accordance with established procedures.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1.6</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Tools, equipment and testing devices needed to carry out the work are obtained and checked for correct operation and safety.</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w:t>
            </w:r>
          </w:p>
        </w:tc>
        <w:tc>
          <w:tcPr>
            <w:tcW w:w="2296" w:type="dxa"/>
            <w:vMerge w:val="restart"/>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Solve electronic and digital equipment problems.</w:t>
            </w: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2.1</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OHS risk control work measures and procedures are followed.</w:t>
            </w:r>
          </w:p>
        </w:tc>
      </w:tr>
      <w:tr w:rsidTr="0065765D">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2.2</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The need to test or measure live is determined in strict accordance with OHS requirements and when necessary conducted within established safety procedures.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2.3</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Circuits are checked as being isolated where necessary in strict accordance OHS requirements</w:t>
            </w:r>
            <w:r w:rsidRPr="00F6765E">
              <w:t xml:space="preserve"> and procedures.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2.4</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Established methods are used to solve electronic and digital equipment problems from observation or equipment behaviour and measured values.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2.5</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Unexpected situations are dealt with safely and with the approval of an authorised person.</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2.6</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Problems are solved without damage to apparatus, circuits, the surrounding environment or services and using sustainable energy practices.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w:t>
            </w:r>
          </w:p>
        </w:tc>
        <w:tc>
          <w:tcPr>
            <w:tcW w:w="2296"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Complete work an</w:t>
            </w:r>
            <w:r w:rsidRPr="00F6765E">
              <w:t>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3.1</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OHS work completion risk control measures and procedures are followed.</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3.2</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Work site is cleaned and made safe in accordance with established procedures.</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3.3</w:t>
            </w:r>
          </w:p>
        </w:tc>
        <w:tc>
          <w:tcPr>
            <w:tcW w:w="48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 xml:space="preserve">Justification for solutions used to solve circuit </w:t>
            </w:r>
            <w:r w:rsidRPr="00F6765E">
              <w:t>problems is documented.</w:t>
            </w:r>
          </w:p>
        </w:tc>
      </w:tr>
      <w:tr w:rsidTr="006576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3.4</w:t>
            </w:r>
          </w:p>
        </w:tc>
        <w:tc>
          <w:tcPr>
            <w:tcW w:w="48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Work completion is documented and appropriate person(s) notified in accordance with established procedures.</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9" w:name="O_417371"/>
      <w:bookmarkEnd w:id="9"/>
      <w:r w:rsidRPr="00F6765E">
        <w:t>Required Skills and Knowledge</w:t>
      </w:r>
    </w:p>
    <w:tbl>
      <w:tblPr>
        <w:tblW w:w="0" w:type="auto"/>
        <w:tblLayout w:type="fixed"/>
        <w:tblCellMar>
          <w:left w:w="62" w:type="dxa"/>
          <w:right w:w="62" w:type="dxa"/>
        </w:tblCellMar>
        <w:tblLook w:val="0000"/>
      </w:tblPr>
      <w:tblGrid>
        <w:gridCol w:w="8460"/>
      </w:tblGrid>
      <w:tr w:rsidTr="006576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REQUIRED SKILLS AND KNOWLEDGE</w:t>
            </w:r>
          </w:p>
        </w:tc>
      </w:tr>
      <w:tr w:rsidTr="0065765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8)</w:t>
            </w:r>
            <w:r w:rsidRPr="00F6765E">
              <w:t xml:space="preserve"> This describes the essential skills and knowledge and their level, required for this unit.</w:t>
            </w:r>
          </w:p>
          <w:p w:rsidR="00000000" w:rsidRPr="00F6765E" w:rsidP="00F6765E">
            <w:pPr>
              <w:pStyle w:val="BodyText"/>
            </w:pPr>
            <w:r w:rsidRPr="00F6765E">
              <w:t>Evidence shall show that knowledge has been acquired of safe working practices and solving problems in electronic and digital equipment.</w:t>
            </w:r>
          </w:p>
          <w:p w:rsidR="00000000" w:rsidRPr="00F6765E" w:rsidP="00F6765E">
            <w:pPr>
              <w:pStyle w:val="BodyText"/>
            </w:pPr>
            <w:r w:rsidRPr="00F6765E">
              <w:t>All knowledge and skills de</w:t>
            </w:r>
            <w:r w:rsidRPr="00F6765E">
              <w:t>tailed in this unit should be contextualised to current industry practices and technologies.</w:t>
            </w:r>
          </w:p>
          <w:p w:rsidR="00000000" w:rsidRPr="00F6765E" w:rsidP="00F6765E">
            <w:pPr>
              <w:pStyle w:val="BodyText"/>
            </w:pPr>
            <w:r w:rsidRPr="00F6765E">
              <w:rPr>
                <w:rStyle w:val="SpecialBold"/>
              </w:rPr>
              <w:t>KS01-EE123A         Basic electronic and digital principles</w:t>
            </w:r>
          </w:p>
          <w:p w:rsidR="00000000" w:rsidRPr="00F6765E" w:rsidP="00F6765E">
            <w:pPr>
              <w:pStyle w:val="BodyText"/>
            </w:pPr>
            <w:r w:rsidRPr="00F6765E">
              <w:t>Evidence shall show an understanding of basic electronic and digital principles to an extent indicated by the following aspects:</w:t>
            </w:r>
          </w:p>
          <w:p w:rsidR="00000000" w:rsidRPr="00F6765E" w:rsidP="00F6765E">
            <w:pPr>
              <w:pStyle w:val="BodyText"/>
            </w:pPr>
            <w:r w:rsidRPr="00F6765E">
              <w:t>T1</w:t>
            </w:r>
            <w:r w:rsidRPr="00F6765E">
              <w:tab/>
              <w:t>Fundamental concepts</w:t>
            </w:r>
          </w:p>
          <w:p w:rsidR="00000000" w:rsidRPr="00F6765E" w:rsidP="00F6765E">
            <w:pPr>
              <w:pStyle w:val="ListBullet"/>
            </w:pPr>
            <w:r w:rsidRPr="00F6765E">
              <w:t>insulators and conductors</w:t>
            </w:r>
          </w:p>
          <w:p w:rsidR="00000000" w:rsidRPr="00F6765E" w:rsidP="00F6765E">
            <w:pPr>
              <w:pStyle w:val="ListBullet"/>
            </w:pPr>
            <w:r w:rsidRPr="00F6765E">
              <w:t>basic electrical units and engineering prefixes</w:t>
            </w:r>
          </w:p>
          <w:p w:rsidR="00000000" w:rsidRPr="00F6765E" w:rsidP="00F6765E">
            <w:pPr>
              <w:pStyle w:val="ListBullet"/>
            </w:pPr>
            <w:r w:rsidRPr="00F6765E">
              <w:t>voltage, current and resistan</w:t>
            </w:r>
            <w:r w:rsidRPr="00F6765E">
              <w:t>ce</w:t>
            </w:r>
          </w:p>
          <w:p w:rsidR="00000000" w:rsidRPr="00F6765E" w:rsidP="00F6765E">
            <w:pPr>
              <w:pStyle w:val="ListBullet"/>
            </w:pPr>
            <w:r w:rsidRPr="00F6765E">
              <w:t>Ohm’s Law</w:t>
            </w:r>
          </w:p>
          <w:p w:rsidR="00000000" w:rsidRPr="00F6765E" w:rsidP="00F6765E">
            <w:pPr>
              <w:pStyle w:val="ListBullet"/>
            </w:pPr>
            <w:r w:rsidRPr="00F6765E">
              <w:t>electrical power</w:t>
            </w:r>
          </w:p>
          <w:p w:rsidR="00000000" w:rsidRPr="00F6765E" w:rsidP="00F6765E">
            <w:pPr>
              <w:pStyle w:val="ListBullet"/>
            </w:pPr>
            <w:r w:rsidRPr="00F6765E">
              <w:t>digital and analogue multimeters</w:t>
            </w:r>
          </w:p>
          <w:p w:rsidR="00000000" w:rsidRPr="00F6765E" w:rsidP="00F6765E">
            <w:pPr>
              <w:pStyle w:val="BodyText"/>
            </w:pPr>
            <w:r w:rsidRPr="00F6765E">
              <w:t>T2</w:t>
            </w:r>
            <w:r w:rsidRPr="00F6765E">
              <w:tab/>
              <w:t>Alternating Currents and Waveforms</w:t>
            </w:r>
          </w:p>
          <w:p w:rsidR="00000000" w:rsidRPr="00F6765E" w:rsidP="00F6765E">
            <w:pPr>
              <w:pStyle w:val="ListBullet"/>
            </w:pPr>
            <w:r w:rsidRPr="00F6765E">
              <w:t>waveforms (sine and square wave)</w:t>
            </w:r>
          </w:p>
          <w:p w:rsidR="00000000" w:rsidRPr="00F6765E" w:rsidP="00F6765E">
            <w:pPr>
              <w:pStyle w:val="ListBullet"/>
            </w:pPr>
            <w:r w:rsidRPr="00F6765E">
              <w:t>the AC mains supply</w:t>
            </w:r>
          </w:p>
          <w:p w:rsidR="00000000" w:rsidRPr="00F6765E" w:rsidP="00F6765E">
            <w:pPr>
              <w:pStyle w:val="ListBullet"/>
            </w:pPr>
            <w:r w:rsidRPr="00F6765E">
              <w:t>electrical safety</w:t>
            </w:r>
          </w:p>
          <w:p w:rsidR="00000000" w:rsidRPr="00F6765E" w:rsidP="00F6765E">
            <w:pPr>
              <w:pStyle w:val="ListBullet"/>
            </w:pPr>
            <w:r w:rsidRPr="00F6765E">
              <w:t>fuses</w:t>
            </w:r>
          </w:p>
          <w:p w:rsidR="00000000" w:rsidRPr="00F6765E" w:rsidP="00F6765E">
            <w:pPr>
              <w:pStyle w:val="ListBullet"/>
            </w:pPr>
            <w:r w:rsidRPr="00F6765E">
              <w:t>lamps and indicators</w:t>
            </w:r>
          </w:p>
          <w:p w:rsidR="00000000" w:rsidRPr="00F6765E" w:rsidP="00F6765E">
            <w:pPr>
              <w:pStyle w:val="BodyText"/>
            </w:pPr>
            <w:r w:rsidRPr="00F6765E">
              <w:t>T3</w:t>
            </w:r>
            <w:r w:rsidRPr="00F6765E">
              <w:tab/>
              <w:t>Electromagnetic Waves and Signals</w:t>
            </w:r>
          </w:p>
          <w:p w:rsidR="00000000" w:rsidRPr="00F6765E" w:rsidP="00F6765E">
            <w:pPr>
              <w:pStyle w:val="ListBullet"/>
            </w:pPr>
            <w:r w:rsidRPr="00F6765E">
              <w:t>electromagnetic wave</w:t>
            </w:r>
            <w:r w:rsidRPr="00F6765E">
              <w:t>s</w:t>
            </w:r>
          </w:p>
          <w:p w:rsidR="00000000" w:rsidRPr="00F6765E" w:rsidP="00F6765E">
            <w:pPr>
              <w:pStyle w:val="ListBullet"/>
            </w:pPr>
            <w:r w:rsidRPr="00F6765E">
              <w:t>the Radio Frequency spectrum</w:t>
            </w:r>
          </w:p>
          <w:p w:rsidR="00000000" w:rsidRPr="00F6765E" w:rsidP="00F6765E">
            <w:pPr>
              <w:pStyle w:val="ListBullet"/>
            </w:pPr>
            <w:r w:rsidRPr="00F6765E">
              <w:t>wave propagation</w:t>
            </w:r>
          </w:p>
          <w:p w:rsidR="00000000" w:rsidRPr="00F6765E" w:rsidP="00F6765E">
            <w:pPr>
              <w:pStyle w:val="ListBullet"/>
            </w:pPr>
            <w:r w:rsidRPr="00F6765E">
              <w:t>signals and bandwidth</w:t>
            </w:r>
          </w:p>
          <w:p w:rsidR="00000000" w:rsidRPr="00F6765E" w:rsidP="00F6765E">
            <w:pPr>
              <w:pStyle w:val="ListBullet"/>
            </w:pPr>
            <w:r w:rsidRPr="00F6765E">
              <w:t>transmission lines and antennas</w:t>
            </w:r>
          </w:p>
          <w:p w:rsidR="00000000" w:rsidRPr="00F6765E" w:rsidP="00F6765E">
            <w:pPr>
              <w:pStyle w:val="ListBullet"/>
            </w:pPr>
            <w:r w:rsidRPr="00F6765E">
              <w:t>harmonics</w:t>
            </w:r>
          </w:p>
          <w:p w:rsidR="00000000" w:rsidRPr="00F6765E" w:rsidP="00F6765E">
            <w:pPr>
              <w:pStyle w:val="BodyText"/>
            </w:pPr>
            <w:r w:rsidRPr="00F6765E">
              <w:t>T4</w:t>
            </w:r>
            <w:r w:rsidRPr="00F6765E">
              <w:tab/>
              <w:t>Capacitance and inductance</w:t>
            </w:r>
          </w:p>
          <w:p w:rsidR="00000000" w:rsidRPr="00F6765E" w:rsidP="00F6765E">
            <w:pPr>
              <w:pStyle w:val="ListBullet"/>
            </w:pPr>
            <w:r w:rsidRPr="00F6765E">
              <w:t>inductors and capacitors</w:t>
            </w:r>
          </w:p>
          <w:p w:rsidR="00000000" w:rsidRPr="00F6765E" w:rsidP="00F6765E">
            <w:pPr>
              <w:pStyle w:val="BodyText"/>
            </w:pPr>
            <w:r w:rsidRPr="00F6765E">
              <w:t>T5</w:t>
            </w:r>
            <w:r w:rsidRPr="00F6765E">
              <w:tab/>
              <w:t>Electromagnetic Interference</w:t>
            </w:r>
          </w:p>
          <w:p w:rsidR="00000000" w:rsidRPr="00F6765E" w:rsidP="00F6765E">
            <w:pPr>
              <w:pStyle w:val="ListBullet"/>
            </w:pPr>
            <w:r w:rsidRPr="00F6765E">
              <w:t>electrical noise</w:t>
            </w:r>
          </w:p>
          <w:p w:rsidR="00000000" w:rsidRPr="00F6765E" w:rsidP="00F6765E">
            <w:pPr>
              <w:pStyle w:val="ListBullet"/>
            </w:pPr>
            <w:r w:rsidRPr="00F6765E">
              <w:t>induced currents and voltages</w:t>
            </w:r>
          </w:p>
          <w:p w:rsidR="00000000" w:rsidRPr="00F6765E" w:rsidP="00F6765E">
            <w:pPr>
              <w:pStyle w:val="ListBullet"/>
            </w:pPr>
            <w:r w:rsidRPr="00F6765E">
              <w:t>cross-talk</w:t>
            </w:r>
          </w:p>
          <w:p w:rsidR="00000000" w:rsidRPr="00F6765E" w:rsidP="00F6765E">
            <w:pPr>
              <w:pStyle w:val="ListBullet"/>
            </w:pPr>
            <w:r w:rsidRPr="00F6765E">
              <w:t>electromagnetic Interference</w:t>
            </w:r>
          </w:p>
          <w:p w:rsidR="00000000" w:rsidRPr="00F6765E" w:rsidP="00F6765E">
            <w:pPr>
              <w:pStyle w:val="BodyText"/>
            </w:pPr>
            <w:r w:rsidRPr="00F6765E">
              <w:t>T6</w:t>
            </w:r>
            <w:r w:rsidRPr="00F6765E">
              <w:tab/>
              <w:t>Batteries</w:t>
            </w:r>
          </w:p>
          <w:p w:rsidR="00000000" w:rsidRPr="00F6765E" w:rsidP="00F6765E">
            <w:pPr>
              <w:pStyle w:val="ListBullet"/>
            </w:pPr>
            <w:r w:rsidRPr="00F6765E">
              <w:t>types of battery</w:t>
            </w:r>
          </w:p>
          <w:p w:rsidR="00000000" w:rsidRPr="00F6765E" w:rsidP="00F6765E">
            <w:pPr>
              <w:pStyle w:val="ListBullet"/>
            </w:pPr>
            <w:r w:rsidRPr="00F6765E">
              <w:t>battery capacity</w:t>
            </w:r>
          </w:p>
          <w:p w:rsidR="00000000" w:rsidRPr="00F6765E" w:rsidP="00F6765E">
            <w:pPr>
              <w:pStyle w:val="ListBullet"/>
            </w:pPr>
            <w:r w:rsidRPr="00F6765E">
              <w:t>care of batteries</w:t>
            </w:r>
          </w:p>
          <w:p w:rsidR="00000000" w:rsidRPr="00F6765E" w:rsidP="00F6765E">
            <w:pPr>
              <w:pStyle w:val="BodyText"/>
            </w:pPr>
            <w:r w:rsidRPr="00F6765E">
              <w:t>T7</w:t>
            </w:r>
            <w:r w:rsidRPr="00F6765E">
              <w:tab/>
              <w:t xml:space="preserve">Techniques in the use of analogue and digital multimeters - broad overview of </w:t>
            </w:r>
            <w:r w:rsidRPr="00F6765E">
              <w:tab/>
              <w:t xml:space="preserve">electronics theory applicable to commonplace electronic and computer equipment </w:t>
            </w:r>
            <w:r w:rsidRPr="00F6765E">
              <w:tab/>
              <w:t xml:space="preserve">servicing and support tasks, and </w:t>
            </w:r>
            <w:r w:rsidRPr="00F6765E">
              <w:tab/>
              <w:t xml:space="preserve">includes general appreciation of the topics and </w:t>
            </w:r>
            <w:r w:rsidRPr="00F6765E">
              <w:tab/>
              <w:t>concepts rather than rigorous theoretical calculations and designs</w:t>
            </w:r>
          </w:p>
          <w:p w:rsidR="00000000" w:rsidRPr="00F6765E" w:rsidP="00F6765E">
            <w:pPr>
              <w:pStyle w:val="BodyText"/>
            </w:pPr>
            <w:r w:rsidRPr="00F6765E">
              <w:t>T8</w:t>
            </w:r>
            <w:r w:rsidRPr="00F6765E">
              <w:tab/>
              <w:t>Analogue versus digital</w:t>
            </w:r>
          </w:p>
          <w:p w:rsidR="00000000" w:rsidRPr="00F6765E" w:rsidP="00F6765E">
            <w:pPr>
              <w:pStyle w:val="ListBullet"/>
            </w:pPr>
            <w:r w:rsidRPr="00F6765E">
              <w:t>digital waveforms</w:t>
            </w:r>
          </w:p>
          <w:p w:rsidR="00000000" w:rsidRPr="00F6765E" w:rsidP="00F6765E">
            <w:pPr>
              <w:pStyle w:val="BodyText"/>
            </w:pPr>
            <w:r w:rsidRPr="00F6765E">
              <w:t>T9</w:t>
            </w:r>
            <w:r w:rsidRPr="00F6765E">
              <w:tab/>
              <w:t>Number systems</w:t>
            </w:r>
          </w:p>
          <w:p w:rsidR="00000000" w:rsidRPr="00F6765E" w:rsidP="00F6765E">
            <w:pPr>
              <w:pStyle w:val="ListBullet"/>
            </w:pPr>
            <w:r w:rsidRPr="00F6765E">
              <w:t>binary</w:t>
            </w:r>
          </w:p>
          <w:p w:rsidR="00000000" w:rsidRPr="00F6765E" w:rsidP="00F6765E">
            <w:pPr>
              <w:pStyle w:val="ListBullet"/>
            </w:pPr>
            <w:r w:rsidRPr="00F6765E">
              <w:t>hexadecimal</w:t>
            </w:r>
          </w:p>
          <w:p w:rsidR="00000000" w:rsidRPr="00F6765E" w:rsidP="00F6765E">
            <w:pPr>
              <w:pStyle w:val="ListBullet"/>
            </w:pPr>
            <w:r w:rsidRPr="00F6765E">
              <w:t>binary addition and sub</w:t>
            </w:r>
            <w:r w:rsidRPr="00F6765E">
              <w:t>traction</w:t>
            </w:r>
          </w:p>
          <w:p w:rsidR="00000000" w:rsidRPr="00F6765E" w:rsidP="00F6765E">
            <w:pPr>
              <w:pStyle w:val="ListBullet"/>
            </w:pPr>
            <w:r w:rsidRPr="00F6765E">
              <w:t>number system conversions</w:t>
            </w:r>
          </w:p>
          <w:p w:rsidR="00000000" w:rsidRPr="00F6765E" w:rsidP="00F6765E">
            <w:pPr>
              <w:pStyle w:val="BodyText"/>
            </w:pPr>
            <w:r w:rsidRPr="00F6765E">
              <w:t>T10</w:t>
            </w:r>
            <w:r w:rsidRPr="00F6765E">
              <w:tab/>
              <w:t>Codes</w:t>
            </w:r>
          </w:p>
          <w:p w:rsidR="00000000" w:rsidRPr="00F6765E" w:rsidP="00F6765E">
            <w:pPr>
              <w:pStyle w:val="ListBullet"/>
            </w:pPr>
            <w:r w:rsidRPr="00F6765E">
              <w:t>ASCII</w:t>
            </w:r>
          </w:p>
          <w:p w:rsidR="00000000" w:rsidRPr="00F6765E" w:rsidP="00F6765E">
            <w:pPr>
              <w:pStyle w:val="ListBullet"/>
            </w:pPr>
            <w:r w:rsidRPr="00F6765E">
              <w:t>ANSI</w:t>
            </w:r>
          </w:p>
          <w:p w:rsidR="00000000" w:rsidRPr="00F6765E" w:rsidP="00F6765E">
            <w:pPr>
              <w:pStyle w:val="ListBullet"/>
            </w:pPr>
            <w:r w:rsidRPr="00F6765E">
              <w:t>error detecting codes</w:t>
            </w:r>
          </w:p>
          <w:p w:rsidR="00000000" w:rsidRPr="00F6765E" w:rsidP="00F6765E">
            <w:pPr>
              <w:pStyle w:val="ListBullet"/>
            </w:pPr>
            <w:r w:rsidRPr="00F6765E">
              <w:t>- parity</w:t>
            </w:r>
          </w:p>
          <w:p w:rsidR="00000000" w:rsidRPr="00F6765E" w:rsidP="00F6765E">
            <w:pPr>
              <w:pStyle w:val="ListBullet"/>
            </w:pPr>
            <w:r w:rsidRPr="00F6765E">
              <w:t>- check sums</w:t>
            </w:r>
          </w:p>
          <w:p w:rsidR="00000000" w:rsidRPr="00F6765E" w:rsidP="00F6765E">
            <w:pPr>
              <w:pStyle w:val="ListBullet"/>
            </w:pPr>
            <w:r w:rsidRPr="00F6765E">
              <w:t>- CRC</w:t>
            </w:r>
          </w:p>
          <w:p w:rsidR="00000000" w:rsidRPr="00F6765E" w:rsidP="00F6765E">
            <w:pPr>
              <w:pStyle w:val="ListBullet"/>
            </w:pPr>
            <w:r w:rsidRPr="00F6765E">
              <w:t>error correction</w:t>
            </w:r>
          </w:p>
          <w:p w:rsidR="00000000" w:rsidRPr="00F6765E" w:rsidP="00F6765E">
            <w:pPr>
              <w:pStyle w:val="BodyText"/>
            </w:pPr>
            <w:r w:rsidRPr="00F6765E">
              <w:t>T11</w:t>
            </w:r>
            <w:r w:rsidRPr="00F6765E">
              <w:tab/>
              <w:t>Basic logic</w:t>
            </w:r>
          </w:p>
          <w:p w:rsidR="00000000" w:rsidRPr="00F6765E" w:rsidP="00F6765E">
            <w:pPr>
              <w:pStyle w:val="ListBullet"/>
            </w:pPr>
            <w:r w:rsidRPr="00F6765E">
              <w:t>AND, OR, NOT, XOR</w:t>
            </w:r>
          </w:p>
          <w:p w:rsidR="00000000" w:rsidRPr="00F6765E" w:rsidP="00F6765E">
            <w:pPr>
              <w:pStyle w:val="ListBullet"/>
            </w:pPr>
            <w:r w:rsidRPr="00F6765E">
              <w:t>truth tables</w:t>
            </w:r>
          </w:p>
          <w:p w:rsidR="00000000" w:rsidRPr="00F6765E" w:rsidP="00F6765E">
            <w:pPr>
              <w:pStyle w:val="BodyText"/>
            </w:pPr>
            <w:r w:rsidRPr="00F6765E">
              <w:t>T12</w:t>
            </w:r>
            <w:r w:rsidRPr="00F6765E">
              <w:tab/>
              <w:t>Data manipulation</w:t>
            </w:r>
          </w:p>
          <w:p w:rsidR="00000000" w:rsidRPr="00F6765E" w:rsidP="00F6765E">
            <w:pPr>
              <w:pStyle w:val="ListBullet"/>
            </w:pPr>
            <w:r w:rsidRPr="00F6765E">
              <w:t>clocks and data rates</w:t>
            </w:r>
          </w:p>
          <w:p w:rsidR="00000000" w:rsidRPr="00F6765E" w:rsidP="00F6765E">
            <w:pPr>
              <w:pStyle w:val="ListBullet"/>
            </w:pPr>
            <w:r w:rsidRPr="00F6765E">
              <w:t>basic storage cell</w:t>
            </w:r>
          </w:p>
          <w:p w:rsidR="00000000" w:rsidRPr="00F6765E" w:rsidP="00F6765E">
            <w:pPr>
              <w:pStyle w:val="ListBullet"/>
            </w:pPr>
            <w:r w:rsidRPr="00F6765E">
              <w:t>registers</w:t>
            </w:r>
          </w:p>
          <w:p w:rsidR="00000000" w:rsidRPr="00F6765E" w:rsidP="00F6765E">
            <w:pPr>
              <w:pStyle w:val="ListBullet"/>
            </w:pPr>
            <w:r w:rsidRPr="00F6765E">
              <w:t>ripple counter (binary counting)</w:t>
            </w:r>
          </w:p>
          <w:p w:rsidR="00000000" w:rsidRPr="00F6765E" w:rsidP="00F6765E">
            <w:pPr>
              <w:pStyle w:val="ListBullet"/>
            </w:pPr>
            <w:r w:rsidRPr="00F6765E">
              <w:t>shift register (serial to parallel conversion)</w:t>
            </w:r>
          </w:p>
          <w:p w:rsidR="00000000" w:rsidRPr="00F6765E" w:rsidP="00F6765E">
            <w:pPr>
              <w:pStyle w:val="ListBullet"/>
            </w:pPr>
            <w:r w:rsidRPr="00F6765E">
              <w:t>multiplexer and de-multiplexer</w:t>
            </w:r>
          </w:p>
          <w:p w:rsidR="00000000" w:rsidRPr="00F6765E" w:rsidP="00F6765E">
            <w:pPr>
              <w:pStyle w:val="ListBullet"/>
            </w:pPr>
            <w:r w:rsidRPr="00F6765E">
              <w:t>bus architecture</w:t>
            </w:r>
          </w:p>
          <w:p w:rsidR="00000000" w:rsidRPr="00F6765E" w:rsidP="00F6765E">
            <w:pPr>
              <w:pStyle w:val="ListBullet"/>
            </w:pPr>
            <w:r w:rsidRPr="00F6765E">
              <w:t>- encoding / decoding</w:t>
            </w:r>
          </w:p>
          <w:p w:rsidR="00000000" w:rsidRPr="00F6765E" w:rsidP="00F6765E">
            <w:pPr>
              <w:pStyle w:val="ListBullet"/>
            </w:pPr>
            <w:r w:rsidRPr="00F6765E">
              <w:t>- addressing methods</w:t>
            </w:r>
          </w:p>
          <w:p w:rsidR="00000000" w:rsidRPr="00F6765E" w:rsidP="00F6765E">
            <w:pPr>
              <w:pStyle w:val="BodyText"/>
            </w:pPr>
            <w:r w:rsidRPr="00F6765E">
              <w:t>T13</w:t>
            </w:r>
            <w:r w:rsidRPr="00F6765E">
              <w:tab/>
              <w:t>Analogue to digital conversion</w:t>
            </w:r>
          </w:p>
          <w:p w:rsidR="00000000" w:rsidRPr="00F6765E" w:rsidP="00F6765E">
            <w:pPr>
              <w:pStyle w:val="BodyText"/>
            </w:pPr>
            <w:r w:rsidRPr="00F6765E">
              <w:t>T14</w:t>
            </w:r>
            <w:r w:rsidRPr="00F6765E">
              <w:tab/>
              <w:t>Digital to analogue conversion - broad overvie</w:t>
            </w:r>
            <w:r w:rsidRPr="00F6765E">
              <w:t xml:space="preserve">w of digital electronics theory </w:t>
            </w:r>
            <w:r w:rsidRPr="00F6765E">
              <w:tab/>
              <w:t xml:space="preserve">applicable to everyday computer servicing and support tasks and encompasses topics </w:t>
            </w:r>
            <w:r w:rsidRPr="00F6765E">
              <w:tab/>
              <w:t xml:space="preserve">and concepts and is not for in depth theoretical calculations and designs.  Also there </w:t>
            </w:r>
            <w:r w:rsidRPr="00F6765E">
              <w:tab/>
              <w:t>are no specific logic gates or logic levels involve</w:t>
            </w:r>
            <w:r w:rsidRPr="00F6765E">
              <w:t>d.</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10" w:name="O_417366"/>
      <w:bookmarkEnd w:id="10"/>
      <w:r w:rsidRPr="00F6765E">
        <w:t>Evidence Guide</w:t>
      </w:r>
    </w:p>
    <w:tbl>
      <w:tblPr>
        <w:tblW w:w="0" w:type="auto"/>
        <w:tblLayout w:type="fixed"/>
        <w:tblCellMar>
          <w:left w:w="62" w:type="dxa"/>
          <w:right w:w="62" w:type="dxa"/>
        </w:tblCellMar>
        <w:tblLook w:val="0000"/>
      </w:tblPr>
      <w:tblGrid>
        <w:gridCol w:w="8460"/>
      </w:tblGrid>
      <w:tr w:rsidTr="006576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EVIDENCE GUIDE</w:t>
            </w:r>
          </w:p>
        </w:tc>
      </w:tr>
      <w:tr w:rsidTr="006576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9)</w:t>
            </w:r>
            <w:r w:rsidRPr="00F6765E">
              <w:t xml:space="preserve"> The evidence guide provides advice on assessment and must be read in conjunction with the Performance </w:t>
            </w:r>
            <w:r w:rsidRPr="00F6765E">
              <w:t xml:space="preserve">Criteria, Required Skills and Knowledge, the Range Statement and the Assessment Guidelines for this Training Package. </w:t>
            </w:r>
          </w:p>
          <w:p w:rsidR="00000000" w:rsidRPr="00F6765E" w:rsidP="00F6765E">
            <w:pPr>
              <w:pStyle w:val="BodyText"/>
            </w:pPr>
            <w:r w:rsidRPr="00F6765E">
              <w:t>The Evidence Guide forms an integral part of this unit. It must be used in conjunction with all parts of the unit and performed in accord</w:t>
            </w:r>
            <w:r w:rsidRPr="00F6765E">
              <w:t>ance with the Assessment Guidelines of this Training Package.</w:t>
            </w:r>
          </w:p>
        </w:tc>
      </w:tr>
    </w:tbl>
    <w:p w:rsidR="00000000" w:rsidRPr="00F6765E" w:rsidP="00F6765E">
      <w:pPr>
        <w:pStyle w:val="BodyText"/>
      </w:pPr>
    </w:p>
    <w:tbl>
      <w:tblPr>
        <w:tblW w:w="0" w:type="auto"/>
        <w:tblLayout w:type="fixed"/>
        <w:tblCellMar>
          <w:left w:w="62" w:type="dxa"/>
          <w:right w:w="62" w:type="dxa"/>
        </w:tblCellMar>
        <w:tblLook w:val="0000"/>
      </w:tblPr>
      <w:tblGrid>
        <w:gridCol w:w="1890"/>
        <w:gridCol w:w="6570"/>
      </w:tblGrid>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9.1)</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Longitudinal competency development approaches to assessment, such as Profiling, require data to be reliably gathered in a form that can be consistently interpret</w:t>
            </w:r>
            <w:r w:rsidRPr="00F6765E">
              <w:t xml:space="preserve">ed over time. This approach is best utilised in Apprenticeship programs and reduces assessment intervention. It is the industry-preferred model for apprenticeships. However, where summative (or final) assessment is used it is to include the application of </w:t>
            </w:r>
            <w:r w:rsidRPr="00F6765E">
              <w:t>the competency in the normal work environment or, at a minimum, the application of the competency in a realistically simulated work environment. It is recognised that, in some circumstances, assessment in part or full can occur outside the workplace. Howev</w:t>
            </w:r>
            <w:r w:rsidRPr="00F6765E">
              <w:t>er, it must be in accordance with industry and regulatory policy.</w:t>
            </w:r>
          </w:p>
          <w:p w:rsidR="00000000" w:rsidRPr="00F6765E" w:rsidP="00F6765E">
            <w:pPr>
              <w:pStyle w:val="BodyText"/>
            </w:pPr>
            <w:r w:rsidRPr="00F6765E">
              <w:t>Methods chosen for a particular assessment will be influenced by various factors. These include the extent of the assessment, the most effective locations for the assessment activities to ta</w:t>
            </w:r>
            <w:r w:rsidRPr="00F6765E">
              <w:t>ke place, access to physical resources, additional safety measures that may be required and the critical nature of the competencies being assessed.</w:t>
            </w:r>
          </w:p>
          <w:p w:rsidR="00000000" w:rsidRPr="00F6765E" w:rsidP="00F6765E">
            <w:pPr>
              <w:pStyle w:val="BodyText"/>
            </w:pPr>
            <w:r w:rsidRPr="00F6765E">
              <w:t>The critical safety nature of working with electricity, electrical equipment, gas or any other hazardous substance/material carries risk in deeming a person competent. Sources of evidence need to be ‘rich’ in nature to minimise error in judgment.</w:t>
            </w:r>
          </w:p>
          <w:p w:rsidR="00000000" w:rsidRPr="00F6765E" w:rsidP="00F6765E">
            <w:pPr>
              <w:pStyle w:val="BodyText"/>
            </w:pPr>
            <w:r w:rsidRPr="00F6765E">
              <w:t>Activitie</w:t>
            </w:r>
            <w:r w:rsidRPr="00F6765E">
              <w:t>s associated with normal everyday work have a bearing on the decision as to how much and how detailed the data gathered will contribute to its ‘richness’. Some skills are more critical to safety and operational requirements while the same skills may be mor</w:t>
            </w:r>
            <w:r w:rsidRPr="00F6765E">
              <w:t>e or less frequently practised. These points are raised for the assessors to consider when choosing an assessment method and developing assessment instruments. Sample assessment instruments are included for Assessors in the Assessment Guidelines of this Tr</w:t>
            </w:r>
            <w:r w:rsidRPr="00F6765E">
              <w:t>aining Package.</w:t>
            </w:r>
          </w:p>
        </w:tc>
      </w:tr>
    </w:tbl>
    <w:p w:rsidR="00000000" w:rsidRPr="00F6765E" w:rsidP="00F6765E">
      <w:pPr>
        <w:pStyle w:val="BodyText"/>
      </w:pPr>
    </w:p>
    <w:tbl>
      <w:tblPr>
        <w:tblW w:w="0" w:type="auto"/>
        <w:tblLayout w:type="fixed"/>
        <w:tblCellMar>
          <w:left w:w="62" w:type="dxa"/>
          <w:right w:w="62" w:type="dxa"/>
        </w:tblCellMar>
        <w:tblLook w:val="0000"/>
      </w:tblPr>
      <w:tblGrid>
        <w:gridCol w:w="1890"/>
        <w:gridCol w:w="1530"/>
        <w:gridCol w:w="5040"/>
      </w:tblGrid>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9.2)</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Before the critical aspects of evidence are considered all prerequisites must be met.</w:t>
            </w:r>
          </w:p>
          <w:p w:rsidR="00000000" w:rsidRPr="00F6765E" w:rsidP="00F6765E">
            <w:pPr>
              <w:pStyle w:val="BodyText"/>
            </w:pPr>
            <w:r w:rsidRPr="00F6765E">
              <w:t>Evidence for competence in this unit shall be considered holistical</w:t>
            </w:r>
            <w:r w:rsidRPr="00F6765E">
              <w:t>ly.  Each element and associated performance criteria shall be demonstrated on at least two occasions in accordance with the ‘Assessment Guidelines – UEE11’.  Evidence shall also comprise:</w:t>
            </w:r>
          </w:p>
          <w:p w:rsidR="00000000" w:rsidRPr="00F6765E" w:rsidP="00F6765E">
            <w:pPr>
              <w:pStyle w:val="ListBullet"/>
            </w:pPr>
            <w:r w:rsidRPr="00F6765E">
              <w:t>A representative body of work performance demonstrated within the t</w:t>
            </w:r>
            <w:r w:rsidRPr="00F6765E">
              <w:t>imeframes typically expected of the discipline, work function and industrial environment. In particular this shall incorporate evidence that shows a candidate is able to:</w:t>
            </w:r>
          </w:p>
          <w:p w:rsidR="00000000" w:rsidRPr="00F6765E" w:rsidP="00F6765E">
            <w:pPr>
              <w:pStyle w:val="ListBullet2"/>
            </w:pPr>
            <w:r w:rsidRPr="00F6765E">
              <w:t>Implement Occupational Health and Safety workplace procedures and practices, includi</w:t>
            </w:r>
            <w:r w:rsidRPr="00F6765E">
              <w:t>ng the use of risk control measures as specified in the performance criteria and range statement</w:t>
            </w:r>
          </w:p>
          <w:p w:rsidR="00000000" w:rsidRPr="00F6765E" w:rsidP="00F6765E">
            <w:pPr>
              <w:pStyle w:val="ListBullet2"/>
            </w:pPr>
            <w:r w:rsidRPr="00F6765E">
              <w:t>Apply sustainable energy principles and practices as specified in the performance criteria and range statement</w:t>
            </w:r>
          </w:p>
          <w:p w:rsidR="00000000" w:rsidRPr="00F6765E" w:rsidP="00F6765E">
            <w:pPr>
              <w:pStyle w:val="ListBullet2"/>
            </w:pPr>
            <w:r w:rsidRPr="00F6765E">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F6765E" w:rsidP="00F6765E">
            <w:pPr>
              <w:pStyle w:val="ListBullet2"/>
            </w:pPr>
            <w:r w:rsidRPr="00F6765E">
              <w:t>Demo</w:t>
            </w:r>
            <w:r w:rsidRPr="00F6765E">
              <w:t>nstrate an appropriate level of skills enabling employment</w:t>
            </w:r>
          </w:p>
          <w:p w:rsidR="00000000" w:rsidRPr="00F6765E" w:rsidP="00F6765E">
            <w:pPr>
              <w:pStyle w:val="ListBullet2"/>
            </w:pPr>
            <w:r w:rsidRPr="00F6765E">
              <w:t>Conduct work observing the relevant Anti Discrimination legislation, regulations, polices and workplace procedures</w:t>
            </w:r>
          </w:p>
          <w:p w:rsidR="00000000" w:rsidRPr="00F6765E" w:rsidP="00F6765E">
            <w:pPr>
              <w:pStyle w:val="ListBullet"/>
            </w:pPr>
            <w:r w:rsidRPr="00F6765E">
              <w:t>Demonstrated consistent performance across a representative range of contexts from</w:t>
            </w:r>
            <w:r w:rsidRPr="00F6765E">
              <w:t xml:space="preserve"> the prescribed items below:</w:t>
            </w:r>
          </w:p>
          <w:p w:rsidR="00000000" w:rsidP="00F6765E">
            <w:pPr>
              <w:pStyle w:val="ListBullet2"/>
              <w:rPr>
                <w:lang w:val="en-NZ"/>
              </w:rPr>
            </w:pPr>
            <w:r w:rsidRPr="00F6765E">
              <w:t>Solving problems in electronic and digital equipment as described in 8) and including:</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A</w:t>
            </w:r>
          </w:p>
        </w:tc>
        <w:tc>
          <w:tcPr>
            <w:tcW w:w="504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Using methodical problem solving methods.</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B</w:t>
            </w:r>
          </w:p>
        </w:tc>
        <w:tc>
          <w:tcPr>
            <w:tcW w:w="504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Taking and recording measurements correctly and accurately using relevant measuring equipment.</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C</w:t>
            </w:r>
          </w:p>
        </w:tc>
        <w:tc>
          <w:tcPr>
            <w:tcW w:w="504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Deducing equipment behaviour correctly and accurately.</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D</w:t>
            </w:r>
          </w:p>
        </w:tc>
        <w:tc>
          <w:tcPr>
            <w:tcW w:w="504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Providing written justification for the solutions to problems.</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t>E</w:t>
            </w:r>
          </w:p>
        </w:tc>
        <w:tc>
          <w:tcPr>
            <w:tcW w:w="504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Dealing with unplanned events b</w:t>
            </w:r>
            <w:r w:rsidRPr="00F6765E">
              <w:t>y drawing on essential knowledge and skills to provide appropriate solutions incorporated in a holistic assessment with the above listed items.</w:t>
            </w:r>
          </w:p>
        </w:tc>
      </w:tr>
    </w:tbl>
    <w:p w:rsidR="00000000" w:rsidRPr="00F6765E" w:rsidP="00F6765E">
      <w:pPr>
        <w:pStyle w:val="BodyText"/>
      </w:pPr>
    </w:p>
    <w:tbl>
      <w:tblPr>
        <w:tblW w:w="0" w:type="auto"/>
        <w:tblLayout w:type="fixed"/>
        <w:tblCellMar>
          <w:left w:w="62" w:type="dxa"/>
          <w:right w:w="62" w:type="dxa"/>
        </w:tblCellMar>
        <w:tblLook w:val="0000"/>
      </w:tblPr>
      <w:tblGrid>
        <w:gridCol w:w="1890"/>
        <w:gridCol w:w="6570"/>
      </w:tblGrid>
      <w:tr w:rsidTr="0065765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9.3)</w:t>
            </w:r>
          </w:p>
        </w:tc>
      </w:tr>
      <w:tr w:rsidTr="0065765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This unit should be assessed as it relates to normal work practice using procedures, information and resources typical of a workplace. This should include:</w:t>
            </w:r>
          </w:p>
          <w:p w:rsidR="00000000" w:rsidRPr="00F6765E" w:rsidP="00F6765E">
            <w:pPr>
              <w:pStyle w:val="ListBullet"/>
            </w:pPr>
            <w:r w:rsidRPr="00F6765E">
              <w:t>OHS policy and work procedures and instructions.</w:t>
            </w:r>
          </w:p>
          <w:p w:rsidR="00000000" w:rsidRPr="00F6765E" w:rsidP="00F6765E">
            <w:pPr>
              <w:pStyle w:val="ListBullet"/>
            </w:pPr>
            <w:r w:rsidRPr="00F6765E">
              <w:t>Suitable work environment, facilities, equipment an</w:t>
            </w:r>
            <w:r w:rsidRPr="00F6765E">
              <w:t>d materials to undertake actual work as prescribed in this unit.</w:t>
            </w:r>
          </w:p>
          <w:p w:rsidR="00000000" w:rsidRPr="00F6765E" w:rsidP="00F6765E">
            <w:pPr>
              <w:pStyle w:val="BodyText"/>
            </w:pPr>
            <w:r w:rsidRPr="00F6765E">
              <w:t>These should be used in the formal learning/assessment environment.</w:t>
            </w:r>
          </w:p>
          <w:p w:rsidR="00000000" w:rsidRPr="00F6765E" w:rsidP="00F6765E">
            <w:pPr>
              <w:pStyle w:val="BodyText"/>
            </w:pPr>
            <w:r w:rsidRPr="00F6765E">
              <w:t>Note:</w:t>
            </w:r>
          </w:p>
          <w:p w:rsidR="00000000" w:rsidRPr="00F6765E" w:rsidP="00F6765E">
            <w:pPr>
              <w:pStyle w:val="BodyText"/>
            </w:pPr>
            <w:r w:rsidRPr="00F6765E">
              <w:t>Where simulation is considered a suitable strategy for assessment, conditions for assessment must be authentic and as</w:t>
            </w:r>
            <w:r w:rsidRPr="00F6765E">
              <w:t xml:space="preserve"> far as possible reproduce and replicate the workplace and be consistent with the approved industry simulation policy.</w:t>
            </w:r>
          </w:p>
          <w:p w:rsidR="00000000" w:rsidRPr="00F6765E" w:rsidP="00F6765E">
            <w:pPr>
              <w:pStyle w:val="BodyText"/>
            </w:pPr>
            <w:r w:rsidRPr="00F6765E">
              <w:t xml:space="preserve">The resources used for assessment should reflect current industry practices in relation to solving basic problems electronic and digital </w:t>
            </w:r>
            <w:r w:rsidRPr="00F6765E">
              <w:t>equipment.</w:t>
            </w:r>
          </w:p>
        </w:tc>
      </w:tr>
    </w:tbl>
    <w:p w:rsidR="00000000" w:rsidRPr="00F6765E" w:rsidP="00F6765E">
      <w:pPr>
        <w:pStyle w:val="BodyText"/>
      </w:pPr>
    </w:p>
    <w:tbl>
      <w:tblPr>
        <w:tblW w:w="0" w:type="auto"/>
        <w:tblLayout w:type="fixed"/>
        <w:tblCellMar>
          <w:left w:w="62" w:type="dxa"/>
          <w:right w:w="62" w:type="dxa"/>
        </w:tblCellMar>
        <w:tblLook w:val="0000"/>
      </w:tblPr>
      <w:tblGrid>
        <w:gridCol w:w="1890"/>
        <w:gridCol w:w="6570"/>
      </w:tblGrid>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9.4)</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This unit shall be assessed by methods given in Volume 1, Part 3 ‘Assessment Guidelines’.</w:t>
            </w:r>
          </w:p>
          <w:p w:rsidR="00000000" w:rsidRPr="00F6765E" w:rsidP="00F6765E">
            <w:pPr>
              <w:pStyle w:val="BodyText"/>
            </w:pPr>
            <w:r w:rsidRPr="00F6765E">
              <w:t xml:space="preserve">Note: </w:t>
            </w:r>
          </w:p>
          <w:p w:rsidR="00000000" w:rsidRPr="00F6765E" w:rsidP="00F6765E">
            <w:pPr>
              <w:pStyle w:val="BodyText"/>
            </w:pPr>
            <w:r w:rsidRPr="00F6765E">
              <w:t>Competent performance with inherent safe working practices is expected in the Industry to which this unit applies. This requires that the specified essential knowledge and associated skills are assessed in a structured environment which is primarily intend</w:t>
            </w:r>
            <w:r w:rsidRPr="00F6765E">
              <w:t>ed for learning/assessment and incorporates all necessary equipment and facilities for learners to develop and demonstrate the essential knowledge and skills described in this unit.</w:t>
            </w:r>
          </w:p>
        </w:tc>
      </w:tr>
    </w:tbl>
    <w:p w:rsidR="00000000" w:rsidRPr="00F6765E" w:rsidP="00F6765E">
      <w:pPr>
        <w:pStyle w:val="BodyText"/>
      </w:pPr>
    </w:p>
    <w:tbl>
      <w:tblPr>
        <w:tblW w:w="0" w:type="auto"/>
        <w:tblLayout w:type="fixed"/>
        <w:tblCellMar>
          <w:left w:w="62" w:type="dxa"/>
          <w:right w:w="62" w:type="dxa"/>
        </w:tblCellMar>
        <w:tblLook w:val="0000"/>
      </w:tblPr>
      <w:tblGrid>
        <w:gridCol w:w="1890"/>
        <w:gridCol w:w="6570"/>
      </w:tblGrid>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9.5)</w:t>
            </w:r>
          </w:p>
        </w:tc>
      </w:tr>
      <w:tr w:rsidTr="006576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There are</w:t>
            </w:r>
            <w:r w:rsidRPr="00F6765E">
              <w:t xml:space="preserve"> no concurrent assessment recommendations for this unit.</w:t>
            </w:r>
          </w:p>
          <w:p w:rsidR="00000000" w:rsidRPr="00F6765E" w:rsidP="00F6765E">
            <w:pPr>
              <w:pStyle w:val="BodyText"/>
            </w:pPr>
            <w:r w:rsidRPr="00F6765E">
              <w:t>The critical aspects of occupational health and safety covered in unit UEENEEE101A and other discipline specific occupational health and safety units shall be incorporated in relation to this unit.</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11" w:name="O_417370"/>
      <w:bookmarkEnd w:id="11"/>
      <w:r w:rsidRPr="00F6765E">
        <w:t>Range Statement</w:t>
      </w:r>
    </w:p>
    <w:tbl>
      <w:tblPr>
        <w:tblW w:w="0" w:type="auto"/>
        <w:tblLayout w:type="fixed"/>
        <w:tblCellMar>
          <w:left w:w="62" w:type="dxa"/>
          <w:right w:w="62" w:type="dxa"/>
        </w:tblCellMar>
        <w:tblLook w:val="0000"/>
      </w:tblPr>
      <w:tblGrid>
        <w:gridCol w:w="8460"/>
      </w:tblGrid>
      <w:tr w:rsidTr="006576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RANGE STATEMENT</w:t>
            </w:r>
          </w:p>
        </w:tc>
      </w:tr>
      <w:tr w:rsidTr="006576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10)</w:t>
            </w:r>
            <w:r w:rsidRPr="00F6765E">
              <w:t xml:space="preserve"> This relates to the unit as a whole providing the range of contexts and conditions to which </w:t>
            </w:r>
            <w:r w:rsidRPr="00F6765E">
              <w:t>the performance criteria apply. It allows for different work environments and situations that will affect performance.</w:t>
            </w:r>
          </w:p>
          <w:p w:rsidR="00000000" w:rsidRPr="00F6765E" w:rsidP="00F6765E">
            <w:pPr>
              <w:pStyle w:val="BodyText"/>
            </w:pPr>
            <w:r w:rsidRPr="00F6765E">
              <w:t>This unit shall be demonstrated in relation to:</w:t>
            </w:r>
          </w:p>
          <w:p w:rsidR="00000000" w:rsidRPr="00F6765E" w:rsidP="00F6765E">
            <w:pPr>
              <w:pStyle w:val="ListBullet"/>
            </w:pPr>
            <w:r w:rsidRPr="00F6765E">
              <w:t>Electronic and digital equipment problems as they apply to setting-up, fault finding, mai</w:t>
            </w:r>
            <w:r w:rsidRPr="00F6765E">
              <w:t>ntenance or development work functions in any of the following disciplines:</w:t>
            </w:r>
          </w:p>
          <w:p w:rsidR="00000000" w:rsidRPr="00F6765E" w:rsidP="00F6765E">
            <w:pPr>
              <w:pStyle w:val="ListBullet2"/>
            </w:pPr>
            <w:r w:rsidRPr="00F6765E">
              <w:t xml:space="preserve">Computers </w:t>
            </w:r>
          </w:p>
          <w:p w:rsidR="00000000" w:rsidRPr="00F6765E" w:rsidP="00F6765E">
            <w:pPr>
              <w:pStyle w:val="ListBullet2"/>
            </w:pPr>
            <w:r w:rsidRPr="00F6765E">
              <w:t>Data Communications</w:t>
            </w:r>
          </w:p>
          <w:p w:rsidR="00000000" w:rsidRPr="00F6765E" w:rsidP="00F6765E">
            <w:pPr>
              <w:pStyle w:val="ListBullet2"/>
            </w:pPr>
            <w:r w:rsidRPr="00F6765E">
              <w:t>Electronics, and</w:t>
            </w:r>
          </w:p>
          <w:p w:rsidR="00000000" w:rsidRPr="00F6765E" w:rsidP="00F6765E">
            <w:pPr>
              <w:pStyle w:val="ListBullet"/>
            </w:pPr>
            <w:r w:rsidRPr="00F6765E">
              <w:t>In relation to the following types of electronic and digital equipment problems</w:t>
            </w:r>
          </w:p>
          <w:p w:rsidR="00000000" w:rsidRPr="00F6765E" w:rsidP="00F6765E">
            <w:pPr>
              <w:pStyle w:val="ListBullet2"/>
            </w:pPr>
            <w:r w:rsidRPr="00F6765E">
              <w:t>Determining the operating parameters of existing o</w:t>
            </w:r>
            <w:r w:rsidRPr="00F6765E">
              <w:t xml:space="preserve">perating equipment </w:t>
            </w:r>
          </w:p>
          <w:p w:rsidR="00000000" w:rsidRPr="00F6765E" w:rsidP="00F6765E">
            <w:pPr>
              <w:pStyle w:val="ListBullet2"/>
            </w:pPr>
            <w:r w:rsidRPr="00F6765E">
              <w:t>Altering existing equipment to comply with specified operating parameters.</w:t>
            </w:r>
          </w:p>
          <w:p w:rsidR="00000000" w:rsidRPr="00F6765E" w:rsidP="00F6765E">
            <w:pPr>
              <w:pStyle w:val="BodyText"/>
            </w:pPr>
            <w:r w:rsidRPr="00F6765E">
              <w:t>Generic terms used throughout this Vocational Standard shall be regarded as part of the Range Statement in which competency is demonstrated. The definition of th</w:t>
            </w:r>
            <w:r w:rsidRPr="00F6765E">
              <w:t>ese and other terms that apply are given in Volume 2, Part 2.1.</w:t>
            </w:r>
          </w:p>
        </w:tc>
      </w:tr>
    </w:tbl>
    <w:p w:rsidR="00000000" w:rsidRPr="00F6765E" w:rsidP="00F6765E">
      <w:pPr>
        <w:pStyle w:val="BodyText"/>
      </w:pPr>
    </w:p>
    <w:p w:rsidR="00000000" w:rsidRPr="00F6765E" w:rsidP="00F6765E">
      <w:pPr>
        <w:pStyle w:val="AllowPageBreak"/>
      </w:pPr>
    </w:p>
    <w:p w:rsidR="00000000" w:rsidRPr="00F6765E" w:rsidP="00F6765E">
      <w:pPr>
        <w:pStyle w:val="Heading1"/>
      </w:pPr>
      <w:bookmarkStart w:id="12" w:name="O_417373"/>
      <w:bookmarkEnd w:id="12"/>
      <w:r w:rsidRPr="00F6765E">
        <w:t>Unit Sector(s)</w:t>
      </w:r>
    </w:p>
    <w:p w:rsidR="00000000" w:rsidRPr="00F6765E" w:rsidP="00F6765E">
      <w:pPr>
        <w:pStyle w:val="BodyText"/>
      </w:pPr>
      <w:r w:rsidRPr="00F6765E">
        <w:t>Not applicable.</w:t>
      </w:r>
    </w:p>
    <w:p w:rsidR="00000000" w:rsidRPr="00F6765E" w:rsidP="00F6765E">
      <w:pPr>
        <w:pStyle w:val="AllowPageBreak"/>
      </w:pPr>
    </w:p>
    <w:p w:rsidR="00000000" w:rsidRPr="00F6765E" w:rsidP="00F6765E">
      <w:pPr>
        <w:pStyle w:val="Heading1"/>
      </w:pPr>
      <w:bookmarkStart w:id="13" w:name="O_417362"/>
      <w:bookmarkEnd w:id="13"/>
      <w:r w:rsidRPr="00F6765E">
        <w:t>Competency Field</w:t>
      </w:r>
    </w:p>
    <w:tbl>
      <w:tblPr>
        <w:tblW w:w="0" w:type="auto"/>
        <w:tblLayout w:type="fixed"/>
        <w:tblCellMar>
          <w:left w:w="62" w:type="dxa"/>
          <w:right w:w="62" w:type="dxa"/>
        </w:tblCellMar>
        <w:tblLook w:val="0000"/>
      </w:tblPr>
      <w:tblGrid>
        <w:gridCol w:w="2700"/>
        <w:gridCol w:w="5760"/>
      </w:tblGrid>
      <w:tr w:rsidTr="006576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765E">
            <w:pPr>
              <w:pStyle w:val="BodyText"/>
              <w:rPr>
                <w:lang w:val="en-NZ"/>
              </w:rPr>
            </w:pPr>
            <w:r w:rsidRPr="00F6765E">
              <w:rPr>
                <w:rStyle w:val="SpecialBold"/>
              </w:rPr>
              <w:t xml:space="preserve">11) </w:t>
            </w:r>
          </w:p>
        </w:tc>
      </w:tr>
      <w:tr w:rsidTr="0065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765E" w:rsidP="00F6765E">
            <w:pPr>
              <w:pStyle w:val="BodyText"/>
            </w:pPr>
            <w:r w:rsidRPr="00F6765E">
              <w:t>Electrotechnology</w:t>
            </w:r>
          </w:p>
        </w:tc>
      </w:tr>
    </w:tbl>
    <w:p w:rsidR="00000000" w:rsidRPr="00F6765E" w:rsidP="00F6765E">
      <w:pPr>
        <w:pStyle w:val="BodyText"/>
      </w:pPr>
    </w:p>
    <w:p w:rsidR="00000000" w:rsidRPr="00F6765E" w:rsidP="00F6765E"/>
    <w:sectPr w:rsidSect="00F67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65D" w:rsidP="006576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5D" w:rsidP="00F676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5765D" w:rsidP="00F67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5765D" w:rsidP="00F67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5E" w:rsidRPr="0065765D" w:rsidP="006576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5D" w:rsidRPr="002D2AF8" w:rsidP="00F6765E">
    <w:pPr>
      <w:pStyle w:val="Header"/>
      <w:framePr w:wrap="around"/>
    </w:pPr>
    <w:r>
      <w:fldChar w:fldCharType="begin"/>
    </w:r>
    <w:r>
      <w:instrText xml:space="preserve"> TITLE   \* MERGEFORMAT </w:instrText>
    </w:r>
    <w:r>
      <w:fldChar w:fldCharType="separate"/>
    </w:r>
    <w:r>
      <w:t>UEENEEE123A Solve basic problems electronic and digital equipment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5765D" w:rsidP="00F67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6B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D0E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806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65E"/>
    <w:pPr>
      <w:spacing w:before="360" w:after="60"/>
      <w:outlineLvl w:val="0"/>
    </w:pPr>
    <w:rPr>
      <w:sz w:val="32"/>
    </w:rPr>
  </w:style>
  <w:style w:type="paragraph" w:styleId="Heading2">
    <w:name w:val="heading 2"/>
    <w:basedOn w:val="HeadingBase"/>
    <w:next w:val="BodyText"/>
    <w:link w:val="Heading2Char"/>
    <w:qFormat/>
    <w:rsid w:val="00F6765E"/>
    <w:pPr>
      <w:keepLines/>
      <w:spacing w:before="240" w:after="120"/>
      <w:outlineLvl w:val="1"/>
    </w:pPr>
    <w:rPr>
      <w:sz w:val="28"/>
      <w:szCs w:val="40"/>
    </w:rPr>
  </w:style>
  <w:style w:type="paragraph" w:styleId="Heading3">
    <w:name w:val="heading 3"/>
    <w:basedOn w:val="HeadingBase"/>
    <w:next w:val="BodyText"/>
    <w:link w:val="Heading3Char"/>
    <w:qFormat/>
    <w:rsid w:val="00F6765E"/>
    <w:pPr>
      <w:spacing w:before="180" w:after="120"/>
      <w:outlineLvl w:val="2"/>
    </w:pPr>
    <w:rPr>
      <w:spacing w:val="-10"/>
      <w:kern w:val="32"/>
    </w:rPr>
  </w:style>
  <w:style w:type="paragraph" w:styleId="Heading4">
    <w:name w:val="heading 4"/>
    <w:basedOn w:val="HeadingBase"/>
    <w:next w:val="BodyText"/>
    <w:link w:val="Heading4Char"/>
    <w:qFormat/>
    <w:rsid w:val="00F6765E"/>
    <w:pPr>
      <w:spacing w:before="160" w:after="120"/>
      <w:outlineLvl w:val="3"/>
    </w:pPr>
    <w:rPr>
      <w:sz w:val="22"/>
    </w:rPr>
  </w:style>
  <w:style w:type="paragraph" w:styleId="Heading5">
    <w:name w:val="heading 5"/>
    <w:basedOn w:val="HeadingBase"/>
    <w:next w:val="Normal"/>
    <w:link w:val="Heading5Char"/>
    <w:qFormat/>
    <w:rsid w:val="00F6765E"/>
    <w:pPr>
      <w:spacing w:before="80"/>
      <w:outlineLvl w:val="4"/>
    </w:pPr>
    <w:rPr>
      <w:color w:val="918585"/>
      <w:sz w:val="20"/>
    </w:rPr>
  </w:style>
  <w:style w:type="paragraph" w:styleId="Heading6">
    <w:name w:val="heading 6"/>
    <w:basedOn w:val="HeadingBase"/>
    <w:next w:val="Normal"/>
    <w:link w:val="Heading6Char"/>
    <w:qFormat/>
    <w:rsid w:val="00F6765E"/>
    <w:pPr>
      <w:spacing w:before="60"/>
      <w:outlineLvl w:val="5"/>
    </w:pPr>
    <w:rPr>
      <w:color w:val="918585"/>
      <w:sz w:val="20"/>
    </w:rPr>
  </w:style>
  <w:style w:type="paragraph" w:styleId="Heading7">
    <w:name w:val="heading 7"/>
    <w:basedOn w:val="Normal"/>
    <w:next w:val="Normal"/>
    <w:link w:val="Heading7Char"/>
    <w:qFormat/>
    <w:rsid w:val="00F6765E"/>
    <w:pPr>
      <w:ind w:left="720"/>
      <w:outlineLvl w:val="6"/>
    </w:pPr>
    <w:rPr>
      <w:i/>
    </w:rPr>
  </w:style>
  <w:style w:type="paragraph" w:styleId="Heading8">
    <w:name w:val="heading 8"/>
    <w:basedOn w:val="Normal"/>
    <w:next w:val="Normal"/>
    <w:link w:val="Heading8Char"/>
    <w:qFormat/>
    <w:rsid w:val="00F6765E"/>
    <w:pPr>
      <w:ind w:left="720"/>
      <w:outlineLvl w:val="7"/>
    </w:pPr>
    <w:rPr>
      <w:i/>
    </w:rPr>
  </w:style>
  <w:style w:type="paragraph" w:styleId="Heading9">
    <w:name w:val="heading 9"/>
    <w:basedOn w:val="Normal"/>
    <w:next w:val="Normal"/>
    <w:link w:val="Heading9Char"/>
    <w:qFormat/>
    <w:rsid w:val="00F6765E"/>
    <w:pPr>
      <w:ind w:left="720"/>
      <w:outlineLvl w:val="8"/>
    </w:pPr>
    <w:rPr>
      <w:i/>
    </w:rPr>
  </w:style>
  <w:style w:type="character" w:default="1" w:styleId="DefaultParagraphFont">
    <w:name w:val="Default Paragraph Font"/>
    <w:uiPriority w:val="1"/>
    <w:unhideWhenUsed/>
    <w:rsid w:val="00F67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65E"/>
  </w:style>
  <w:style w:type="character" w:customStyle="1" w:styleId="Heading1Char">
    <w:name w:val="Heading 1 Char"/>
    <w:basedOn w:val="DefaultParagraphFont"/>
    <w:link w:val="Heading1"/>
    <w:rsid w:val="00F6765E"/>
    <w:rPr>
      <w:rFonts w:ascii="Times New Roman" w:eastAsia="Times New Roman" w:hAnsi="Times New Roman" w:cs="Times New Roman"/>
      <w:b/>
      <w:sz w:val="32"/>
      <w:szCs w:val="20"/>
      <w:lang w:eastAsia="en-US"/>
    </w:rPr>
  </w:style>
  <w:style w:type="paragraph" w:styleId="BodyText">
    <w:name w:val="Body Text"/>
    <w:basedOn w:val="Normal"/>
    <w:link w:val="BodyTextChar"/>
    <w:rsid w:val="00F67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65E"/>
    <w:rPr>
      <w:rFonts w:ascii="Times New Roman" w:eastAsia="Times New Roman" w:hAnsi="Times New Roman" w:cs="Times New Roman"/>
      <w:sz w:val="24"/>
      <w:lang w:eastAsia="en-US"/>
    </w:rPr>
  </w:style>
  <w:style w:type="paragraph" w:styleId="Footer">
    <w:name w:val="footer"/>
    <w:basedOn w:val="Normal"/>
    <w:link w:val="FooterChar"/>
    <w:rsid w:val="00F67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65E"/>
    <w:rPr>
      <w:rFonts w:ascii="Times New Roman" w:eastAsia="Times New Roman" w:hAnsi="Times New Roman" w:cs="Times New Roman"/>
      <w:sz w:val="16"/>
      <w:lang w:eastAsia="en-US"/>
    </w:rPr>
  </w:style>
  <w:style w:type="paragraph" w:styleId="ListBullet">
    <w:name w:val="List Bullet"/>
    <w:basedOn w:val="List"/>
    <w:rsid w:val="00F6765E"/>
    <w:pPr>
      <w:numPr>
        <w:numId w:val="13"/>
      </w:numPr>
      <w:tabs>
        <w:tab w:val="clear" w:pos="340"/>
      </w:tabs>
      <w:spacing w:before="40" w:after="40"/>
    </w:pPr>
  </w:style>
  <w:style w:type="character" w:customStyle="1" w:styleId="SpecialBold">
    <w:name w:val="Special Bold"/>
    <w:basedOn w:val="DefaultParagraphFont"/>
    <w:rsid w:val="00F6765E"/>
    <w:rPr>
      <w:b/>
      <w:spacing w:val="0"/>
    </w:rPr>
  </w:style>
  <w:style w:type="paragraph" w:styleId="ListBullet2">
    <w:name w:val="List Bullet 2"/>
    <w:basedOn w:val="List2"/>
    <w:rsid w:val="00F6765E"/>
    <w:pPr>
      <w:numPr>
        <w:numId w:val="14"/>
      </w:numPr>
      <w:tabs>
        <w:tab w:val="clear" w:pos="680"/>
      </w:tabs>
    </w:pPr>
  </w:style>
  <w:style w:type="paragraph" w:customStyle="1" w:styleId="SuperHeading">
    <w:name w:val="SuperHeading"/>
    <w:basedOn w:val="Normal"/>
    <w:rsid w:val="00F6765E"/>
    <w:pPr>
      <w:spacing w:before="240" w:after="120"/>
      <w:outlineLvl w:val="0"/>
    </w:pPr>
    <w:rPr>
      <w:rFonts w:ascii="Times New Roman" w:hAnsi="Times New Roman"/>
      <w:b/>
      <w:sz w:val="28"/>
    </w:rPr>
  </w:style>
  <w:style w:type="paragraph" w:customStyle="1" w:styleId="AllowPageBreak">
    <w:name w:val="AllowPageBreak"/>
    <w:rsid w:val="00F67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65E"/>
    <w:rPr>
      <w:rFonts w:ascii="Courier New" w:eastAsia="Times New Roman" w:hAnsi="Courier New" w:cs="Times New Roman"/>
      <w:i/>
      <w:szCs w:val="20"/>
      <w:lang w:eastAsia="en-US"/>
    </w:rPr>
  </w:style>
  <w:style w:type="paragraph" w:customStyle="1" w:styleId="HeadingBase">
    <w:name w:val="Heading Base"/>
    <w:rsid w:val="00F67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65E"/>
    <w:pPr>
      <w:tabs>
        <w:tab w:val="right" w:leader="dot" w:pos="9072"/>
      </w:tabs>
      <w:ind w:left="567"/>
    </w:pPr>
    <w:rPr>
      <w:szCs w:val="22"/>
    </w:rPr>
  </w:style>
  <w:style w:type="paragraph" w:customStyle="1" w:styleId="TOCBase">
    <w:name w:val="TOC Base"/>
    <w:rsid w:val="00F67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65E"/>
    <w:pPr>
      <w:tabs>
        <w:tab w:val="right" w:leader="dot" w:pos="9072"/>
      </w:tabs>
      <w:spacing w:before="40" w:after="40"/>
      <w:ind w:left="284"/>
    </w:pPr>
    <w:rPr>
      <w:rFonts w:ascii="Times New Roman" w:hAnsi="Times New Roman"/>
    </w:rPr>
  </w:style>
  <w:style w:type="paragraph" w:styleId="TOC1">
    <w:name w:val="toc 1"/>
    <w:basedOn w:val="TOCBase"/>
    <w:next w:val="Normal"/>
    <w:rsid w:val="00F67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65E"/>
    <w:pPr>
      <w:spacing w:before="5040"/>
      <w:jc w:val="center"/>
    </w:pPr>
    <w:rPr>
      <w:sz w:val="48"/>
      <w:szCs w:val="72"/>
      <w:lang w:val="en-US"/>
    </w:rPr>
  </w:style>
  <w:style w:type="character" w:customStyle="1" w:styleId="TitleChar">
    <w:name w:val="Title Char"/>
    <w:basedOn w:val="DefaultParagraphFont"/>
    <w:link w:val="Title"/>
    <w:rsid w:val="00F67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65E"/>
    <w:pPr>
      <w:tabs>
        <w:tab w:val="left" w:pos="3600"/>
        <w:tab w:val="left" w:pos="3958"/>
      </w:tabs>
    </w:pPr>
  </w:style>
  <w:style w:type="paragraph" w:styleId="List">
    <w:name w:val="List"/>
    <w:basedOn w:val="BodyText"/>
    <w:next w:val="BodyText"/>
    <w:rsid w:val="00F6765E"/>
    <w:pPr>
      <w:tabs>
        <w:tab w:val="left" w:pos="340"/>
      </w:tabs>
      <w:spacing w:before="60" w:after="60"/>
      <w:ind w:left="340" w:hanging="340"/>
    </w:pPr>
  </w:style>
  <w:style w:type="paragraph" w:customStyle="1" w:styleId="Note">
    <w:name w:val="Note"/>
    <w:basedOn w:val="BodyText"/>
    <w:rsid w:val="00F67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65E"/>
    <w:pPr>
      <w:framePr w:wrap="auto" w:hAnchor="text" w:y="6049"/>
    </w:pPr>
    <w:rPr>
      <w:color w:val="000000"/>
      <w:sz w:val="40"/>
    </w:rPr>
  </w:style>
  <w:style w:type="paragraph" w:customStyle="1" w:styleId="TOCTitle">
    <w:name w:val="TOCTitle"/>
    <w:basedOn w:val="Heading1"/>
    <w:rsid w:val="00F6765E"/>
    <w:pPr>
      <w:spacing w:after="240"/>
      <w:jc w:val="center"/>
      <w:outlineLvl w:val="9"/>
    </w:pPr>
    <w:rPr>
      <w:caps/>
    </w:rPr>
  </w:style>
  <w:style w:type="paragraph" w:customStyle="1" w:styleId="Version">
    <w:name w:val="Version"/>
    <w:rsid w:val="00F67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65E"/>
    <w:pPr>
      <w:keepNext w:val="0"/>
      <w:tabs>
        <w:tab w:val="right" w:pos="4176"/>
      </w:tabs>
      <w:ind w:left="198" w:hanging="198"/>
    </w:pPr>
    <w:rPr>
      <w:rFonts w:ascii="Garamond" w:hAnsi="Garamond"/>
    </w:rPr>
  </w:style>
  <w:style w:type="paragraph" w:styleId="IndexHeading">
    <w:name w:val="index heading"/>
    <w:basedOn w:val="Normal"/>
    <w:next w:val="Index1"/>
    <w:semiHidden/>
    <w:rsid w:val="00F6765E"/>
    <w:pPr>
      <w:spacing w:before="120" w:after="120"/>
    </w:pPr>
    <w:rPr>
      <w:rFonts w:ascii="Arial" w:hAnsi="Arial"/>
      <w:b/>
      <w:color w:val="918585"/>
      <w:sz w:val="24"/>
    </w:rPr>
  </w:style>
  <w:style w:type="paragraph" w:styleId="Header">
    <w:name w:val="header"/>
    <w:basedOn w:val="Normal"/>
    <w:link w:val="HeaderChar"/>
    <w:rsid w:val="00F67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65E"/>
    <w:rPr>
      <w:rFonts w:ascii="Times New Roman" w:eastAsia="Times New Roman" w:hAnsi="Times New Roman" w:cs="Times New Roman"/>
      <w:sz w:val="16"/>
      <w:szCs w:val="20"/>
      <w:lang w:val="en-GB" w:eastAsia="en-US"/>
    </w:rPr>
  </w:style>
  <w:style w:type="paragraph" w:customStyle="1" w:styleId="Chapter">
    <w:name w:val="Chapter"/>
    <w:basedOn w:val="Normal"/>
    <w:rsid w:val="00F6765E"/>
    <w:pPr>
      <w:spacing w:before="240"/>
    </w:pPr>
    <w:rPr>
      <w:rFonts w:ascii="Times New Roman" w:hAnsi="Times New Roman"/>
      <w:smallCaps/>
      <w:spacing w:val="80"/>
      <w:sz w:val="28"/>
    </w:rPr>
  </w:style>
  <w:style w:type="paragraph" w:customStyle="1" w:styleId="InChapter">
    <w:name w:val="InChapter"/>
    <w:basedOn w:val="Heading3"/>
    <w:rsid w:val="00F6765E"/>
    <w:pPr>
      <w:spacing w:after="240"/>
      <w:outlineLvl w:val="9"/>
    </w:pPr>
    <w:rPr>
      <w:noProof/>
    </w:rPr>
  </w:style>
  <w:style w:type="paragraph" w:styleId="Index2">
    <w:name w:val="index 2"/>
    <w:basedOn w:val="Normal"/>
    <w:next w:val="Normal"/>
    <w:semiHidden/>
    <w:rsid w:val="00F6765E"/>
    <w:pPr>
      <w:tabs>
        <w:tab w:val="right" w:pos="4176"/>
      </w:tabs>
      <w:ind w:left="568" w:hanging="284"/>
    </w:pPr>
    <w:rPr>
      <w:rFonts w:ascii="Garamond" w:hAnsi="Garamond"/>
    </w:rPr>
  </w:style>
  <w:style w:type="paragraph" w:customStyle="1" w:styleId="Byline">
    <w:name w:val="Byline"/>
    <w:rsid w:val="00F67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65E"/>
    <w:pPr>
      <w:tabs>
        <w:tab w:val="clear" w:pos="3600"/>
        <w:tab w:val="clear" w:pos="3958"/>
      </w:tabs>
      <w:jc w:val="right"/>
    </w:pPr>
  </w:style>
  <w:style w:type="character" w:styleId="Emphasis">
    <w:name w:val="Emphasis"/>
    <w:basedOn w:val="DefaultParagraphFont"/>
    <w:qFormat/>
    <w:rsid w:val="00F6765E"/>
    <w:rPr>
      <w:i/>
    </w:rPr>
  </w:style>
  <w:style w:type="paragraph" w:styleId="Caption">
    <w:name w:val="caption"/>
    <w:basedOn w:val="BodyText"/>
    <w:next w:val="Normal"/>
    <w:qFormat/>
    <w:rsid w:val="00F6765E"/>
    <w:pPr>
      <w:framePr w:w="2268" w:hSpace="181" w:vSpace="181" w:wrap="around" w:vAnchor="text" w:hAnchor="page" w:x="1135" w:y="285" w:anchorLock="1"/>
    </w:pPr>
    <w:rPr>
      <w:i/>
    </w:rPr>
  </w:style>
  <w:style w:type="paragraph" w:customStyle="1" w:styleId="MiniTOCTitle">
    <w:name w:val="MiniTOCTitle"/>
    <w:basedOn w:val="Heading4"/>
    <w:rsid w:val="00F6765E"/>
    <w:pPr>
      <w:spacing w:before="240"/>
      <w:outlineLvl w:val="9"/>
    </w:pPr>
    <w:rPr>
      <w:noProof/>
      <w:sz w:val="24"/>
    </w:rPr>
  </w:style>
  <w:style w:type="paragraph" w:customStyle="1" w:styleId="MiniTOCItem">
    <w:name w:val="MiniTOCItem"/>
    <w:basedOn w:val="ListBullet"/>
    <w:rsid w:val="00F6765E"/>
    <w:pPr>
      <w:numPr>
        <w:numId w:val="0"/>
      </w:numPr>
      <w:tabs>
        <w:tab w:val="right" w:leader="dot" w:pos="6521"/>
      </w:tabs>
      <w:spacing w:before="0" w:after="0"/>
    </w:pPr>
  </w:style>
  <w:style w:type="paragraph" w:customStyle="1" w:styleId="TOFTitle">
    <w:name w:val="TOFTitle"/>
    <w:basedOn w:val="TOCTitle"/>
    <w:rsid w:val="00F6765E"/>
  </w:style>
  <w:style w:type="paragraph" w:styleId="TableofFigures">
    <w:name w:val="table of figures"/>
    <w:basedOn w:val="Normal"/>
    <w:next w:val="Normal"/>
    <w:semiHidden/>
    <w:rsid w:val="00F6765E"/>
    <w:pPr>
      <w:tabs>
        <w:tab w:val="right" w:leader="dot" w:pos="9072"/>
      </w:tabs>
      <w:ind w:left="970" w:hanging="403"/>
    </w:pPr>
    <w:rPr>
      <w:rFonts w:ascii="Times New Roman" w:hAnsi="Times New Roman"/>
      <w:b/>
    </w:rPr>
  </w:style>
  <w:style w:type="paragraph" w:styleId="ListNumber">
    <w:name w:val="List Number"/>
    <w:basedOn w:val="List"/>
    <w:rsid w:val="00F6765E"/>
    <w:pPr>
      <w:numPr>
        <w:numId w:val="11"/>
      </w:numPr>
    </w:pPr>
  </w:style>
  <w:style w:type="character" w:customStyle="1" w:styleId="WingdingSymbols">
    <w:name w:val="Wingding Symbols"/>
    <w:rsid w:val="00F6765E"/>
    <w:rPr>
      <w:rFonts w:ascii="Wingdings" w:hAnsi="Wingdings"/>
    </w:rPr>
  </w:style>
  <w:style w:type="paragraph" w:customStyle="1" w:styleId="TableHeading">
    <w:name w:val="Table Heading"/>
    <w:basedOn w:val="HeadingBase"/>
    <w:rsid w:val="00F6765E"/>
    <w:pPr>
      <w:keepLines/>
      <w:pBdr>
        <w:bottom w:val="single" w:sz="6" w:space="1" w:color="918585"/>
      </w:pBdr>
      <w:spacing w:before="240"/>
    </w:pPr>
  </w:style>
  <w:style w:type="character" w:customStyle="1" w:styleId="HotSpot">
    <w:name w:val="HotSpot"/>
    <w:rsid w:val="00F6765E"/>
    <w:rPr>
      <w:color w:val="0033CC"/>
      <w:u w:val="none"/>
    </w:rPr>
  </w:style>
  <w:style w:type="paragraph" w:customStyle="1" w:styleId="BodyTextRight">
    <w:name w:val="Body Text Right"/>
    <w:basedOn w:val="BodyText"/>
    <w:rsid w:val="00F6765E"/>
    <w:pPr>
      <w:spacing w:before="0" w:after="0"/>
      <w:jc w:val="right"/>
    </w:pPr>
  </w:style>
  <w:style w:type="paragraph" w:styleId="Index3">
    <w:name w:val="index 3"/>
    <w:basedOn w:val="ListNumber2"/>
    <w:next w:val="Normal"/>
    <w:semiHidden/>
    <w:rsid w:val="00F6765E"/>
    <w:pPr>
      <w:numPr>
        <w:numId w:val="0"/>
      </w:numPr>
      <w:tabs>
        <w:tab w:val="right" w:leader="dot" w:pos="4176"/>
      </w:tabs>
    </w:pPr>
  </w:style>
  <w:style w:type="paragraph" w:styleId="ListNumber2">
    <w:name w:val="List Number 2"/>
    <w:basedOn w:val="List2"/>
    <w:rsid w:val="00F6765E"/>
    <w:pPr>
      <w:numPr>
        <w:numId w:val="10"/>
      </w:numPr>
      <w:tabs>
        <w:tab w:val="clear" w:pos="1060"/>
      </w:tabs>
    </w:pPr>
  </w:style>
  <w:style w:type="paragraph" w:customStyle="1" w:styleId="MarginNote">
    <w:name w:val="Margin Note"/>
    <w:basedOn w:val="BodyText"/>
    <w:rsid w:val="00F67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65E"/>
    <w:rPr>
      <w:sz w:val="32"/>
    </w:rPr>
  </w:style>
  <w:style w:type="paragraph" w:customStyle="1" w:styleId="HeadingProcedure">
    <w:name w:val="Heading Procedure"/>
    <w:basedOn w:val="HeadingBase"/>
    <w:next w:val="Normal"/>
    <w:rsid w:val="00F6765E"/>
    <w:pPr>
      <w:tabs>
        <w:tab w:val="left" w:pos="0"/>
      </w:tabs>
      <w:spacing w:before="120" w:after="60"/>
    </w:pPr>
    <w:rPr>
      <w:i/>
      <w:color w:val="918585"/>
      <w:sz w:val="22"/>
    </w:rPr>
  </w:style>
  <w:style w:type="paragraph" w:customStyle="1" w:styleId="TableBodyText">
    <w:name w:val="Table Body Text"/>
    <w:basedOn w:val="BodyText"/>
    <w:rsid w:val="00F6765E"/>
    <w:pPr>
      <w:spacing w:before="60" w:after="60"/>
    </w:pPr>
  </w:style>
  <w:style w:type="paragraph" w:styleId="ListContinue">
    <w:name w:val="List Continue"/>
    <w:basedOn w:val="List"/>
    <w:rsid w:val="00F6765E"/>
    <w:pPr>
      <w:ind w:firstLine="0"/>
    </w:pPr>
  </w:style>
  <w:style w:type="paragraph" w:customStyle="1" w:styleId="ListNote">
    <w:name w:val="List Note"/>
    <w:basedOn w:val="List"/>
    <w:rsid w:val="00F6765E"/>
    <w:pPr>
      <w:pBdr>
        <w:top w:val="single" w:sz="6" w:space="2" w:color="918585"/>
        <w:bottom w:val="single" w:sz="6" w:space="2" w:color="918585"/>
      </w:pBdr>
      <w:tabs>
        <w:tab w:val="left" w:pos="1021"/>
      </w:tabs>
      <w:ind w:firstLine="0"/>
    </w:pPr>
  </w:style>
  <w:style w:type="paragraph" w:customStyle="1" w:styleId="Warning">
    <w:name w:val="Warning"/>
    <w:basedOn w:val="BodyText"/>
    <w:rsid w:val="00F6765E"/>
    <w:pPr>
      <w:shd w:val="clear" w:color="auto" w:fill="D9D9D9"/>
      <w:tabs>
        <w:tab w:val="left" w:pos="992"/>
      </w:tabs>
      <w:ind w:left="119" w:right="119"/>
    </w:pPr>
    <w:rPr>
      <w:sz w:val="20"/>
    </w:rPr>
  </w:style>
  <w:style w:type="paragraph" w:customStyle="1" w:styleId="MarginIcons">
    <w:name w:val="Margin Icons"/>
    <w:basedOn w:val="BodyText"/>
    <w:rsid w:val="00F67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65E"/>
    <w:rPr>
      <w:rFonts w:ascii="Courier New" w:hAnsi="Courier New"/>
    </w:rPr>
  </w:style>
  <w:style w:type="paragraph" w:customStyle="1" w:styleId="NoteBullet">
    <w:name w:val="Note Bullet"/>
    <w:basedOn w:val="Note"/>
    <w:rsid w:val="00F6765E"/>
    <w:pPr>
      <w:tabs>
        <w:tab w:val="clear" w:pos="680"/>
      </w:tabs>
      <w:spacing w:before="60" w:after="60"/>
    </w:pPr>
  </w:style>
  <w:style w:type="paragraph" w:customStyle="1" w:styleId="SubHeading2">
    <w:name w:val="SubHeading2"/>
    <w:basedOn w:val="HeadingBase"/>
    <w:rsid w:val="00F6765E"/>
    <w:pPr>
      <w:spacing w:before="240" w:after="60"/>
    </w:pPr>
    <w:rPr>
      <w:sz w:val="20"/>
    </w:rPr>
  </w:style>
  <w:style w:type="paragraph" w:customStyle="1" w:styleId="SubHeading1">
    <w:name w:val="SubHeading1"/>
    <w:basedOn w:val="HeadingBase"/>
    <w:rsid w:val="00F6765E"/>
    <w:pPr>
      <w:spacing w:before="240" w:after="60"/>
    </w:pPr>
    <w:rPr>
      <w:color w:val="918585"/>
      <w:sz w:val="22"/>
    </w:rPr>
  </w:style>
  <w:style w:type="paragraph" w:customStyle="1" w:styleId="SideHeading">
    <w:name w:val="Side Heading"/>
    <w:basedOn w:val="HeadingBase"/>
    <w:rsid w:val="00F67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65E"/>
    <w:pPr>
      <w:numPr>
        <w:numId w:val="12"/>
      </w:numPr>
    </w:pPr>
  </w:style>
  <w:style w:type="paragraph" w:styleId="PlainText">
    <w:name w:val="Plain Text"/>
    <w:basedOn w:val="Normal"/>
    <w:link w:val="PlainTextChar"/>
    <w:rsid w:val="00F6765E"/>
    <w:rPr>
      <w:sz w:val="20"/>
    </w:rPr>
  </w:style>
  <w:style w:type="character" w:customStyle="1" w:styleId="PlainTextChar">
    <w:name w:val="Plain Text Char"/>
    <w:basedOn w:val="DefaultParagraphFont"/>
    <w:link w:val="PlainText"/>
    <w:rsid w:val="00F6765E"/>
    <w:rPr>
      <w:rFonts w:ascii="Courier New" w:eastAsia="Times New Roman" w:hAnsi="Courier New" w:cs="Times New Roman"/>
      <w:sz w:val="20"/>
      <w:szCs w:val="20"/>
      <w:lang w:eastAsia="en-US"/>
    </w:rPr>
  </w:style>
  <w:style w:type="character" w:customStyle="1" w:styleId="MenuOption">
    <w:name w:val="Menu Option"/>
    <w:basedOn w:val="DefaultParagraphFont"/>
    <w:rsid w:val="00F6765E"/>
    <w:rPr>
      <w:b/>
      <w:smallCaps/>
    </w:rPr>
  </w:style>
  <w:style w:type="paragraph" w:customStyle="1" w:styleId="TableListNumber">
    <w:name w:val="Table List Number"/>
    <w:basedOn w:val="ListNumber"/>
    <w:rsid w:val="00F6765E"/>
    <w:pPr>
      <w:numPr>
        <w:numId w:val="0"/>
      </w:numPr>
    </w:pPr>
  </w:style>
  <w:style w:type="paragraph" w:styleId="TOC4">
    <w:name w:val="toc 4"/>
    <w:basedOn w:val="TOCBase"/>
    <w:next w:val="Normal"/>
    <w:semiHidden/>
    <w:rsid w:val="00F6765E"/>
    <w:pPr>
      <w:tabs>
        <w:tab w:val="right" w:leader="dot" w:pos="9071"/>
      </w:tabs>
      <w:ind w:left="1701"/>
    </w:pPr>
  </w:style>
  <w:style w:type="paragraph" w:customStyle="1" w:styleId="ListAlpha">
    <w:name w:val="List Alpha"/>
    <w:basedOn w:val="List"/>
    <w:rsid w:val="00F6765E"/>
    <w:pPr>
      <w:numPr>
        <w:numId w:val="9"/>
      </w:numPr>
    </w:pPr>
  </w:style>
  <w:style w:type="paragraph" w:customStyle="1" w:styleId="ListAlpha2">
    <w:name w:val="List Alpha 2"/>
    <w:basedOn w:val="List2"/>
    <w:rsid w:val="00F6765E"/>
    <w:pPr>
      <w:numPr>
        <w:numId w:val="8"/>
      </w:numPr>
    </w:pPr>
  </w:style>
  <w:style w:type="paragraph" w:styleId="List2">
    <w:name w:val="List 2"/>
    <w:basedOn w:val="BodyText"/>
    <w:rsid w:val="00F6765E"/>
    <w:pPr>
      <w:tabs>
        <w:tab w:val="left" w:pos="680"/>
      </w:tabs>
      <w:spacing w:before="60" w:after="60"/>
      <w:ind w:left="680" w:hanging="340"/>
    </w:pPr>
  </w:style>
  <w:style w:type="paragraph" w:styleId="List3">
    <w:name w:val="List 3"/>
    <w:basedOn w:val="BodyText"/>
    <w:rsid w:val="00F6765E"/>
    <w:pPr>
      <w:tabs>
        <w:tab w:val="left" w:pos="1021"/>
      </w:tabs>
      <w:spacing w:before="60" w:after="60"/>
      <w:ind w:left="1020" w:hanging="340"/>
    </w:pPr>
  </w:style>
  <w:style w:type="paragraph" w:styleId="List4">
    <w:name w:val="List 4"/>
    <w:basedOn w:val="BodyText"/>
    <w:rsid w:val="00F6765E"/>
    <w:pPr>
      <w:tabs>
        <w:tab w:val="left" w:pos="1361"/>
      </w:tabs>
      <w:spacing w:before="60" w:after="60"/>
      <w:ind w:left="1361" w:hanging="340"/>
    </w:pPr>
  </w:style>
  <w:style w:type="paragraph" w:styleId="List5">
    <w:name w:val="List 5"/>
    <w:basedOn w:val="BodyText"/>
    <w:rsid w:val="00F6765E"/>
    <w:pPr>
      <w:tabs>
        <w:tab w:val="left" w:pos="1701"/>
      </w:tabs>
      <w:spacing w:before="60" w:after="60"/>
      <w:ind w:left="1701" w:hanging="340"/>
    </w:pPr>
  </w:style>
  <w:style w:type="paragraph" w:styleId="ListBullet3">
    <w:name w:val="List Bullet 3"/>
    <w:basedOn w:val="List3"/>
    <w:rsid w:val="00F6765E"/>
    <w:pPr>
      <w:numPr>
        <w:numId w:val="15"/>
      </w:numPr>
      <w:tabs>
        <w:tab w:val="clear" w:pos="1021"/>
      </w:tabs>
      <w:ind w:left="1037" w:hanging="357"/>
    </w:pPr>
  </w:style>
  <w:style w:type="paragraph" w:styleId="ListBullet4">
    <w:name w:val="List Bullet 4"/>
    <w:basedOn w:val="List4"/>
    <w:rsid w:val="00F6765E"/>
    <w:pPr>
      <w:numPr>
        <w:numId w:val="3"/>
      </w:numPr>
    </w:pPr>
  </w:style>
  <w:style w:type="paragraph" w:styleId="ListBullet5">
    <w:name w:val="List Bullet 5"/>
    <w:basedOn w:val="List5"/>
    <w:rsid w:val="00F6765E"/>
    <w:pPr>
      <w:numPr>
        <w:numId w:val="4"/>
      </w:numPr>
    </w:pPr>
  </w:style>
  <w:style w:type="paragraph" w:styleId="ListContinue2">
    <w:name w:val="List Continue 2"/>
    <w:basedOn w:val="List2"/>
    <w:rsid w:val="00F6765E"/>
    <w:pPr>
      <w:ind w:firstLine="0"/>
    </w:pPr>
  </w:style>
  <w:style w:type="paragraph" w:styleId="ListContinue3">
    <w:name w:val="List Continue 3"/>
    <w:basedOn w:val="List3"/>
    <w:rsid w:val="00F6765E"/>
    <w:pPr>
      <w:ind w:left="1021" w:firstLine="0"/>
    </w:pPr>
  </w:style>
  <w:style w:type="paragraph" w:styleId="ListContinue4">
    <w:name w:val="List Continue 4"/>
    <w:basedOn w:val="List4"/>
    <w:rsid w:val="00F6765E"/>
    <w:pPr>
      <w:ind w:firstLine="0"/>
    </w:pPr>
  </w:style>
  <w:style w:type="paragraph" w:styleId="ListContinue5">
    <w:name w:val="List Continue 5"/>
    <w:basedOn w:val="List5"/>
    <w:rsid w:val="00F6765E"/>
    <w:pPr>
      <w:ind w:firstLine="0"/>
    </w:pPr>
  </w:style>
  <w:style w:type="paragraph" w:styleId="ListNumber3">
    <w:name w:val="List Number 3"/>
    <w:basedOn w:val="List3"/>
    <w:rsid w:val="00F6765E"/>
    <w:pPr>
      <w:numPr>
        <w:numId w:val="5"/>
      </w:numPr>
    </w:pPr>
  </w:style>
  <w:style w:type="paragraph" w:styleId="ListNumber4">
    <w:name w:val="List Number 4"/>
    <w:basedOn w:val="List4"/>
    <w:rsid w:val="00F6765E"/>
    <w:pPr>
      <w:numPr>
        <w:numId w:val="6"/>
      </w:numPr>
    </w:pPr>
  </w:style>
  <w:style w:type="paragraph" w:styleId="ListNumber5">
    <w:name w:val="List Number 5"/>
    <w:basedOn w:val="List5"/>
    <w:rsid w:val="00F6765E"/>
    <w:pPr>
      <w:numPr>
        <w:numId w:val="7"/>
      </w:numPr>
    </w:pPr>
  </w:style>
  <w:style w:type="paragraph" w:styleId="BlockText">
    <w:name w:val="Block Text"/>
    <w:basedOn w:val="Normal"/>
    <w:rsid w:val="00F6765E"/>
    <w:pPr>
      <w:spacing w:after="120"/>
      <w:ind w:left="1440" w:right="1440"/>
    </w:pPr>
  </w:style>
  <w:style w:type="character" w:customStyle="1" w:styleId="Subscript">
    <w:name w:val="Subscript"/>
    <w:basedOn w:val="DefaultParagraphFont"/>
    <w:rsid w:val="00F6765E"/>
    <w:rPr>
      <w:sz w:val="16"/>
      <w:vertAlign w:val="subscript"/>
    </w:rPr>
  </w:style>
  <w:style w:type="character" w:customStyle="1" w:styleId="Superscript">
    <w:name w:val="Superscript"/>
    <w:basedOn w:val="DefaultParagraphFont"/>
    <w:rsid w:val="00F6765E"/>
    <w:rPr>
      <w:sz w:val="16"/>
      <w:vertAlign w:val="superscript"/>
    </w:rPr>
  </w:style>
  <w:style w:type="character" w:customStyle="1" w:styleId="Symbols">
    <w:name w:val="Symbols"/>
    <w:basedOn w:val="DefaultParagraphFont"/>
    <w:rsid w:val="00F6765E"/>
    <w:rPr>
      <w:rFonts w:ascii="Symbol" w:hAnsi="Symbol"/>
    </w:rPr>
  </w:style>
  <w:style w:type="character" w:customStyle="1" w:styleId="MenuOptions">
    <w:name w:val="Menu Options"/>
    <w:basedOn w:val="DefaultParagraphFont"/>
    <w:rsid w:val="00F6765E"/>
    <w:rPr>
      <w:rFonts w:ascii="Arial Narrow" w:hAnsi="Arial Narrow"/>
      <w:smallCaps/>
    </w:rPr>
  </w:style>
  <w:style w:type="character" w:customStyle="1" w:styleId="Buttons">
    <w:name w:val="Buttons"/>
    <w:basedOn w:val="DefaultParagraphFont"/>
    <w:rsid w:val="00F6765E"/>
    <w:rPr>
      <w:b/>
    </w:rPr>
  </w:style>
  <w:style w:type="character" w:customStyle="1" w:styleId="Underlined">
    <w:name w:val="Underlined"/>
    <w:basedOn w:val="DefaultParagraphFont"/>
    <w:rsid w:val="00F6765E"/>
    <w:rPr>
      <w:u w:val="single"/>
    </w:rPr>
  </w:style>
  <w:style w:type="paragraph" w:customStyle="1" w:styleId="TableBodyTextRight">
    <w:name w:val="Table Body Text Right"/>
    <w:basedOn w:val="TableBodyText"/>
    <w:rsid w:val="00F6765E"/>
    <w:pPr>
      <w:widowControl w:val="0"/>
      <w:autoSpaceDE w:val="0"/>
      <w:autoSpaceDN w:val="0"/>
      <w:adjustRightInd w:val="0"/>
      <w:jc w:val="right"/>
    </w:pPr>
    <w:rPr>
      <w:rFonts w:cs="Arial"/>
      <w:szCs w:val="18"/>
    </w:rPr>
  </w:style>
  <w:style w:type="paragraph" w:customStyle="1" w:styleId="CopyrightText">
    <w:name w:val="Copyright Text"/>
    <w:basedOn w:val="BodyText"/>
    <w:rsid w:val="00F6765E"/>
    <w:rPr>
      <w:sz w:val="18"/>
    </w:rPr>
  </w:style>
  <w:style w:type="paragraph" w:customStyle="1" w:styleId="BodySmallRight">
    <w:name w:val="Body Small Right"/>
    <w:basedOn w:val="BodyTextRight"/>
    <w:rsid w:val="00F6765E"/>
    <w:rPr>
      <w:sz w:val="18"/>
      <w:szCs w:val="18"/>
    </w:rPr>
  </w:style>
  <w:style w:type="paragraph" w:customStyle="1" w:styleId="MarginEdition">
    <w:name w:val="Margin Edition"/>
    <w:basedOn w:val="MarginNote"/>
    <w:rsid w:val="00F6765E"/>
    <w:pPr>
      <w:spacing w:before="0" w:after="0"/>
    </w:pPr>
    <w:rPr>
      <w:rFonts w:ascii="Times New Roman" w:hAnsi="Times New Roman"/>
      <w:color w:val="999999"/>
    </w:rPr>
  </w:style>
  <w:style w:type="paragraph" w:customStyle="1" w:styleId="Spacer">
    <w:name w:val="Spacer"/>
    <w:basedOn w:val="Normal"/>
    <w:rsid w:val="00F6765E"/>
    <w:rPr>
      <w:sz w:val="2"/>
      <w:szCs w:val="2"/>
    </w:rPr>
  </w:style>
  <w:style w:type="character" w:customStyle="1" w:styleId="Small">
    <w:name w:val="Small"/>
    <w:basedOn w:val="DefaultParagraphFont"/>
    <w:rsid w:val="00F6765E"/>
    <w:rPr>
      <w:sz w:val="16"/>
    </w:rPr>
  </w:style>
  <w:style w:type="paragraph" w:customStyle="1" w:styleId="WideTable">
    <w:name w:val="Wide Table"/>
    <w:basedOn w:val="Normal"/>
    <w:rsid w:val="00F6765E"/>
    <w:pPr>
      <w:ind w:left="-1418"/>
    </w:pPr>
    <w:rPr>
      <w:sz w:val="2"/>
      <w:szCs w:val="2"/>
    </w:rPr>
  </w:style>
  <w:style w:type="character" w:styleId="PageNumber">
    <w:name w:val="page number"/>
    <w:basedOn w:val="DefaultParagraphFont"/>
    <w:rsid w:val="00F6765E"/>
  </w:style>
  <w:style w:type="paragraph" w:styleId="Quote">
    <w:name w:val="Quote"/>
    <w:basedOn w:val="Heading1"/>
    <w:link w:val="QuoteChar"/>
    <w:qFormat/>
    <w:rsid w:val="00F6765E"/>
    <w:rPr>
      <w:b w:val="0"/>
      <w:sz w:val="72"/>
      <w:szCs w:val="72"/>
      <w:lang w:val="en-NZ"/>
    </w:rPr>
  </w:style>
  <w:style w:type="character" w:customStyle="1" w:styleId="QuoteChar">
    <w:name w:val="Quote Char"/>
    <w:basedOn w:val="DefaultParagraphFont"/>
    <w:link w:val="Quote"/>
    <w:rsid w:val="00F67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65E"/>
    <w:pPr>
      <w:pageBreakBefore/>
    </w:pPr>
  </w:style>
  <w:style w:type="paragraph" w:customStyle="1" w:styleId="Border">
    <w:name w:val="Border"/>
    <w:basedOn w:val="Normal"/>
    <w:qFormat/>
    <w:rsid w:val="00F67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65E"/>
    <w:rPr>
      <w:b/>
      <w:bCs/>
      <w:i/>
      <w:iCs/>
      <w:color w:val="auto"/>
    </w:rPr>
  </w:style>
  <w:style w:type="paragraph" w:styleId="IntenseQuote">
    <w:name w:val="Intense Quote"/>
    <w:basedOn w:val="Normal"/>
    <w:next w:val="Normal"/>
    <w:link w:val="IntenseQuoteChar"/>
    <w:uiPriority w:val="30"/>
    <w:qFormat/>
    <w:rsid w:val="00F67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65E"/>
    <w:rPr>
      <w:smallCaps/>
      <w:color w:val="auto"/>
      <w:u w:val="single"/>
    </w:rPr>
  </w:style>
  <w:style w:type="character" w:styleId="IntenseReference">
    <w:name w:val="Intense Reference"/>
    <w:basedOn w:val="DefaultParagraphFont"/>
    <w:uiPriority w:val="32"/>
    <w:qFormat/>
    <w:rsid w:val="00F6765E"/>
    <w:rPr>
      <w:b/>
      <w:bCs/>
      <w:smallCaps/>
      <w:color w:val="auto"/>
      <w:spacing w:val="5"/>
      <w:u w:val="single"/>
    </w:rPr>
  </w:style>
  <w:style w:type="paragraph" w:customStyle="1" w:styleId="2ColumnHeading">
    <w:name w:val="2Column Heading"/>
    <w:basedOn w:val="BodyText"/>
    <w:qFormat/>
    <w:rsid w:val="00F6765E"/>
    <w:pPr>
      <w:spacing w:after="60"/>
      <w:ind w:left="-2268"/>
    </w:pPr>
    <w:rPr>
      <w:b/>
    </w:rPr>
  </w:style>
  <w:style w:type="paragraph" w:customStyle="1" w:styleId="Heading1TOC">
    <w:name w:val="Heading1 TOC"/>
    <w:basedOn w:val="Normal"/>
    <w:qFormat/>
    <w:rsid w:val="00F6765E"/>
    <w:pPr>
      <w:spacing w:before="240" w:after="120"/>
    </w:pPr>
    <w:rPr>
      <w:rFonts w:ascii="Times New Roman" w:hAnsi="Times New Roman"/>
      <w:b/>
      <w:sz w:val="32"/>
    </w:rPr>
  </w:style>
  <w:style w:type="paragraph" w:customStyle="1" w:styleId="Heading2TOC">
    <w:name w:val="Heading2 TOC"/>
    <w:basedOn w:val="Normal"/>
    <w:qFormat/>
    <w:rsid w:val="00F6765E"/>
    <w:pPr>
      <w:spacing w:before="240" w:after="60"/>
    </w:pPr>
    <w:rPr>
      <w:rFonts w:ascii="Times New Roman" w:hAnsi="Times New Roman"/>
      <w:b/>
      <w:sz w:val="28"/>
    </w:rPr>
  </w:style>
  <w:style w:type="character" w:customStyle="1" w:styleId="Underline">
    <w:name w:val="Underline"/>
    <w:basedOn w:val="DefaultParagraphFont"/>
    <w:qFormat/>
    <w:rsid w:val="00F6765E"/>
    <w:rPr>
      <w:u w:val="single"/>
    </w:rPr>
  </w:style>
  <w:style w:type="character" w:customStyle="1" w:styleId="BoldandItalics">
    <w:name w:val="Bold and Italics"/>
    <w:qFormat/>
    <w:rsid w:val="00F6765E"/>
    <w:rPr>
      <w:b/>
      <w:i/>
      <w:u w:val="none"/>
    </w:rPr>
  </w:style>
  <w:style w:type="paragraph" w:styleId="BalloonText">
    <w:name w:val="Balloon Text"/>
    <w:basedOn w:val="Normal"/>
    <w:link w:val="BalloonTextChar"/>
    <w:rsid w:val="00F6765E"/>
    <w:rPr>
      <w:rFonts w:ascii="Tahoma" w:hAnsi="Tahoma" w:cs="Tahoma"/>
      <w:sz w:val="16"/>
      <w:szCs w:val="16"/>
    </w:rPr>
  </w:style>
  <w:style w:type="character" w:customStyle="1" w:styleId="BalloonTextChar">
    <w:name w:val="Balloon Text Char"/>
    <w:basedOn w:val="DefaultParagraphFont"/>
    <w:link w:val="BalloonText"/>
    <w:rsid w:val="00F67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65E"/>
    <w:rPr>
      <w:b/>
      <w:color w:val="660033"/>
      <w:spacing w:val="0"/>
    </w:rPr>
  </w:style>
  <w:style w:type="paragraph" w:customStyle="1" w:styleId="Nameditemlist">
    <w:name w:val="Named item list"/>
    <w:basedOn w:val="BodyText"/>
    <w:qFormat/>
    <w:rsid w:val="00F67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2003</Words>
  <Characters>12074</Characters>
  <Application>Microsoft Office Word</Application>
  <DocSecurity>0</DocSecurity>
  <Lines>474</Lines>
  <Paragraphs>223</Paragraphs>
  <ScaleCrop>false</ScaleCrop>
  <Company>Author-it Software Corporation Ltd.</Company>
  <LinksUpToDate>false</LinksUpToDate>
  <CharactersWithSpaces>13950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UEENEEE123A Solve basic problems electronic and digital equipment and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2012-10-11T20:02:00Z</dcterms:created>
  <dcterms:modified xsi:type="dcterms:W3CDTF">2012-10-11T20:02:00Z</dcterms:modified>
</cp:coreProperties>
</file>