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E4A" w:rsidP="00923E4A">
      <w:pPr>
        <w:pStyle w:val="Title"/>
      </w:pPr>
      <w:r>
        <w:fldChar w:fldCharType="begin"/>
      </w:r>
      <w:r>
        <w:instrText xml:space="preserve"> TITLE   \* MERGEFORMAT </w:instrText>
      </w:r>
      <w:r>
        <w:fldChar w:fldCharType="separate"/>
      </w:r>
      <w:r>
        <w:t>UEENEEE121A Plan an integrated cabling installation system</w:t>
      </w:r>
      <w:r>
        <w:fldChar w:fldCharType="end"/>
      </w:r>
    </w:p>
    <w:p w:rsidR="00923E4A" w:rsidP="00923E4A">
      <w:pPr>
        <w:pStyle w:val="Version"/>
        <w:sectPr w:rsidSect="00120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0EDD" w:rsidP="00120EDD">
      <w:pPr>
        <w:pStyle w:val="SuperHeading"/>
      </w:pPr>
      <w:r w:rsidRPr="00120EDD">
        <w:t>UEENEEE121A Plan an integrated cabling installation system</w:t>
      </w:r>
    </w:p>
    <w:p w:rsidR="00000000" w:rsidRPr="00120EDD" w:rsidP="00120EDD">
      <w:pPr>
        <w:pStyle w:val="Heading1"/>
      </w:pPr>
      <w:bookmarkStart w:id="1" w:name="O_584418"/>
      <w:bookmarkEnd w:id="1"/>
      <w:r w:rsidRPr="00120EDD">
        <w:t>Modification History</w:t>
      </w:r>
    </w:p>
    <w:p w:rsidR="00000000" w:rsidRPr="00120EDD" w:rsidP="00120EDD">
      <w:pPr>
        <w:pStyle w:val="BodyText"/>
      </w:pPr>
      <w:r w:rsidRPr="00120EDD">
        <w:t>Not applicable.</w:t>
      </w:r>
    </w:p>
    <w:p w:rsidR="00000000" w:rsidRPr="00120EDD" w:rsidP="00120EDD">
      <w:pPr>
        <w:pStyle w:val="AllowPageBreak"/>
      </w:pPr>
    </w:p>
    <w:p w:rsidR="00000000" w:rsidRPr="00120EDD" w:rsidP="00120EDD">
      <w:pPr>
        <w:pStyle w:val="Heading1"/>
      </w:pPr>
      <w:bookmarkStart w:id="2" w:name="O_584417"/>
      <w:bookmarkEnd w:id="2"/>
      <w:r w:rsidRPr="00120EDD">
        <w:t>Unit Descriptor</w:t>
      </w:r>
    </w:p>
    <w:tbl>
      <w:tblPr>
        <w:tblW w:w="0" w:type="auto"/>
        <w:tblLayout w:type="fixed"/>
        <w:tblCellMar>
          <w:left w:w="62" w:type="dxa"/>
          <w:right w:w="62" w:type="dxa"/>
        </w:tblCellMar>
        <w:tblLook w:val="0000"/>
      </w:tblPr>
      <w:tblGrid>
        <w:gridCol w:w="2700"/>
        <w:gridCol w:w="5760"/>
      </w:tblGrid>
      <w:tr w:rsidTr="00923E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1)</w:t>
            </w:r>
            <w:r w:rsidRPr="00120EDD">
              <w:t xml:space="preserve"> </w:t>
            </w:r>
            <w:r w:rsidRPr="00120EDD">
              <w:rPr>
                <w:rStyle w:val="SpecialBold"/>
              </w:rPr>
              <w:t>Scope:</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0E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1.1) Descriptor</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This unit covers the planning of cable routes for intelligent power and lighting, information and communications, entertainm</w:t>
            </w:r>
            <w:r w:rsidRPr="00120EDD">
              <w:t>ent systems, distributed video and audio; energy management and control; security and safety; digital home health; age and assisted living;.. This unit encompasses determining immediate and future cabling needs of an installation and their origins and term</w:t>
            </w:r>
            <w:r w:rsidRPr="00120EDD">
              <w:t>ination points, planning cable routes, specifying cable types, sizes, fixing/support methods and cable identification systems and documenting cabling plans based on calculated and/or deemed-to-comply solutions as well as the planning of the wiring hub if r</w:t>
            </w:r>
            <w:r w:rsidRPr="00120EDD">
              <w:t>equired.</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3" w:name="O_584416"/>
      <w:bookmarkEnd w:id="3"/>
      <w:r w:rsidRPr="00120EDD">
        <w:t>Application of the Unit</w:t>
      </w:r>
    </w:p>
    <w:tbl>
      <w:tblPr>
        <w:tblW w:w="0" w:type="auto"/>
        <w:tblLayout w:type="fixed"/>
        <w:tblCellMar>
          <w:left w:w="62" w:type="dxa"/>
          <w:right w:w="62" w:type="dxa"/>
        </w:tblCellMar>
        <w:tblLook w:val="0000"/>
      </w:tblPr>
      <w:tblGrid>
        <w:gridCol w:w="2672"/>
        <w:gridCol w:w="5699"/>
      </w:tblGrid>
      <w:tr w:rsidTr="00923E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2)</w:t>
            </w:r>
          </w:p>
        </w:tc>
      </w:tr>
      <w:tr w:rsidTr="00923E4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 xml:space="preserve">This unit is intended as an additional competency to relevant competencies previously acquired. It is suitable for employment-based programs </w:t>
            </w:r>
            <w:r w:rsidRPr="00120EDD">
              <w:t>under an approved contract of training at the aligned AQF 3 level or higher.</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4" w:name="O_584415"/>
      <w:bookmarkEnd w:id="4"/>
      <w:r w:rsidRPr="00120EDD">
        <w:t>Licensing/Regulatory Information</w:t>
      </w:r>
    </w:p>
    <w:tbl>
      <w:tblPr>
        <w:tblW w:w="0" w:type="auto"/>
        <w:tblLayout w:type="fixed"/>
        <w:tblCellMar>
          <w:left w:w="62" w:type="dxa"/>
          <w:right w:w="62" w:type="dxa"/>
        </w:tblCellMar>
        <w:tblLook w:val="0000"/>
      </w:tblPr>
      <w:tblGrid>
        <w:gridCol w:w="2700"/>
        <w:gridCol w:w="5760"/>
      </w:tblGrid>
      <w:tr w:rsidTr="00923E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 xml:space="preserve">3)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The skills and knowledge described in this unit do not require a license to practice in the workplace</w:t>
            </w:r>
            <w:r w:rsidRPr="00120EDD">
              <w:t xml:space="preserve">. However practice in this unit is subject to regulations directly </w:t>
            </w:r>
            <w:r w:rsidRPr="00120EDD">
              <w:t>related to occupational health and safe and contracts of training such as new apprenticeships.</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5" w:name="O_584414"/>
      <w:bookmarkEnd w:id="5"/>
      <w:r w:rsidRPr="00120EDD">
        <w:t>Pre-Requisites</w:t>
      </w:r>
    </w:p>
    <w:tbl>
      <w:tblPr>
        <w:tblW w:w="0" w:type="auto"/>
        <w:tblLayout w:type="fixed"/>
        <w:tblCellMar>
          <w:left w:w="62" w:type="dxa"/>
          <w:right w:w="62" w:type="dxa"/>
        </w:tblCellMar>
        <w:tblLook w:val="0000"/>
      </w:tblPr>
      <w:tblGrid>
        <w:gridCol w:w="2700"/>
        <w:gridCol w:w="1440"/>
        <w:gridCol w:w="4320"/>
      </w:tblGrid>
      <w:tr w:rsidTr="00923E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 xml:space="preserve">4)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4.1)</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Granting competency in this unit shall be made only after competency in the following unit(s) has/have been confirmed.</w:t>
            </w:r>
          </w:p>
        </w:tc>
      </w:tr>
      <w:tr w:rsidTr="00923E4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UEENEEE101A</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Apply Occupational Health and Safety regulations, codes and practices in the workplace</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UEENEEE102A</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Fabricate, assemble a</w:t>
            </w:r>
            <w:r w:rsidRPr="00120EDD">
              <w:t xml:space="preserve">nd dismantle utilities industry components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UEENEEE105A</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 xml:space="preserve">Fix and secure electrotechnology equipment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UEENEEE107A</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Use drawings, diagrams, schedules, standards, codes and specifications</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AND</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UEENEEE108A</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Lay wiring/cabling and terminate accessories for extra-low voltage (ELV) circuits</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OR</w:t>
            </w:r>
          </w:p>
        </w:tc>
        <w:tc>
          <w:tcPr>
            <w:tcW w:w="432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UEENEEG106A</w:t>
            </w:r>
          </w:p>
        </w:tc>
        <w:tc>
          <w:tcPr>
            <w:tcW w:w="432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Terminate cables, cords and accessories for low voltage circuits</w:t>
            </w:r>
          </w:p>
        </w:tc>
      </w:tr>
    </w:tbl>
    <w:p w:rsidR="00000000" w:rsidRPr="00120EDD" w:rsidP="00120ED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23E4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 xml:space="preserve">4.2)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 xml:space="preserve">Participants are best equipped to achieve competency in this unit if they have reading, writing and numeracy skills indicated by the following scales. Description of each scale is given in Volume 2, Part 3 ‘Literacy and </w:t>
            </w:r>
            <w:r w:rsidRPr="00120EDD">
              <w:t>Numeracy’</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Reading</w:t>
            </w:r>
          </w:p>
        </w:tc>
        <w:tc>
          <w:tcPr>
            <w:tcW w:w="81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4</w:t>
            </w:r>
          </w:p>
        </w:tc>
        <w:tc>
          <w:tcPr>
            <w:tcW w:w="99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Writing</w:t>
            </w: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4</w:t>
            </w:r>
          </w:p>
        </w:tc>
        <w:tc>
          <w:tcPr>
            <w:tcW w:w="12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Numeracy</w:t>
            </w:r>
          </w:p>
        </w:tc>
        <w:tc>
          <w:tcPr>
            <w:tcW w:w="72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4</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6" w:name="O_584413"/>
      <w:bookmarkEnd w:id="6"/>
      <w:r w:rsidRPr="00120EDD">
        <w:t>Employability Skills Information</w:t>
      </w:r>
    </w:p>
    <w:tbl>
      <w:tblPr>
        <w:tblW w:w="0" w:type="auto"/>
        <w:tblLayout w:type="fixed"/>
        <w:tblCellMar>
          <w:left w:w="62" w:type="dxa"/>
          <w:right w:w="62" w:type="dxa"/>
        </w:tblCellMar>
        <w:tblLook w:val="0000"/>
      </w:tblPr>
      <w:tblGrid>
        <w:gridCol w:w="2700"/>
        <w:gridCol w:w="5760"/>
      </w:tblGrid>
      <w:tr w:rsidTr="00923E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 xml:space="preserve">5)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This unit contains Employability Skills</w:t>
            </w:r>
          </w:p>
          <w:p w:rsidR="00000000" w:rsidRPr="00120EDD" w:rsidP="00120EDD">
            <w:pPr>
              <w:pStyle w:val="BodyText"/>
            </w:pPr>
            <w:r w:rsidRPr="00120ED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20EDD">
              <w:t>requirements.</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7" w:name="O_584412"/>
      <w:bookmarkEnd w:id="7"/>
      <w:r w:rsidRPr="00120EDD">
        <w:t>Elements and Performance Criteria Pre-Content</w:t>
      </w:r>
    </w:p>
    <w:tbl>
      <w:tblPr>
        <w:tblW w:w="0" w:type="auto"/>
        <w:tblLayout w:type="fixed"/>
        <w:tblCellMar>
          <w:left w:w="62" w:type="dxa"/>
          <w:right w:w="62" w:type="dxa"/>
        </w:tblCellMar>
        <w:tblLook w:val="0000"/>
      </w:tblPr>
      <w:tblGrid>
        <w:gridCol w:w="2700"/>
        <w:gridCol w:w="5760"/>
      </w:tblGrid>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6)</w:t>
            </w:r>
            <w:r w:rsidRPr="00120ED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Performance Criteria describe the required performance needed to demonstrate achievement of the element</w:t>
            </w:r>
            <w:r w:rsidRPr="00120EDD">
              <w:t>. Assessment of performance is to be consistent with the Evidence Guide.</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8" w:name="O_584411"/>
      <w:bookmarkEnd w:id="8"/>
      <w:r w:rsidRPr="00120E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23E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PERFORMANCE CRITERIA</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1</w:t>
            </w:r>
          </w:p>
        </w:tc>
        <w:tc>
          <w:tcPr>
            <w:tcW w:w="2296" w:type="dxa"/>
            <w:vMerge w:val="restart"/>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Determine immediate and future cabling needs.</w:t>
            </w: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1.1</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OHS risk control measures and procedures for carrying out the work are followed.</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1.2</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Work supervisor or customers are consulted to determine immediate and future services required.</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1.3</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Immediate and future location of service items and accessories is determined and written confirmation sought from appropriate persons.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1.4</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Safety and other regulatory requirements to which the installation shall comply are obtained and understood.</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w:t>
            </w:r>
          </w:p>
        </w:tc>
        <w:tc>
          <w:tcPr>
            <w:tcW w:w="2296" w:type="dxa"/>
            <w:vMerge w:val="restart"/>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 xml:space="preserve">Plan an integrate cabling system for immediate and future services </w:t>
            </w: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2.1</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Types and sizes of cables required for the various services are chosen to comply with technical standards, coded and regulations.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2.2</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Cables are arranged into circuits to ensure saf</w:t>
            </w:r>
            <w:r w:rsidRPr="00120EDD">
              <w:t>e and functional operation of the services for which they are intended and to comply with technical standards, coded, regulations and budgetary restraints.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2.3</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Cabling for protective and functional earthing arrangements is determined to comply with technical standards, coded and regulations.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2.4</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Cabling routes are planned and cable support and methods for protection against damage specified to ensure complianc</w:t>
            </w:r>
            <w:r w:rsidRPr="00120EDD">
              <w:t>e with technical standards, coded and regulations.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2.5</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Cable identification scheme is development to aid installation of services.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2.6</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M</w:t>
            </w:r>
            <w:r w:rsidRPr="00120EDD">
              <w:t>ethods of terminating cables intended for future services are specified to ensure compliance with technical standards, coded and regulations.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3</w:t>
            </w:r>
          </w:p>
        </w:tc>
        <w:tc>
          <w:tcPr>
            <w:tcW w:w="2296"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Document the integrated cabling plan</w:t>
            </w: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3.1</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Types and sizes of cables chosen, together with supporting justificati</w:t>
            </w:r>
            <w:r w:rsidRPr="00120EDD">
              <w:t>on, are documented in accordance with established procedures.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3.2</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Cable routes and cable support and methods for protection against damage are documented in accordance with established procedures.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3.3</w:t>
            </w:r>
          </w:p>
        </w:tc>
        <w:tc>
          <w:tcPr>
            <w:tcW w:w="48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Cable identification scheme and methods of termin</w:t>
            </w:r>
            <w:r w:rsidRPr="00120EDD">
              <w:t>ating cables intended for future services are documented in accordance with established procedures.</w:t>
            </w:r>
          </w:p>
        </w:tc>
      </w:tr>
      <w:tr w:rsidTr="00923E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3.4</w:t>
            </w:r>
          </w:p>
        </w:tc>
        <w:tc>
          <w:tcPr>
            <w:tcW w:w="48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Acceptance of the integrated cabling plan is sought from appropriate persons.</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9" w:name="O_584410"/>
      <w:bookmarkEnd w:id="9"/>
      <w:r w:rsidRPr="00120EDD">
        <w:t>Required Skills and Knowledge</w:t>
      </w:r>
    </w:p>
    <w:tbl>
      <w:tblPr>
        <w:tblW w:w="0" w:type="auto"/>
        <w:tblLayout w:type="fixed"/>
        <w:tblCellMar>
          <w:left w:w="62" w:type="dxa"/>
          <w:right w:w="62" w:type="dxa"/>
        </w:tblCellMar>
        <w:tblLook w:val="0000"/>
      </w:tblPr>
      <w:tblGrid>
        <w:gridCol w:w="8460"/>
      </w:tblGrid>
      <w:tr w:rsidTr="00923E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REQUIRED SKILLS AND KNOWLEDGE</w:t>
            </w:r>
          </w:p>
        </w:tc>
      </w:tr>
      <w:tr w:rsidTr="00923E4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8)</w:t>
            </w:r>
            <w:r w:rsidRPr="00120EDD">
              <w:t xml:space="preserve"> This describes the essential skills and knowledge and their level, required for this unit.</w:t>
            </w:r>
          </w:p>
          <w:p w:rsidR="00000000" w:rsidRPr="00120EDD" w:rsidP="00120EDD">
            <w:pPr>
              <w:pStyle w:val="BodyText"/>
            </w:pPr>
            <w:r w:rsidRPr="00120EDD">
              <w:t>Evidence shall show that knowledge has been acquired of safe working practices and planning integrated cabling installations.</w:t>
            </w:r>
          </w:p>
          <w:p w:rsidR="00000000" w:rsidRPr="00120EDD" w:rsidP="00120EDD">
            <w:pPr>
              <w:pStyle w:val="BodyText"/>
            </w:pPr>
            <w:r w:rsidRPr="00120EDD">
              <w:t>All k</w:t>
            </w:r>
            <w:r w:rsidRPr="00120EDD">
              <w:t>nowledge and skills detailed in this unit should be contextualised to current industry practices and technologies.</w:t>
            </w:r>
          </w:p>
          <w:p w:rsidR="00000000" w:rsidRPr="00120EDD" w:rsidP="00120EDD">
            <w:pPr>
              <w:pStyle w:val="BodyText"/>
            </w:pPr>
            <w:r w:rsidRPr="00120EDD">
              <w:rPr>
                <w:rStyle w:val="SpecialBold"/>
              </w:rPr>
              <w:t>KS01-EE121A</w:t>
            </w:r>
            <w:r w:rsidRPr="00120EDD">
              <w:rPr>
                <w:rStyle w:val="SpecialBold"/>
              </w:rPr>
              <w:tab/>
              <w:t xml:space="preserve">              Planning integrated cabling installations</w:t>
            </w:r>
          </w:p>
          <w:p w:rsidR="00000000" w:rsidRPr="00120EDD" w:rsidP="00120EDD">
            <w:pPr>
              <w:pStyle w:val="BodyText"/>
            </w:pPr>
            <w:r w:rsidRPr="00120EDD">
              <w:t xml:space="preserve">Evidence shall show an understanding of integrated cabling systems to an </w:t>
            </w:r>
            <w:r w:rsidRPr="00120EDD">
              <w:t>extent indicated by the following aspects:</w:t>
            </w:r>
          </w:p>
          <w:p w:rsidR="00000000" w:rsidRPr="00120EDD" w:rsidP="00120EDD">
            <w:pPr>
              <w:pStyle w:val="BodyText"/>
            </w:pPr>
            <w:r w:rsidRPr="00120EDD">
              <w:t>T1</w:t>
            </w:r>
            <w:r w:rsidRPr="00120EDD">
              <w:tab/>
              <w:t>Overview of relevant residential systems encompassing:</w:t>
            </w:r>
          </w:p>
          <w:p w:rsidR="00000000" w:rsidRPr="00120EDD" w:rsidP="00120EDD">
            <w:pPr>
              <w:pStyle w:val="ListBullet"/>
            </w:pPr>
            <w:r w:rsidRPr="00120EDD">
              <w:t>information and communications</w:t>
            </w:r>
          </w:p>
          <w:p w:rsidR="00000000" w:rsidRPr="00120EDD" w:rsidP="00120EDD">
            <w:pPr>
              <w:pStyle w:val="ListBullet"/>
            </w:pPr>
            <w:r w:rsidRPr="00120EDD">
              <w:t>entertainment</w:t>
            </w:r>
          </w:p>
          <w:p w:rsidR="00000000" w:rsidRPr="00120EDD" w:rsidP="00120EDD">
            <w:pPr>
              <w:pStyle w:val="ListBullet"/>
            </w:pPr>
            <w:r w:rsidRPr="00120EDD">
              <w:t>energy management</w:t>
            </w:r>
          </w:p>
          <w:p w:rsidR="00000000" w:rsidRPr="00120EDD" w:rsidP="00120EDD">
            <w:pPr>
              <w:pStyle w:val="ListBullet"/>
            </w:pPr>
            <w:r w:rsidRPr="00120EDD">
              <w:t>security and safety</w:t>
            </w:r>
          </w:p>
          <w:p w:rsidR="00000000" w:rsidRPr="00120EDD" w:rsidP="00120EDD">
            <w:pPr>
              <w:pStyle w:val="ListBullet"/>
            </w:pPr>
            <w:r w:rsidRPr="00120EDD">
              <w:t>digital home health</w:t>
            </w:r>
          </w:p>
          <w:p w:rsidR="00000000" w:rsidRPr="00120EDD" w:rsidP="00120EDD">
            <w:pPr>
              <w:pStyle w:val="ListBullet"/>
            </w:pPr>
            <w:r w:rsidRPr="00120EDD">
              <w:t>age and assisted living</w:t>
            </w:r>
          </w:p>
          <w:p w:rsidR="00000000" w:rsidRPr="00120EDD" w:rsidP="00120EDD">
            <w:pPr>
              <w:pStyle w:val="ListBullet"/>
            </w:pPr>
            <w:r w:rsidRPr="00120EDD">
              <w:t>intelligent lighting and power</w:t>
            </w:r>
          </w:p>
          <w:p w:rsidR="00000000" w:rsidRPr="00120EDD" w:rsidP="00120EDD">
            <w:pPr>
              <w:pStyle w:val="BodyText"/>
            </w:pPr>
            <w:r w:rsidRPr="00120EDD">
              <w:t>T2</w:t>
            </w:r>
            <w:r w:rsidRPr="00120EDD">
              <w:tab/>
              <w:t>Information and communications system encompassing:</w:t>
            </w:r>
          </w:p>
          <w:p w:rsidR="00000000" w:rsidRPr="00120EDD" w:rsidP="00120EDD">
            <w:pPr>
              <w:pStyle w:val="ListBullet"/>
            </w:pPr>
            <w:r w:rsidRPr="00120EDD">
              <w:t>computing</w:t>
            </w:r>
          </w:p>
          <w:p w:rsidR="00000000" w:rsidRPr="00120EDD" w:rsidP="00120EDD">
            <w:pPr>
              <w:pStyle w:val="ListBullet"/>
            </w:pPr>
            <w:r w:rsidRPr="00120EDD">
              <w:t>home video conferencing</w:t>
            </w:r>
          </w:p>
          <w:p w:rsidR="00000000" w:rsidRPr="00120EDD" w:rsidP="00120EDD">
            <w:pPr>
              <w:pStyle w:val="ListBullet"/>
            </w:pPr>
            <w:r w:rsidRPr="00120EDD">
              <w:t>intercoms</w:t>
            </w:r>
          </w:p>
          <w:p w:rsidR="00000000" w:rsidRPr="00120EDD" w:rsidP="00120EDD">
            <w:pPr>
              <w:pStyle w:val="ListBullet"/>
            </w:pPr>
            <w:r w:rsidRPr="00120EDD">
              <w:t>telephony</w:t>
            </w:r>
          </w:p>
          <w:p w:rsidR="00000000" w:rsidRPr="00120EDD" w:rsidP="00120EDD">
            <w:pPr>
              <w:pStyle w:val="BodyText"/>
            </w:pPr>
            <w:r w:rsidRPr="00120EDD">
              <w:t>T3</w:t>
            </w:r>
            <w:r w:rsidRPr="00120EDD">
              <w:tab/>
              <w:t>Entertainment encompassing:</w:t>
            </w:r>
          </w:p>
          <w:p w:rsidR="00000000" w:rsidRPr="00120EDD" w:rsidP="00120EDD">
            <w:pPr>
              <w:pStyle w:val="ListBullet"/>
            </w:pPr>
            <w:r w:rsidRPr="00120EDD">
              <w:t>distributed audio and video</w:t>
            </w:r>
          </w:p>
          <w:p w:rsidR="00000000" w:rsidRPr="00120EDD" w:rsidP="00120EDD">
            <w:pPr>
              <w:pStyle w:val="ListBullet"/>
            </w:pPr>
            <w:r w:rsidRPr="00120EDD">
              <w:t>free-to-air TV and HDTV</w:t>
            </w:r>
          </w:p>
          <w:p w:rsidR="00000000" w:rsidRPr="00120EDD" w:rsidP="00120EDD">
            <w:pPr>
              <w:pStyle w:val="ListBullet"/>
            </w:pPr>
            <w:r w:rsidRPr="00120EDD">
              <w:t>home theatre</w:t>
            </w:r>
          </w:p>
          <w:p w:rsidR="00000000" w:rsidRPr="00120EDD" w:rsidP="00120EDD">
            <w:pPr>
              <w:pStyle w:val="ListBullet"/>
            </w:pPr>
            <w:r w:rsidRPr="00120EDD">
              <w:t>pay TV</w:t>
            </w:r>
          </w:p>
          <w:p w:rsidR="00000000" w:rsidRPr="00120EDD" w:rsidP="00120EDD">
            <w:pPr>
              <w:pStyle w:val="BodyText"/>
            </w:pPr>
            <w:r w:rsidRPr="00120EDD">
              <w:t>T4</w:t>
            </w:r>
            <w:r w:rsidRPr="00120EDD">
              <w:tab/>
              <w:t>Energy m</w:t>
            </w:r>
            <w:r w:rsidRPr="00120EDD">
              <w:t>anagement encompassing:</w:t>
            </w:r>
          </w:p>
          <w:p w:rsidR="00000000" w:rsidRPr="00120EDD" w:rsidP="00120EDD">
            <w:pPr>
              <w:pStyle w:val="ListBullet"/>
            </w:pPr>
            <w:r w:rsidRPr="00120EDD">
              <w:t>controllable blinds</w:t>
            </w:r>
          </w:p>
          <w:p w:rsidR="00000000" w:rsidRPr="00120EDD" w:rsidP="00120EDD">
            <w:pPr>
              <w:pStyle w:val="ListBullet"/>
            </w:pPr>
            <w:r w:rsidRPr="00120EDD">
              <w:t>controllable lighting and appliances</w:t>
            </w:r>
          </w:p>
          <w:p w:rsidR="00000000" w:rsidRPr="00120EDD" w:rsidP="00120EDD">
            <w:pPr>
              <w:pStyle w:val="ListBullet"/>
            </w:pPr>
            <w:r w:rsidRPr="00120EDD">
              <w:t>electric vehicles</w:t>
            </w:r>
          </w:p>
          <w:p w:rsidR="00000000" w:rsidRPr="00120EDD" w:rsidP="00120EDD">
            <w:pPr>
              <w:pStyle w:val="ListBullet"/>
            </w:pPr>
            <w:r w:rsidRPr="00120EDD">
              <w:t>manage energy use of key appliances</w:t>
            </w:r>
          </w:p>
          <w:p w:rsidR="00000000" w:rsidRPr="00120EDD" w:rsidP="00120EDD">
            <w:pPr>
              <w:pStyle w:val="BodyText"/>
            </w:pPr>
            <w:r w:rsidRPr="00120EDD">
              <w:t>T5</w:t>
            </w:r>
            <w:r w:rsidRPr="00120EDD">
              <w:tab/>
              <w:t>Security and safety encompassing:</w:t>
            </w:r>
          </w:p>
          <w:p w:rsidR="00000000" w:rsidRPr="00120EDD" w:rsidP="00120EDD">
            <w:pPr>
              <w:pStyle w:val="ListBullet"/>
            </w:pPr>
            <w:r w:rsidRPr="00120EDD">
              <w:t>automatic access control</w:t>
            </w:r>
          </w:p>
          <w:p w:rsidR="00000000" w:rsidRPr="00120EDD" w:rsidP="00120EDD">
            <w:pPr>
              <w:pStyle w:val="ListBullet"/>
            </w:pPr>
            <w:r w:rsidRPr="00120EDD">
              <w:t>electronic monitoring</w:t>
            </w:r>
          </w:p>
          <w:p w:rsidR="00000000" w:rsidRPr="00120EDD" w:rsidP="00120EDD">
            <w:pPr>
              <w:pStyle w:val="ListBullet"/>
            </w:pPr>
            <w:r w:rsidRPr="00120EDD">
              <w:t>fire safety</w:t>
            </w:r>
          </w:p>
          <w:p w:rsidR="00000000" w:rsidRPr="00120EDD" w:rsidP="00120EDD">
            <w:pPr>
              <w:pStyle w:val="BodyText"/>
            </w:pPr>
            <w:r w:rsidRPr="00120EDD">
              <w:t>T6</w:t>
            </w:r>
            <w:r w:rsidRPr="00120EDD">
              <w:tab/>
            </w:r>
            <w:r w:rsidRPr="00120EDD">
              <w:t>Digital home health encompassing:</w:t>
            </w:r>
          </w:p>
          <w:p w:rsidR="00000000" w:rsidRPr="00120EDD" w:rsidP="00120EDD">
            <w:pPr>
              <w:pStyle w:val="ListBullet"/>
            </w:pPr>
            <w:r w:rsidRPr="00120EDD">
              <w:t>monitoring devices</w:t>
            </w:r>
          </w:p>
          <w:p w:rsidR="00000000" w:rsidRPr="00120EDD" w:rsidP="00120EDD">
            <w:pPr>
              <w:pStyle w:val="ListBullet"/>
            </w:pPr>
            <w:r w:rsidRPr="00120EDD">
              <w:t>video conferencing</w:t>
            </w:r>
          </w:p>
          <w:p w:rsidR="00000000" w:rsidRPr="00120EDD" w:rsidP="00120EDD">
            <w:pPr>
              <w:pStyle w:val="BodyText"/>
            </w:pPr>
            <w:r w:rsidRPr="00120EDD">
              <w:t xml:space="preserve">T7 </w:t>
            </w:r>
            <w:r w:rsidRPr="00120EDD">
              <w:tab/>
              <w:t>Age and assisted living encompassing:</w:t>
            </w:r>
          </w:p>
          <w:p w:rsidR="00000000" w:rsidRPr="00120EDD" w:rsidP="00120EDD">
            <w:pPr>
              <w:pStyle w:val="ListBullet"/>
            </w:pPr>
            <w:r w:rsidRPr="00120EDD">
              <w:t>alert systems</w:t>
            </w:r>
          </w:p>
          <w:p w:rsidR="00000000" w:rsidRPr="00120EDD" w:rsidP="00120EDD">
            <w:pPr>
              <w:pStyle w:val="ListBullet"/>
            </w:pPr>
            <w:r w:rsidRPr="00120EDD">
              <w:t>panic buttons</w:t>
            </w:r>
          </w:p>
          <w:p w:rsidR="00000000" w:rsidRPr="00120EDD" w:rsidP="00120EDD">
            <w:pPr>
              <w:pStyle w:val="ListBullet"/>
            </w:pPr>
            <w:r w:rsidRPr="00120EDD">
              <w:t>intercom</w:t>
            </w:r>
          </w:p>
          <w:p w:rsidR="00000000" w:rsidRPr="00120EDD" w:rsidP="00120EDD">
            <w:pPr>
              <w:pStyle w:val="ListBullet"/>
            </w:pPr>
            <w:r w:rsidRPr="00120EDD">
              <w:t>video cam</w:t>
            </w:r>
          </w:p>
          <w:p w:rsidR="00000000" w:rsidRPr="00120EDD" w:rsidP="00120EDD">
            <w:pPr>
              <w:pStyle w:val="BodyText"/>
            </w:pPr>
            <w:r w:rsidRPr="00120EDD">
              <w:t>T8</w:t>
            </w:r>
            <w:r w:rsidRPr="00120EDD">
              <w:tab/>
              <w:t>Intelligent lighting and power encompassing:</w:t>
            </w:r>
          </w:p>
          <w:p w:rsidR="00000000" w:rsidRPr="00120EDD" w:rsidP="00120EDD">
            <w:pPr>
              <w:pStyle w:val="ListBullet"/>
            </w:pPr>
            <w:r w:rsidRPr="00120EDD">
              <w:t>controlled heating and lighting</w:t>
            </w:r>
          </w:p>
          <w:p w:rsidR="00000000" w:rsidRPr="00120EDD" w:rsidP="00120EDD">
            <w:pPr>
              <w:pStyle w:val="ListBullet"/>
            </w:pPr>
            <w:r w:rsidRPr="00120EDD">
              <w:t>power outlet</w:t>
            </w:r>
            <w:r w:rsidRPr="00120EDD">
              <w:t>s</w:t>
            </w:r>
          </w:p>
          <w:p w:rsidR="00000000" w:rsidRPr="00120EDD" w:rsidP="00120EDD">
            <w:pPr>
              <w:pStyle w:val="ListBullet"/>
            </w:pPr>
            <w:r w:rsidRPr="00120EDD">
              <w:t>lamps (fluoro and LED)</w:t>
            </w:r>
          </w:p>
          <w:p w:rsidR="00000000" w:rsidRPr="00120EDD" w:rsidP="00120EDD">
            <w:pPr>
              <w:pStyle w:val="ListBullet"/>
            </w:pPr>
            <w:r w:rsidRPr="00120EDD">
              <w:t>smart appliances</w:t>
            </w:r>
          </w:p>
          <w:p w:rsidR="00000000" w:rsidRPr="00120EDD" w:rsidP="00120EDD">
            <w:pPr>
              <w:pStyle w:val="ListBullet"/>
            </w:pPr>
            <w:r w:rsidRPr="00120EDD">
              <w:t>specialised sensors</w:t>
            </w:r>
          </w:p>
          <w:p w:rsidR="00000000" w:rsidRPr="00120EDD" w:rsidP="00120EDD">
            <w:pPr>
              <w:pStyle w:val="ListBullet"/>
            </w:pPr>
            <w:r w:rsidRPr="00120EDD">
              <w:t>specialised telephony</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10" w:name="O_584409"/>
      <w:bookmarkEnd w:id="10"/>
      <w:r w:rsidRPr="00120EDD">
        <w:t>Evidence Guide</w:t>
      </w:r>
    </w:p>
    <w:tbl>
      <w:tblPr>
        <w:tblW w:w="0" w:type="auto"/>
        <w:tblLayout w:type="fixed"/>
        <w:tblCellMar>
          <w:left w:w="62" w:type="dxa"/>
          <w:right w:w="62" w:type="dxa"/>
        </w:tblCellMar>
        <w:tblLook w:val="0000"/>
      </w:tblPr>
      <w:tblGrid>
        <w:gridCol w:w="8460"/>
      </w:tblGrid>
      <w:tr w:rsidTr="00923E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EVIDENCE GUIDE</w:t>
            </w:r>
          </w:p>
        </w:tc>
      </w:tr>
      <w:tr w:rsidTr="00923E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9)</w:t>
            </w:r>
            <w:r w:rsidRPr="00120EDD">
              <w:t xml:space="preserve"> The evidence guide provides advice on assessment and must be read in conjunction with the Performance </w:t>
            </w:r>
            <w:r w:rsidRPr="00120EDD">
              <w:t xml:space="preserve">Criteria, Required Skills and Knowledge, the Range Statement and the Assessment Guidelines for this Training Package. </w:t>
            </w:r>
          </w:p>
          <w:p w:rsidR="00000000" w:rsidRPr="00120EDD" w:rsidP="00120EDD">
            <w:pPr>
              <w:pStyle w:val="BodyText"/>
            </w:pPr>
            <w:r w:rsidRPr="00120EDD">
              <w:t>The Evidence Guide forms an integral part of this unit. It must be used in conjunction with all parts of the unit and performed in accord</w:t>
            </w:r>
            <w:r w:rsidRPr="00120EDD">
              <w:t>ance with the Assessment Guidelines of this Training Package.</w:t>
            </w:r>
          </w:p>
        </w:tc>
      </w:tr>
    </w:tbl>
    <w:p w:rsidR="00000000" w:rsidRPr="00120EDD" w:rsidP="00120EDD">
      <w:pPr>
        <w:pStyle w:val="BodyText"/>
      </w:pPr>
    </w:p>
    <w:tbl>
      <w:tblPr>
        <w:tblW w:w="0" w:type="auto"/>
        <w:tblLayout w:type="fixed"/>
        <w:tblCellMar>
          <w:left w:w="62" w:type="dxa"/>
          <w:right w:w="62" w:type="dxa"/>
        </w:tblCellMar>
        <w:tblLook w:val="0000"/>
      </w:tblPr>
      <w:tblGrid>
        <w:gridCol w:w="1890"/>
        <w:gridCol w:w="6570"/>
      </w:tblGrid>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9.1)</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 xml:space="preserve">Longitudinal competency development approaches to assessment, such as Profiling, require data to be reliably gathered in a form that can be </w:t>
            </w:r>
            <w:r w:rsidRPr="00120EDD">
              <w:t>consistently interpreted over time. This approach is best utilised in Apprenticeship programs and reduces assessment intervention. It is the industry-preferred model for apprenticeships. However, where summative (or final) assessment is used it is to inclu</w:t>
            </w:r>
            <w:r w:rsidRPr="00120EDD">
              <w:t>de the application of the competency in the normal work environment or, at a minimum, the application of the competency in a realistically simulated work environment. It is recognised that, in some circumstances, assessment in part or full can occur outsid</w:t>
            </w:r>
            <w:r w:rsidRPr="00120EDD">
              <w:t>e the workplace. However, it must be in accordance with industry and regulatory policy.</w:t>
            </w:r>
          </w:p>
          <w:p w:rsidR="00000000" w:rsidRPr="00120EDD" w:rsidP="00120EDD">
            <w:pPr>
              <w:pStyle w:val="BodyText"/>
            </w:pPr>
            <w:r w:rsidRPr="00120EDD">
              <w:t>Methods chosen for a particular assessment will be influenced by various factors. These include the extent of the assessment, the most effective locations for the asses</w:t>
            </w:r>
            <w:r w:rsidRPr="00120EDD">
              <w:t>sment activities to take place, access to physical resources, additional safety measures that may be required and the critical nature of the competencies being assessed.</w:t>
            </w:r>
          </w:p>
          <w:p w:rsidR="00000000" w:rsidRPr="00120EDD" w:rsidP="00120EDD">
            <w:pPr>
              <w:pStyle w:val="BodyText"/>
            </w:pPr>
            <w:r w:rsidRPr="00120EDD">
              <w:t>The critical safety nature of working with electricity, electrical equipment, gas or a</w:t>
            </w:r>
            <w:r w:rsidRPr="00120EDD">
              <w:t>ny other hazardous substance/material carries risk in deeming a person competent. Sources of evidence need to be ‘rich’ in nature to minimise error in judgment.</w:t>
            </w:r>
          </w:p>
          <w:p w:rsidR="00000000" w:rsidRPr="00120EDD" w:rsidP="00120EDD">
            <w:pPr>
              <w:pStyle w:val="BodyText"/>
            </w:pPr>
            <w:r w:rsidRPr="00120EDD">
              <w:t>Activities associated with normal everyday work have a bearing on the decision as to how much a</w:t>
            </w:r>
            <w:r w:rsidRPr="00120EDD">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120EDD">
              <w:t>when choosing an assessment method and developing assessment instruments. Sample assessment instruments are included for Assessors in the Assessment Guidelines of this Training Package.</w:t>
            </w:r>
          </w:p>
        </w:tc>
      </w:tr>
    </w:tbl>
    <w:p w:rsidR="00000000" w:rsidRPr="00120EDD" w:rsidP="00120EDD">
      <w:pPr>
        <w:pStyle w:val="BodyText"/>
      </w:pPr>
    </w:p>
    <w:tbl>
      <w:tblPr>
        <w:tblW w:w="0" w:type="auto"/>
        <w:tblLayout w:type="fixed"/>
        <w:tblCellMar>
          <w:left w:w="62" w:type="dxa"/>
          <w:right w:w="62" w:type="dxa"/>
        </w:tblCellMar>
        <w:tblLook w:val="0000"/>
      </w:tblPr>
      <w:tblGrid>
        <w:gridCol w:w="1890"/>
        <w:gridCol w:w="1530"/>
        <w:gridCol w:w="5040"/>
      </w:tblGrid>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Critical aspects of evidence required to demonstrate competency in t</w:t>
            </w:r>
            <w:r w:rsidRPr="00120EDD">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9.2)</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Before the critical aspects of evidence are considered all prerequisites must be met.</w:t>
            </w:r>
          </w:p>
          <w:p w:rsidR="00000000" w:rsidRPr="00120EDD" w:rsidP="00120EDD">
            <w:pPr>
              <w:pStyle w:val="BodyText"/>
            </w:pPr>
            <w:r w:rsidRPr="00120EDD">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120EDD" w:rsidP="00120EDD">
            <w:pPr>
              <w:pStyle w:val="ListBullet"/>
            </w:pPr>
            <w:r w:rsidRPr="00120EDD">
              <w:t>A representative body of work performance demonstrated within the timeframes typically expected of the discipline, work function and industrial environment. In particular this shall incorporate evidence that shows a candidate is able to:</w:t>
            </w:r>
          </w:p>
          <w:p w:rsidR="00000000" w:rsidRPr="00120EDD" w:rsidP="00120EDD">
            <w:pPr>
              <w:pStyle w:val="ListBullet2"/>
            </w:pPr>
            <w:r w:rsidRPr="00120EDD">
              <w:t>Implement Occupa</w:t>
            </w:r>
            <w:r w:rsidRPr="00120EDD">
              <w:t>tional Health and Safety workplace procedures and practices, including the use of risk control measures as specified in the performance criteria and range statement</w:t>
            </w:r>
          </w:p>
          <w:p w:rsidR="00000000" w:rsidRPr="00120EDD" w:rsidP="00120EDD">
            <w:pPr>
              <w:pStyle w:val="ListBullet2"/>
            </w:pPr>
            <w:r w:rsidRPr="00120EDD">
              <w:t xml:space="preserve">Apply sustainable energy principles and practices as specified in the performance criteria </w:t>
            </w:r>
            <w:r w:rsidRPr="00120EDD">
              <w:t>and range statement</w:t>
            </w:r>
          </w:p>
          <w:p w:rsidR="00000000" w:rsidRPr="00120EDD" w:rsidP="00120EDD">
            <w:pPr>
              <w:pStyle w:val="ListBullet2"/>
            </w:pPr>
            <w:r w:rsidRPr="00120EDD">
              <w:t>Demonstrate an understanding of the essential knowledge and associated s</w:t>
            </w:r>
            <w:r w:rsidRPr="00120EDD">
              <w:t xml:space="preserve">kills as described in this unit.  It may be required by some jurisdictions that RTOs provide a percentile graded result for the purpose of regulatory or licensing requirements.   </w:t>
            </w:r>
          </w:p>
          <w:p w:rsidR="00000000" w:rsidRPr="00120EDD" w:rsidP="00120EDD">
            <w:pPr>
              <w:pStyle w:val="ListBullet2"/>
            </w:pPr>
            <w:r w:rsidRPr="00120EDD">
              <w:t>Demonstrate an appropriate level of skills enabling employment</w:t>
            </w:r>
          </w:p>
          <w:p w:rsidR="00000000" w:rsidRPr="00120EDD" w:rsidP="00120EDD">
            <w:pPr>
              <w:pStyle w:val="ListBullet2"/>
            </w:pPr>
            <w:r w:rsidRPr="00120EDD">
              <w:t xml:space="preserve">Conduct work </w:t>
            </w:r>
            <w:r w:rsidRPr="00120EDD">
              <w:t>observing the relevant Anti Discrimination legislation, regulations, polices and workplace procedures</w:t>
            </w:r>
          </w:p>
          <w:p w:rsidR="00000000" w:rsidRPr="00120EDD" w:rsidP="00120EDD">
            <w:pPr>
              <w:pStyle w:val="ListBullet"/>
            </w:pPr>
            <w:r w:rsidRPr="00120EDD">
              <w:t>Demonstrated consistent performance across a representative range of contexts from the prescribed items below:</w:t>
            </w:r>
          </w:p>
          <w:p w:rsidR="00000000" w:rsidP="00120EDD">
            <w:pPr>
              <w:pStyle w:val="ListBullet2"/>
              <w:rPr>
                <w:lang w:val="en-NZ"/>
              </w:rPr>
            </w:pPr>
            <w:r w:rsidRPr="00120EDD">
              <w:t xml:space="preserve">Plan integrated cabling installations as </w:t>
            </w:r>
            <w:r w:rsidRPr="00120EDD">
              <w:t>described in 8) and including:</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A</w:t>
            </w:r>
          </w:p>
        </w:tc>
        <w:tc>
          <w:tcPr>
            <w:tcW w:w="50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Determining immediate and future cabling needs accurately.</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B</w:t>
            </w:r>
          </w:p>
        </w:tc>
        <w:tc>
          <w:tcPr>
            <w:tcW w:w="50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Choosing appropriate type and size of cables for the immediate and future services.</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C</w:t>
            </w:r>
          </w:p>
        </w:tc>
        <w:tc>
          <w:tcPr>
            <w:tcW w:w="50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Planning cable routes and speci</w:t>
            </w:r>
            <w:r w:rsidRPr="00120EDD">
              <w:t>fying effective support and protection method.</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D</w:t>
            </w:r>
          </w:p>
        </w:tc>
        <w:tc>
          <w:tcPr>
            <w:tcW w:w="50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Developing effective cable identification scheme.</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E</w:t>
            </w:r>
          </w:p>
        </w:tc>
        <w:tc>
          <w:tcPr>
            <w:tcW w:w="50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Specifying compliant termination methods for cables intended for future use.</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F</w:t>
            </w:r>
          </w:p>
        </w:tc>
        <w:tc>
          <w:tcPr>
            <w:tcW w:w="504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Documenting cabling plan including supporting justification.</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G</w:t>
            </w:r>
          </w:p>
        </w:tc>
        <w:tc>
          <w:tcPr>
            <w:tcW w:w="504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Dealing with unplanned events by drawing on essential knowledge and skills to provide appropriate solutions incorporated in a holistic assessment with the above listed items.</w:t>
            </w:r>
          </w:p>
        </w:tc>
      </w:tr>
    </w:tbl>
    <w:p w:rsidR="00000000" w:rsidRPr="00120EDD" w:rsidP="00120EDD">
      <w:pPr>
        <w:pStyle w:val="BodyText"/>
      </w:pPr>
    </w:p>
    <w:tbl>
      <w:tblPr>
        <w:tblW w:w="0" w:type="auto"/>
        <w:tblLayout w:type="fixed"/>
        <w:tblCellMar>
          <w:left w:w="62" w:type="dxa"/>
          <w:right w:w="62" w:type="dxa"/>
        </w:tblCellMar>
        <w:tblLook w:val="0000"/>
      </w:tblPr>
      <w:tblGrid>
        <w:gridCol w:w="1890"/>
        <w:gridCol w:w="6570"/>
      </w:tblGrid>
      <w:tr w:rsidTr="00923E4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9.3)</w:t>
            </w:r>
          </w:p>
        </w:tc>
      </w:tr>
      <w:tr w:rsidTr="00923E4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This unit should be assessed as it relates to normal work practice using procedures, information and resources typical of a workplace. This should include:</w:t>
            </w:r>
          </w:p>
          <w:p w:rsidR="00000000" w:rsidRPr="00120EDD" w:rsidP="00120EDD">
            <w:pPr>
              <w:pStyle w:val="ListBullet"/>
            </w:pPr>
            <w:r w:rsidRPr="00120EDD">
              <w:t>OHS policy and work procedures and instructions.</w:t>
            </w:r>
          </w:p>
          <w:p w:rsidR="00000000" w:rsidRPr="00120EDD" w:rsidP="00120EDD">
            <w:pPr>
              <w:pStyle w:val="ListBullet"/>
            </w:pPr>
            <w:r w:rsidRPr="00120EDD">
              <w:t>Suitable work environment, facilities, equipment a</w:t>
            </w:r>
            <w:r w:rsidRPr="00120EDD">
              <w:t>nd materials to undertake actual work as prescribed in this unit.</w:t>
            </w:r>
          </w:p>
          <w:p w:rsidR="00000000" w:rsidRPr="00120EDD" w:rsidP="00120EDD">
            <w:pPr>
              <w:pStyle w:val="BodyText"/>
            </w:pPr>
            <w:r w:rsidRPr="00120EDD">
              <w:t>These should be used in the formal learning/assessment environment.</w:t>
            </w:r>
          </w:p>
          <w:p w:rsidR="00000000" w:rsidRPr="00120EDD" w:rsidP="00120EDD">
            <w:pPr>
              <w:pStyle w:val="BodyText"/>
            </w:pPr>
            <w:r w:rsidRPr="00120EDD">
              <w:t>Note:</w:t>
            </w:r>
          </w:p>
          <w:p w:rsidR="00000000" w:rsidRPr="00120EDD" w:rsidP="00120EDD">
            <w:pPr>
              <w:pStyle w:val="BodyText"/>
            </w:pPr>
            <w:r w:rsidRPr="00120EDD">
              <w:t>Where simulation is considered a suitable strategy for assessment, conditions for assessment must be authentic and a</w:t>
            </w:r>
            <w:r w:rsidRPr="00120EDD">
              <w:t>s far as possible reproduce and replicate the workplace and be consistent with the approved industry simulation policy.</w:t>
            </w:r>
          </w:p>
          <w:p w:rsidR="00000000" w:rsidRPr="00120EDD" w:rsidP="00120EDD">
            <w:pPr>
              <w:pStyle w:val="BodyText"/>
            </w:pPr>
            <w:r w:rsidRPr="00120EDD">
              <w:t>The resources used for assessment should reflect current industry practices in relation to planning integrated cabling installations.</w:t>
            </w:r>
          </w:p>
        </w:tc>
      </w:tr>
    </w:tbl>
    <w:p w:rsidR="00000000" w:rsidRPr="00120EDD" w:rsidP="00120EDD">
      <w:pPr>
        <w:pStyle w:val="BodyText"/>
      </w:pPr>
    </w:p>
    <w:tbl>
      <w:tblPr>
        <w:tblW w:w="0" w:type="auto"/>
        <w:tblLayout w:type="fixed"/>
        <w:tblCellMar>
          <w:left w:w="62" w:type="dxa"/>
          <w:right w:w="62" w:type="dxa"/>
        </w:tblCellMar>
        <w:tblLook w:val="0000"/>
      </w:tblPr>
      <w:tblGrid>
        <w:gridCol w:w="1890"/>
        <w:gridCol w:w="6570"/>
      </w:tblGrid>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9.4)</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This unit shall be assessed by methods given in Volume 1, Part 3 ‘Assessment Guidelines’.</w:t>
            </w:r>
          </w:p>
          <w:p w:rsidR="00000000" w:rsidRPr="00120EDD" w:rsidP="00120EDD">
            <w:pPr>
              <w:pStyle w:val="BodyText"/>
            </w:pPr>
            <w:r w:rsidRPr="00120EDD">
              <w:t xml:space="preserve">Note: </w:t>
            </w:r>
          </w:p>
          <w:p w:rsidR="00000000" w:rsidRPr="00120EDD" w:rsidP="00120EDD">
            <w:pPr>
              <w:pStyle w:val="BodyText"/>
            </w:pPr>
            <w:r w:rsidRPr="00120EDD">
              <w:t>Competent performance with inherent safe working practices is expected in the Industry to which this unit applies. This requires th</w:t>
            </w:r>
            <w:r w:rsidRPr="00120EDD">
              <w:t>at the specified essential knowledge and associated skills are assessed in a structured environment which is primarily intended for learning/assessment and incorporates all necessary equipment and facilities for learners to develop and demonstrate the esse</w:t>
            </w:r>
            <w:r w:rsidRPr="00120EDD">
              <w:t>ntial knowledge and skills described in this unit.</w:t>
            </w:r>
          </w:p>
        </w:tc>
      </w:tr>
    </w:tbl>
    <w:p w:rsidR="00000000" w:rsidRPr="00120EDD" w:rsidP="00120EDD">
      <w:pPr>
        <w:pStyle w:val="BodyText"/>
      </w:pPr>
    </w:p>
    <w:tbl>
      <w:tblPr>
        <w:tblW w:w="0" w:type="auto"/>
        <w:tblLayout w:type="fixed"/>
        <w:tblCellMar>
          <w:left w:w="62" w:type="dxa"/>
          <w:right w:w="62" w:type="dxa"/>
        </w:tblCellMar>
        <w:tblLook w:val="0000"/>
      </w:tblPr>
      <w:tblGrid>
        <w:gridCol w:w="1890"/>
        <w:gridCol w:w="1530"/>
        <w:gridCol w:w="5040"/>
      </w:tblGrid>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9.5)</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 xml:space="preserve">For optimisation of training and assessment effort, competency development in this unit may be arranged concurrently with unit: </w:t>
            </w:r>
          </w:p>
        </w:tc>
      </w:tr>
      <w:tr w:rsidTr="00923E4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t>UEENEED101A</w:t>
            </w:r>
          </w:p>
        </w:tc>
        <w:tc>
          <w:tcPr>
            <w:tcW w:w="504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Use computer applications relevant to a workplace</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11" w:name="O_584408"/>
      <w:bookmarkEnd w:id="11"/>
      <w:r w:rsidRPr="00120EDD">
        <w:t>Range Statement</w:t>
      </w:r>
    </w:p>
    <w:tbl>
      <w:tblPr>
        <w:tblW w:w="0" w:type="auto"/>
        <w:tblLayout w:type="fixed"/>
        <w:tblCellMar>
          <w:left w:w="62" w:type="dxa"/>
          <w:right w:w="62" w:type="dxa"/>
        </w:tblCellMar>
        <w:tblLook w:val="0000"/>
      </w:tblPr>
      <w:tblGrid>
        <w:gridCol w:w="8460"/>
      </w:tblGrid>
      <w:tr w:rsidTr="00923E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RANGE STATEMENT</w:t>
            </w:r>
          </w:p>
        </w:tc>
      </w:tr>
      <w:tr w:rsidTr="00923E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10)</w:t>
            </w:r>
            <w:r w:rsidRPr="00120EDD">
              <w:t xml:space="preserve"> This relates to the unit as a whole providing the range of contexts and conditions to which the performance criteria apply. It al</w:t>
            </w:r>
            <w:r w:rsidRPr="00120EDD">
              <w:t>lows for different work environments and situations that will affect performance.</w:t>
            </w:r>
          </w:p>
          <w:p w:rsidR="00000000" w:rsidRPr="00120EDD" w:rsidP="00120EDD">
            <w:pPr>
              <w:pStyle w:val="BodyText"/>
            </w:pPr>
            <w:r w:rsidRPr="00120EDD">
              <w:t>This unit shall be demonstrated in relation to planning two integrated cabling installations for at least four of the following services.</w:t>
            </w:r>
          </w:p>
          <w:p w:rsidR="00000000" w:rsidRPr="00120EDD" w:rsidP="00120EDD">
            <w:pPr>
              <w:pStyle w:val="ListBullet3"/>
            </w:pPr>
            <w:r w:rsidRPr="00120EDD">
              <w:t>Intelligent electrical power and li</w:t>
            </w:r>
            <w:r w:rsidRPr="00120EDD">
              <w:t>ghting</w:t>
            </w:r>
          </w:p>
          <w:p w:rsidR="00000000" w:rsidRPr="00120EDD" w:rsidP="00120EDD">
            <w:pPr>
              <w:pStyle w:val="ListBullet3"/>
            </w:pPr>
            <w:r w:rsidRPr="00120EDD">
              <w:t>Fixed home entertainment systems</w:t>
            </w:r>
          </w:p>
          <w:p w:rsidR="00000000" w:rsidRPr="00120EDD" w:rsidP="00120EDD">
            <w:pPr>
              <w:pStyle w:val="ListBullet3"/>
            </w:pPr>
            <w:r w:rsidRPr="00120EDD">
              <w:t>Integrated energy management system</w:t>
            </w:r>
          </w:p>
          <w:p w:rsidR="00000000" w:rsidRPr="00120EDD" w:rsidP="00120EDD">
            <w:pPr>
              <w:pStyle w:val="ListBullet3"/>
            </w:pPr>
            <w:r w:rsidRPr="00120EDD">
              <w:t>Security and safety system</w:t>
            </w:r>
          </w:p>
          <w:p w:rsidR="00000000" w:rsidRPr="00120EDD" w:rsidP="00120EDD">
            <w:pPr>
              <w:pStyle w:val="ListBullet3"/>
            </w:pPr>
            <w:r w:rsidRPr="00120EDD">
              <w:t>Climate control system</w:t>
            </w:r>
          </w:p>
          <w:p w:rsidR="00000000" w:rsidRPr="00120EDD" w:rsidP="00120EDD">
            <w:pPr>
              <w:pStyle w:val="ListBullet3"/>
            </w:pPr>
            <w:r w:rsidRPr="00120EDD">
              <w:t>Renewable energy systems</w:t>
            </w:r>
          </w:p>
          <w:p w:rsidR="00000000" w:rsidRPr="00120EDD" w:rsidP="00120EDD">
            <w:pPr>
              <w:pStyle w:val="ListBullet3"/>
            </w:pPr>
            <w:r w:rsidRPr="00120EDD">
              <w:t>Water management system</w:t>
            </w:r>
          </w:p>
          <w:p w:rsidR="00000000" w:rsidRPr="00120EDD" w:rsidP="00120EDD">
            <w:pPr>
              <w:pStyle w:val="ListBullet3"/>
            </w:pPr>
            <w:r w:rsidRPr="00120EDD">
              <w:t>information and communications</w:t>
            </w:r>
          </w:p>
          <w:p w:rsidR="00000000" w:rsidRPr="00120EDD" w:rsidP="00120EDD">
            <w:pPr>
              <w:pStyle w:val="ListBullet3"/>
            </w:pPr>
            <w:r w:rsidRPr="00120EDD">
              <w:t>digital home health</w:t>
            </w:r>
          </w:p>
          <w:p w:rsidR="00000000" w:rsidRPr="00120EDD" w:rsidP="00120EDD">
            <w:pPr>
              <w:pStyle w:val="ListBullet3"/>
            </w:pPr>
            <w:r w:rsidRPr="00120EDD">
              <w:t>age and assisted living</w:t>
            </w:r>
          </w:p>
          <w:p w:rsidR="00000000" w:rsidRPr="00120EDD" w:rsidP="00120EDD">
            <w:pPr>
              <w:pStyle w:val="BodyText"/>
            </w:pPr>
            <w:r w:rsidRPr="00120EDD">
              <w:t>Generi</w:t>
            </w:r>
            <w:r w:rsidRPr="00120EDD">
              <w:t>c terms used throughout this Vocational Standard shall be regarded as part of the Range Statement in which competency is demonstrated. The definition of these and other terms that apply are given in Volume 2, Part 2.1.</w:t>
            </w:r>
          </w:p>
        </w:tc>
      </w:tr>
    </w:tbl>
    <w:p w:rsidR="00000000" w:rsidRPr="00120EDD" w:rsidP="00120EDD">
      <w:pPr>
        <w:pStyle w:val="BodyText"/>
      </w:pPr>
    </w:p>
    <w:p w:rsidR="00000000" w:rsidRPr="00120EDD" w:rsidP="00120EDD">
      <w:pPr>
        <w:pStyle w:val="AllowPageBreak"/>
      </w:pPr>
    </w:p>
    <w:p w:rsidR="00000000" w:rsidRPr="00120EDD" w:rsidP="00120EDD">
      <w:pPr>
        <w:pStyle w:val="Heading1"/>
      </w:pPr>
      <w:bookmarkStart w:id="12" w:name="O_584407"/>
      <w:bookmarkEnd w:id="12"/>
      <w:r w:rsidRPr="00120EDD">
        <w:t>Unit Sector(s)</w:t>
      </w:r>
    </w:p>
    <w:p w:rsidR="00000000" w:rsidRPr="00120EDD" w:rsidP="00120EDD">
      <w:pPr>
        <w:pStyle w:val="BodyText"/>
      </w:pPr>
      <w:r w:rsidRPr="00120EDD">
        <w:t>Not applicable.</w:t>
      </w:r>
    </w:p>
    <w:p w:rsidR="00000000" w:rsidRPr="00120EDD" w:rsidP="00120EDD">
      <w:pPr>
        <w:pStyle w:val="AllowPageBreak"/>
      </w:pPr>
    </w:p>
    <w:p w:rsidR="00000000" w:rsidRPr="00120EDD" w:rsidP="00120EDD">
      <w:pPr>
        <w:pStyle w:val="Heading1"/>
      </w:pPr>
      <w:bookmarkStart w:id="13" w:name="O_584406"/>
      <w:bookmarkEnd w:id="13"/>
      <w:r w:rsidRPr="00120EDD">
        <w:t>Competency Field</w:t>
      </w:r>
    </w:p>
    <w:tbl>
      <w:tblPr>
        <w:tblW w:w="0" w:type="auto"/>
        <w:tblLayout w:type="fixed"/>
        <w:tblCellMar>
          <w:left w:w="62" w:type="dxa"/>
          <w:right w:w="62" w:type="dxa"/>
        </w:tblCellMar>
        <w:tblLook w:val="0000"/>
      </w:tblPr>
      <w:tblGrid>
        <w:gridCol w:w="2700"/>
        <w:gridCol w:w="5760"/>
      </w:tblGrid>
      <w:tr w:rsidTr="00923E4A">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0EDD">
            <w:pPr>
              <w:pStyle w:val="BodyText"/>
              <w:rPr>
                <w:lang w:val="en-NZ"/>
              </w:rPr>
            </w:pPr>
            <w:r w:rsidRPr="00120EDD">
              <w:rPr>
                <w:rStyle w:val="SpecialBold"/>
              </w:rPr>
              <w:t xml:space="preserve">11) </w:t>
            </w:r>
          </w:p>
        </w:tc>
      </w:tr>
      <w:tr w:rsidTr="00923E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0EDD" w:rsidP="00120EDD">
            <w:pPr>
              <w:pStyle w:val="BodyText"/>
            </w:pPr>
            <w:r w:rsidRPr="00120EDD">
              <w:t>Electrotechnology</w:t>
            </w:r>
          </w:p>
        </w:tc>
      </w:tr>
    </w:tbl>
    <w:p w:rsidR="00000000" w:rsidRPr="00120EDD" w:rsidP="00120EDD">
      <w:pPr>
        <w:pStyle w:val="BodyText"/>
      </w:pPr>
    </w:p>
    <w:p w:rsidR="00000000" w:rsidRPr="00120EDD" w:rsidP="00120EDD"/>
    <w:sectPr w:rsidSect="00120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DD" w:rsidRPr="00923E4A" w:rsidP="00923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E4A" w:rsidP="00120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3E4A" w:rsidP="00120E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23E4A" w:rsidP="00120E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DD" w:rsidRPr="00923E4A" w:rsidP="00923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E4A" w:rsidRPr="002D2AF8" w:rsidP="00120EDD">
    <w:pPr>
      <w:pStyle w:val="Header"/>
      <w:framePr w:wrap="around"/>
    </w:pPr>
    <w:r>
      <w:fldChar w:fldCharType="begin"/>
    </w:r>
    <w:r>
      <w:instrText xml:space="preserve"> TITLE   \* MERGEFORMAT </w:instrText>
    </w:r>
    <w:r>
      <w:fldChar w:fldCharType="separate"/>
    </w:r>
    <w:r>
      <w:t>UEENEEE121A Plan an integrated cabling installation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23E4A" w:rsidP="00120E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8C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C7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03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EDD"/>
    <w:pPr>
      <w:spacing w:before="360" w:after="60"/>
      <w:outlineLvl w:val="0"/>
    </w:pPr>
    <w:rPr>
      <w:sz w:val="32"/>
    </w:rPr>
  </w:style>
  <w:style w:type="paragraph" w:styleId="Heading2">
    <w:name w:val="heading 2"/>
    <w:basedOn w:val="HeadingBase"/>
    <w:next w:val="BodyText"/>
    <w:link w:val="Heading2Char"/>
    <w:qFormat/>
    <w:rsid w:val="00120EDD"/>
    <w:pPr>
      <w:keepLines/>
      <w:spacing w:before="240" w:after="120"/>
      <w:outlineLvl w:val="1"/>
    </w:pPr>
    <w:rPr>
      <w:sz w:val="28"/>
      <w:szCs w:val="40"/>
    </w:rPr>
  </w:style>
  <w:style w:type="paragraph" w:styleId="Heading3">
    <w:name w:val="heading 3"/>
    <w:basedOn w:val="HeadingBase"/>
    <w:next w:val="BodyText"/>
    <w:link w:val="Heading3Char"/>
    <w:qFormat/>
    <w:rsid w:val="00120EDD"/>
    <w:pPr>
      <w:spacing w:before="180" w:after="120"/>
      <w:outlineLvl w:val="2"/>
    </w:pPr>
    <w:rPr>
      <w:spacing w:val="-10"/>
      <w:kern w:val="32"/>
    </w:rPr>
  </w:style>
  <w:style w:type="paragraph" w:styleId="Heading4">
    <w:name w:val="heading 4"/>
    <w:basedOn w:val="HeadingBase"/>
    <w:next w:val="BodyText"/>
    <w:link w:val="Heading4Char"/>
    <w:qFormat/>
    <w:rsid w:val="00120EDD"/>
    <w:pPr>
      <w:spacing w:before="160" w:after="120"/>
      <w:outlineLvl w:val="3"/>
    </w:pPr>
    <w:rPr>
      <w:sz w:val="22"/>
    </w:rPr>
  </w:style>
  <w:style w:type="paragraph" w:styleId="Heading5">
    <w:name w:val="heading 5"/>
    <w:basedOn w:val="HeadingBase"/>
    <w:next w:val="Normal"/>
    <w:link w:val="Heading5Char"/>
    <w:qFormat/>
    <w:rsid w:val="00120EDD"/>
    <w:pPr>
      <w:spacing w:before="80"/>
      <w:outlineLvl w:val="4"/>
    </w:pPr>
    <w:rPr>
      <w:color w:val="918585"/>
      <w:sz w:val="20"/>
    </w:rPr>
  </w:style>
  <w:style w:type="paragraph" w:styleId="Heading6">
    <w:name w:val="heading 6"/>
    <w:basedOn w:val="HeadingBase"/>
    <w:next w:val="Normal"/>
    <w:link w:val="Heading6Char"/>
    <w:qFormat/>
    <w:rsid w:val="00120EDD"/>
    <w:pPr>
      <w:spacing w:before="60"/>
      <w:outlineLvl w:val="5"/>
    </w:pPr>
    <w:rPr>
      <w:color w:val="918585"/>
      <w:sz w:val="20"/>
    </w:rPr>
  </w:style>
  <w:style w:type="paragraph" w:styleId="Heading7">
    <w:name w:val="heading 7"/>
    <w:basedOn w:val="Normal"/>
    <w:next w:val="Normal"/>
    <w:link w:val="Heading7Char"/>
    <w:qFormat/>
    <w:rsid w:val="00120EDD"/>
    <w:pPr>
      <w:ind w:left="720"/>
      <w:outlineLvl w:val="6"/>
    </w:pPr>
    <w:rPr>
      <w:i/>
    </w:rPr>
  </w:style>
  <w:style w:type="paragraph" w:styleId="Heading8">
    <w:name w:val="heading 8"/>
    <w:basedOn w:val="Normal"/>
    <w:next w:val="Normal"/>
    <w:link w:val="Heading8Char"/>
    <w:qFormat/>
    <w:rsid w:val="00120EDD"/>
    <w:pPr>
      <w:ind w:left="720"/>
      <w:outlineLvl w:val="7"/>
    </w:pPr>
    <w:rPr>
      <w:i/>
    </w:rPr>
  </w:style>
  <w:style w:type="paragraph" w:styleId="Heading9">
    <w:name w:val="heading 9"/>
    <w:basedOn w:val="Normal"/>
    <w:next w:val="Normal"/>
    <w:link w:val="Heading9Char"/>
    <w:qFormat/>
    <w:rsid w:val="00120EDD"/>
    <w:pPr>
      <w:ind w:left="720"/>
      <w:outlineLvl w:val="8"/>
    </w:pPr>
    <w:rPr>
      <w:i/>
    </w:rPr>
  </w:style>
  <w:style w:type="character" w:default="1" w:styleId="DefaultParagraphFont">
    <w:name w:val="Default Paragraph Font"/>
    <w:uiPriority w:val="1"/>
    <w:unhideWhenUsed/>
    <w:rsid w:val="00120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EDD"/>
  </w:style>
  <w:style w:type="character" w:customStyle="1" w:styleId="Heading1Char">
    <w:name w:val="Heading 1 Char"/>
    <w:basedOn w:val="DefaultParagraphFont"/>
    <w:link w:val="Heading1"/>
    <w:rsid w:val="00120EDD"/>
    <w:rPr>
      <w:rFonts w:ascii="Times New Roman" w:eastAsia="Times New Roman" w:hAnsi="Times New Roman" w:cs="Times New Roman"/>
      <w:b/>
      <w:sz w:val="32"/>
      <w:szCs w:val="20"/>
      <w:lang w:eastAsia="en-US"/>
    </w:rPr>
  </w:style>
  <w:style w:type="paragraph" w:styleId="BodyText">
    <w:name w:val="Body Text"/>
    <w:basedOn w:val="Normal"/>
    <w:link w:val="BodyTextChar"/>
    <w:rsid w:val="00120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EDD"/>
    <w:rPr>
      <w:rFonts w:ascii="Times New Roman" w:eastAsia="Times New Roman" w:hAnsi="Times New Roman" w:cs="Times New Roman"/>
      <w:sz w:val="24"/>
      <w:lang w:eastAsia="en-US"/>
    </w:rPr>
  </w:style>
  <w:style w:type="paragraph" w:styleId="ListBullet">
    <w:name w:val="List Bullet"/>
    <w:basedOn w:val="List"/>
    <w:rsid w:val="00120EDD"/>
    <w:pPr>
      <w:numPr>
        <w:numId w:val="14"/>
      </w:numPr>
      <w:tabs>
        <w:tab w:val="clear" w:pos="340"/>
      </w:tabs>
      <w:spacing w:before="40" w:after="40"/>
    </w:pPr>
  </w:style>
  <w:style w:type="character" w:customStyle="1" w:styleId="SpecialBold">
    <w:name w:val="Special Bold"/>
    <w:basedOn w:val="DefaultParagraphFont"/>
    <w:rsid w:val="00120EDD"/>
    <w:rPr>
      <w:b/>
      <w:spacing w:val="0"/>
    </w:rPr>
  </w:style>
  <w:style w:type="paragraph" w:styleId="ListBullet2">
    <w:name w:val="List Bullet 2"/>
    <w:basedOn w:val="List2"/>
    <w:rsid w:val="00120EDD"/>
    <w:pPr>
      <w:numPr>
        <w:numId w:val="15"/>
      </w:numPr>
      <w:tabs>
        <w:tab w:val="clear" w:pos="680"/>
      </w:tabs>
    </w:pPr>
  </w:style>
  <w:style w:type="paragraph" w:customStyle="1" w:styleId="SuperHeading">
    <w:name w:val="SuperHeading"/>
    <w:basedOn w:val="Normal"/>
    <w:rsid w:val="00120EDD"/>
    <w:pPr>
      <w:spacing w:before="240" w:after="120"/>
      <w:outlineLvl w:val="0"/>
    </w:pPr>
    <w:rPr>
      <w:rFonts w:ascii="Times New Roman" w:hAnsi="Times New Roman"/>
      <w:b/>
      <w:sz w:val="32"/>
    </w:rPr>
  </w:style>
  <w:style w:type="paragraph" w:customStyle="1" w:styleId="AllowPageBreak">
    <w:name w:val="AllowPageBreak"/>
    <w:rsid w:val="00120E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0EDD"/>
    <w:pPr>
      <w:numPr>
        <w:numId w:val="3"/>
      </w:numPr>
      <w:tabs>
        <w:tab w:val="clear" w:pos="1021"/>
      </w:tabs>
      <w:ind w:left="1037" w:hanging="357"/>
    </w:pPr>
  </w:style>
  <w:style w:type="character" w:customStyle="1" w:styleId="Heading2Char">
    <w:name w:val="Heading 2 Char"/>
    <w:basedOn w:val="DefaultParagraphFont"/>
    <w:link w:val="Heading2"/>
    <w:rsid w:val="00120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E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E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EDD"/>
    <w:rPr>
      <w:rFonts w:ascii="Courier New" w:eastAsia="Times New Roman" w:hAnsi="Courier New" w:cs="Times New Roman"/>
      <w:i/>
      <w:szCs w:val="20"/>
      <w:lang w:eastAsia="en-US"/>
    </w:rPr>
  </w:style>
  <w:style w:type="paragraph" w:customStyle="1" w:styleId="HeadingBase">
    <w:name w:val="Heading Base"/>
    <w:rsid w:val="00120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EDD"/>
    <w:pPr>
      <w:tabs>
        <w:tab w:val="right" w:leader="dot" w:pos="9072"/>
      </w:tabs>
      <w:ind w:left="567"/>
    </w:pPr>
    <w:rPr>
      <w:szCs w:val="22"/>
    </w:rPr>
  </w:style>
  <w:style w:type="paragraph" w:customStyle="1" w:styleId="TOCBase">
    <w:name w:val="TOC Base"/>
    <w:rsid w:val="00120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EDD"/>
    <w:pPr>
      <w:tabs>
        <w:tab w:val="right" w:leader="dot" w:pos="9072"/>
      </w:tabs>
      <w:spacing w:before="40" w:after="40"/>
      <w:ind w:left="284"/>
    </w:pPr>
    <w:rPr>
      <w:rFonts w:ascii="Times New Roman" w:hAnsi="Times New Roman"/>
    </w:rPr>
  </w:style>
  <w:style w:type="paragraph" w:styleId="TOC1">
    <w:name w:val="toc 1"/>
    <w:basedOn w:val="TOCBase"/>
    <w:next w:val="Normal"/>
    <w:rsid w:val="00120E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EDD"/>
    <w:rPr>
      <w:rFonts w:ascii="Times New Roman" w:eastAsia="Times New Roman" w:hAnsi="Times New Roman" w:cs="Times New Roman"/>
      <w:sz w:val="16"/>
      <w:lang w:eastAsia="en-US"/>
    </w:rPr>
  </w:style>
  <w:style w:type="paragraph" w:styleId="Title">
    <w:name w:val="Title"/>
    <w:basedOn w:val="HeadingBase"/>
    <w:link w:val="TitleChar"/>
    <w:qFormat/>
    <w:rsid w:val="00120EDD"/>
    <w:pPr>
      <w:spacing w:before="5040"/>
      <w:jc w:val="center"/>
    </w:pPr>
    <w:rPr>
      <w:sz w:val="48"/>
      <w:szCs w:val="72"/>
      <w:lang w:val="en-US"/>
    </w:rPr>
  </w:style>
  <w:style w:type="character" w:customStyle="1" w:styleId="TitleChar">
    <w:name w:val="Title Char"/>
    <w:basedOn w:val="DefaultParagraphFont"/>
    <w:link w:val="Title"/>
    <w:rsid w:val="00120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EDD"/>
    <w:pPr>
      <w:tabs>
        <w:tab w:val="left" w:pos="3600"/>
        <w:tab w:val="left" w:pos="3958"/>
      </w:tabs>
    </w:pPr>
  </w:style>
  <w:style w:type="paragraph" w:styleId="List">
    <w:name w:val="List"/>
    <w:basedOn w:val="BodyText"/>
    <w:next w:val="BodyText"/>
    <w:rsid w:val="00120EDD"/>
    <w:pPr>
      <w:tabs>
        <w:tab w:val="left" w:pos="340"/>
      </w:tabs>
      <w:spacing w:before="60" w:after="60"/>
      <w:ind w:left="340" w:hanging="340"/>
    </w:pPr>
  </w:style>
  <w:style w:type="paragraph" w:customStyle="1" w:styleId="Note">
    <w:name w:val="Note"/>
    <w:basedOn w:val="BodyText"/>
    <w:rsid w:val="00120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EDD"/>
    <w:pPr>
      <w:framePr w:wrap="auto" w:hAnchor="text" w:y="6049"/>
    </w:pPr>
    <w:rPr>
      <w:color w:val="000000"/>
      <w:sz w:val="40"/>
    </w:rPr>
  </w:style>
  <w:style w:type="paragraph" w:customStyle="1" w:styleId="TOCTitle">
    <w:name w:val="TOCTitle"/>
    <w:basedOn w:val="Heading1"/>
    <w:rsid w:val="00120EDD"/>
    <w:pPr>
      <w:spacing w:after="240"/>
      <w:jc w:val="center"/>
      <w:outlineLvl w:val="9"/>
    </w:pPr>
    <w:rPr>
      <w:caps/>
    </w:rPr>
  </w:style>
  <w:style w:type="paragraph" w:customStyle="1" w:styleId="Version">
    <w:name w:val="Version"/>
    <w:rsid w:val="00120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EDD"/>
    <w:pPr>
      <w:keepNext w:val="0"/>
      <w:tabs>
        <w:tab w:val="right" w:pos="4176"/>
      </w:tabs>
      <w:ind w:left="198" w:hanging="198"/>
    </w:pPr>
    <w:rPr>
      <w:rFonts w:ascii="Garamond" w:hAnsi="Garamond"/>
    </w:rPr>
  </w:style>
  <w:style w:type="paragraph" w:styleId="IndexHeading">
    <w:name w:val="index heading"/>
    <w:basedOn w:val="Normal"/>
    <w:next w:val="Index1"/>
    <w:semiHidden/>
    <w:rsid w:val="00120EDD"/>
    <w:pPr>
      <w:spacing w:before="120" w:after="120"/>
    </w:pPr>
    <w:rPr>
      <w:rFonts w:ascii="Arial" w:hAnsi="Arial"/>
      <w:b/>
      <w:color w:val="918585"/>
      <w:sz w:val="24"/>
    </w:rPr>
  </w:style>
  <w:style w:type="paragraph" w:styleId="Header">
    <w:name w:val="header"/>
    <w:basedOn w:val="Normal"/>
    <w:link w:val="HeaderChar"/>
    <w:rsid w:val="00120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EDD"/>
    <w:rPr>
      <w:rFonts w:ascii="Times New Roman" w:eastAsia="Times New Roman" w:hAnsi="Times New Roman" w:cs="Times New Roman"/>
      <w:sz w:val="16"/>
      <w:szCs w:val="20"/>
      <w:lang w:val="en-GB" w:eastAsia="en-US"/>
    </w:rPr>
  </w:style>
  <w:style w:type="paragraph" w:customStyle="1" w:styleId="Chapter">
    <w:name w:val="Chapter"/>
    <w:basedOn w:val="Normal"/>
    <w:rsid w:val="00120EDD"/>
    <w:pPr>
      <w:spacing w:before="240"/>
    </w:pPr>
    <w:rPr>
      <w:rFonts w:ascii="Times New Roman" w:hAnsi="Times New Roman"/>
      <w:smallCaps/>
      <w:spacing w:val="80"/>
      <w:sz w:val="28"/>
    </w:rPr>
  </w:style>
  <w:style w:type="paragraph" w:customStyle="1" w:styleId="InChapter">
    <w:name w:val="InChapter"/>
    <w:basedOn w:val="Heading3"/>
    <w:rsid w:val="00120EDD"/>
    <w:pPr>
      <w:spacing w:after="240"/>
      <w:outlineLvl w:val="9"/>
    </w:pPr>
    <w:rPr>
      <w:noProof/>
    </w:rPr>
  </w:style>
  <w:style w:type="paragraph" w:styleId="Index2">
    <w:name w:val="index 2"/>
    <w:basedOn w:val="Normal"/>
    <w:next w:val="Normal"/>
    <w:semiHidden/>
    <w:rsid w:val="00120EDD"/>
    <w:pPr>
      <w:tabs>
        <w:tab w:val="right" w:pos="4176"/>
      </w:tabs>
      <w:ind w:left="568" w:hanging="284"/>
    </w:pPr>
    <w:rPr>
      <w:rFonts w:ascii="Garamond" w:hAnsi="Garamond"/>
    </w:rPr>
  </w:style>
  <w:style w:type="paragraph" w:customStyle="1" w:styleId="Byline">
    <w:name w:val="Byline"/>
    <w:rsid w:val="00120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EDD"/>
    <w:pPr>
      <w:tabs>
        <w:tab w:val="clear" w:pos="3600"/>
        <w:tab w:val="clear" w:pos="3958"/>
      </w:tabs>
      <w:jc w:val="right"/>
    </w:pPr>
  </w:style>
  <w:style w:type="character" w:styleId="Emphasis">
    <w:name w:val="Emphasis"/>
    <w:basedOn w:val="DefaultParagraphFont"/>
    <w:qFormat/>
    <w:rsid w:val="00120EDD"/>
    <w:rPr>
      <w:i/>
    </w:rPr>
  </w:style>
  <w:style w:type="paragraph" w:styleId="Caption">
    <w:name w:val="caption"/>
    <w:basedOn w:val="BodyText"/>
    <w:next w:val="Normal"/>
    <w:qFormat/>
    <w:rsid w:val="00120EDD"/>
    <w:pPr>
      <w:framePr w:w="2268" w:hSpace="181" w:vSpace="181" w:wrap="around" w:vAnchor="text" w:hAnchor="page" w:x="1135" w:y="285" w:anchorLock="1"/>
    </w:pPr>
    <w:rPr>
      <w:i/>
    </w:rPr>
  </w:style>
  <w:style w:type="paragraph" w:customStyle="1" w:styleId="MiniTOCTitle">
    <w:name w:val="MiniTOCTitle"/>
    <w:basedOn w:val="Heading4"/>
    <w:rsid w:val="00120EDD"/>
    <w:pPr>
      <w:spacing w:before="240"/>
      <w:outlineLvl w:val="9"/>
    </w:pPr>
    <w:rPr>
      <w:noProof/>
      <w:sz w:val="24"/>
    </w:rPr>
  </w:style>
  <w:style w:type="paragraph" w:customStyle="1" w:styleId="MiniTOCItem">
    <w:name w:val="MiniTOCItem"/>
    <w:basedOn w:val="ListBullet"/>
    <w:rsid w:val="00120EDD"/>
    <w:pPr>
      <w:numPr>
        <w:numId w:val="0"/>
      </w:numPr>
      <w:tabs>
        <w:tab w:val="right" w:leader="dot" w:pos="6521"/>
      </w:tabs>
      <w:spacing w:before="0" w:after="0"/>
    </w:pPr>
  </w:style>
  <w:style w:type="paragraph" w:customStyle="1" w:styleId="TOFTitle">
    <w:name w:val="TOFTitle"/>
    <w:basedOn w:val="TOCTitle"/>
    <w:rsid w:val="00120EDD"/>
  </w:style>
  <w:style w:type="paragraph" w:styleId="TableofFigures">
    <w:name w:val="table of figures"/>
    <w:basedOn w:val="Normal"/>
    <w:next w:val="Normal"/>
    <w:semiHidden/>
    <w:rsid w:val="00120EDD"/>
    <w:pPr>
      <w:tabs>
        <w:tab w:val="right" w:leader="dot" w:pos="9072"/>
      </w:tabs>
      <w:ind w:left="970" w:hanging="403"/>
    </w:pPr>
    <w:rPr>
      <w:rFonts w:ascii="Times New Roman" w:hAnsi="Times New Roman"/>
      <w:b/>
    </w:rPr>
  </w:style>
  <w:style w:type="paragraph" w:styleId="ListNumber">
    <w:name w:val="List Number"/>
    <w:basedOn w:val="List"/>
    <w:rsid w:val="00120EDD"/>
    <w:pPr>
      <w:numPr>
        <w:numId w:val="12"/>
      </w:numPr>
    </w:pPr>
  </w:style>
  <w:style w:type="character" w:customStyle="1" w:styleId="WingdingSymbols">
    <w:name w:val="Wingding Symbols"/>
    <w:rsid w:val="00120EDD"/>
    <w:rPr>
      <w:rFonts w:ascii="Wingdings" w:hAnsi="Wingdings"/>
    </w:rPr>
  </w:style>
  <w:style w:type="paragraph" w:customStyle="1" w:styleId="TableHeading">
    <w:name w:val="Table Heading"/>
    <w:basedOn w:val="HeadingBase"/>
    <w:rsid w:val="00120EDD"/>
    <w:pPr>
      <w:keepLines/>
      <w:pBdr>
        <w:bottom w:val="single" w:sz="6" w:space="1" w:color="918585"/>
      </w:pBdr>
      <w:spacing w:before="240"/>
    </w:pPr>
  </w:style>
  <w:style w:type="character" w:customStyle="1" w:styleId="HotSpot">
    <w:name w:val="HotSpot"/>
    <w:rsid w:val="00120EDD"/>
    <w:rPr>
      <w:color w:val="0033CC"/>
      <w:u w:val="none"/>
    </w:rPr>
  </w:style>
  <w:style w:type="paragraph" w:customStyle="1" w:styleId="BodyTextRight">
    <w:name w:val="Body Text Right"/>
    <w:basedOn w:val="BodyText"/>
    <w:rsid w:val="00120EDD"/>
    <w:pPr>
      <w:spacing w:before="0" w:after="0"/>
      <w:jc w:val="right"/>
    </w:pPr>
  </w:style>
  <w:style w:type="paragraph" w:styleId="Index3">
    <w:name w:val="index 3"/>
    <w:basedOn w:val="ListNumber2"/>
    <w:next w:val="Normal"/>
    <w:semiHidden/>
    <w:rsid w:val="00120EDD"/>
    <w:pPr>
      <w:numPr>
        <w:numId w:val="0"/>
      </w:numPr>
      <w:tabs>
        <w:tab w:val="right" w:leader="dot" w:pos="4176"/>
      </w:tabs>
    </w:pPr>
  </w:style>
  <w:style w:type="paragraph" w:styleId="ListNumber2">
    <w:name w:val="List Number 2"/>
    <w:basedOn w:val="List2"/>
    <w:rsid w:val="00120EDD"/>
    <w:pPr>
      <w:numPr>
        <w:numId w:val="11"/>
      </w:numPr>
      <w:tabs>
        <w:tab w:val="clear" w:pos="1060"/>
      </w:tabs>
    </w:pPr>
  </w:style>
  <w:style w:type="paragraph" w:customStyle="1" w:styleId="MarginNote">
    <w:name w:val="Margin Note"/>
    <w:basedOn w:val="BodyText"/>
    <w:rsid w:val="00120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E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EDD"/>
    <w:rPr>
      <w:sz w:val="32"/>
    </w:rPr>
  </w:style>
  <w:style w:type="paragraph" w:customStyle="1" w:styleId="HeadingProcedure">
    <w:name w:val="Heading Procedure"/>
    <w:basedOn w:val="HeadingBase"/>
    <w:next w:val="Normal"/>
    <w:rsid w:val="00120EDD"/>
    <w:pPr>
      <w:tabs>
        <w:tab w:val="left" w:pos="0"/>
      </w:tabs>
      <w:spacing w:before="120" w:after="60"/>
    </w:pPr>
    <w:rPr>
      <w:i/>
      <w:color w:val="918585"/>
      <w:sz w:val="22"/>
    </w:rPr>
  </w:style>
  <w:style w:type="paragraph" w:customStyle="1" w:styleId="TableBodyText">
    <w:name w:val="Table Body Text"/>
    <w:basedOn w:val="BodyText"/>
    <w:rsid w:val="00120EDD"/>
    <w:pPr>
      <w:spacing w:before="60" w:after="60"/>
    </w:pPr>
  </w:style>
  <w:style w:type="paragraph" w:styleId="ListContinue">
    <w:name w:val="List Continue"/>
    <w:basedOn w:val="List"/>
    <w:rsid w:val="00120EDD"/>
    <w:pPr>
      <w:ind w:firstLine="0"/>
    </w:pPr>
  </w:style>
  <w:style w:type="paragraph" w:customStyle="1" w:styleId="ListNote">
    <w:name w:val="List Note"/>
    <w:basedOn w:val="List"/>
    <w:rsid w:val="00120EDD"/>
    <w:pPr>
      <w:pBdr>
        <w:top w:val="single" w:sz="6" w:space="2" w:color="918585"/>
        <w:bottom w:val="single" w:sz="6" w:space="2" w:color="918585"/>
      </w:pBdr>
      <w:tabs>
        <w:tab w:val="left" w:pos="1021"/>
      </w:tabs>
      <w:ind w:firstLine="0"/>
    </w:pPr>
  </w:style>
  <w:style w:type="paragraph" w:customStyle="1" w:styleId="Warning">
    <w:name w:val="Warning"/>
    <w:basedOn w:val="BodyText"/>
    <w:rsid w:val="00120EDD"/>
    <w:pPr>
      <w:shd w:val="clear" w:color="auto" w:fill="D9D9D9"/>
      <w:tabs>
        <w:tab w:val="left" w:pos="992"/>
      </w:tabs>
      <w:ind w:left="119" w:right="119"/>
    </w:pPr>
    <w:rPr>
      <w:sz w:val="20"/>
    </w:rPr>
  </w:style>
  <w:style w:type="paragraph" w:customStyle="1" w:styleId="MarginIcons">
    <w:name w:val="Margin Icons"/>
    <w:basedOn w:val="BodyText"/>
    <w:rsid w:val="00120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EDD"/>
    <w:rPr>
      <w:rFonts w:ascii="Courier New" w:hAnsi="Courier New"/>
    </w:rPr>
  </w:style>
  <w:style w:type="paragraph" w:customStyle="1" w:styleId="NoteBullet">
    <w:name w:val="Note Bullet"/>
    <w:basedOn w:val="Note"/>
    <w:rsid w:val="00120EDD"/>
    <w:pPr>
      <w:tabs>
        <w:tab w:val="clear" w:pos="680"/>
      </w:tabs>
      <w:spacing w:before="60" w:after="60"/>
    </w:pPr>
  </w:style>
  <w:style w:type="paragraph" w:customStyle="1" w:styleId="SubHeading2">
    <w:name w:val="SubHeading2"/>
    <w:basedOn w:val="HeadingBase"/>
    <w:rsid w:val="00120EDD"/>
    <w:pPr>
      <w:spacing w:before="240" w:after="60"/>
    </w:pPr>
    <w:rPr>
      <w:sz w:val="20"/>
    </w:rPr>
  </w:style>
  <w:style w:type="paragraph" w:customStyle="1" w:styleId="SubHeading1">
    <w:name w:val="SubHeading1"/>
    <w:basedOn w:val="HeadingBase"/>
    <w:rsid w:val="00120EDD"/>
    <w:pPr>
      <w:spacing w:before="240" w:after="60"/>
    </w:pPr>
    <w:rPr>
      <w:color w:val="918585"/>
      <w:sz w:val="22"/>
    </w:rPr>
  </w:style>
  <w:style w:type="paragraph" w:customStyle="1" w:styleId="SideHeading">
    <w:name w:val="Side Heading"/>
    <w:basedOn w:val="HeadingBase"/>
    <w:rsid w:val="00120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EDD"/>
    <w:pPr>
      <w:numPr>
        <w:numId w:val="13"/>
      </w:numPr>
    </w:pPr>
  </w:style>
  <w:style w:type="paragraph" w:styleId="PlainText">
    <w:name w:val="Plain Text"/>
    <w:basedOn w:val="Normal"/>
    <w:link w:val="PlainTextChar"/>
    <w:rsid w:val="00120EDD"/>
    <w:rPr>
      <w:sz w:val="20"/>
    </w:rPr>
  </w:style>
  <w:style w:type="character" w:customStyle="1" w:styleId="PlainTextChar">
    <w:name w:val="Plain Text Char"/>
    <w:basedOn w:val="DefaultParagraphFont"/>
    <w:link w:val="PlainText"/>
    <w:rsid w:val="00120EDD"/>
    <w:rPr>
      <w:rFonts w:ascii="Courier New" w:eastAsia="Times New Roman" w:hAnsi="Courier New" w:cs="Times New Roman"/>
      <w:sz w:val="20"/>
      <w:szCs w:val="20"/>
      <w:lang w:eastAsia="en-US"/>
    </w:rPr>
  </w:style>
  <w:style w:type="character" w:customStyle="1" w:styleId="MenuOption">
    <w:name w:val="Menu Option"/>
    <w:basedOn w:val="DefaultParagraphFont"/>
    <w:rsid w:val="00120EDD"/>
    <w:rPr>
      <w:b/>
      <w:smallCaps/>
    </w:rPr>
  </w:style>
  <w:style w:type="paragraph" w:customStyle="1" w:styleId="TableListNumber">
    <w:name w:val="Table List Number"/>
    <w:basedOn w:val="ListNumber"/>
    <w:rsid w:val="00120EDD"/>
    <w:pPr>
      <w:numPr>
        <w:numId w:val="0"/>
      </w:numPr>
    </w:pPr>
  </w:style>
  <w:style w:type="paragraph" w:styleId="TOC4">
    <w:name w:val="toc 4"/>
    <w:basedOn w:val="TOCBase"/>
    <w:next w:val="Normal"/>
    <w:semiHidden/>
    <w:rsid w:val="00120EDD"/>
    <w:pPr>
      <w:tabs>
        <w:tab w:val="right" w:leader="dot" w:pos="9071"/>
      </w:tabs>
      <w:ind w:left="1701"/>
    </w:pPr>
  </w:style>
  <w:style w:type="paragraph" w:customStyle="1" w:styleId="ListAlpha">
    <w:name w:val="List Alpha"/>
    <w:basedOn w:val="List"/>
    <w:rsid w:val="00120EDD"/>
    <w:pPr>
      <w:numPr>
        <w:numId w:val="10"/>
      </w:numPr>
    </w:pPr>
  </w:style>
  <w:style w:type="paragraph" w:customStyle="1" w:styleId="ListAlpha2">
    <w:name w:val="List Alpha 2"/>
    <w:basedOn w:val="List2"/>
    <w:rsid w:val="00120EDD"/>
    <w:pPr>
      <w:numPr>
        <w:numId w:val="9"/>
      </w:numPr>
    </w:pPr>
  </w:style>
  <w:style w:type="paragraph" w:styleId="List2">
    <w:name w:val="List 2"/>
    <w:basedOn w:val="BodyText"/>
    <w:rsid w:val="00120EDD"/>
    <w:pPr>
      <w:tabs>
        <w:tab w:val="left" w:pos="680"/>
      </w:tabs>
      <w:spacing w:before="60" w:after="60"/>
      <w:ind w:left="680" w:hanging="340"/>
    </w:pPr>
  </w:style>
  <w:style w:type="paragraph" w:styleId="List3">
    <w:name w:val="List 3"/>
    <w:basedOn w:val="BodyText"/>
    <w:rsid w:val="00120EDD"/>
    <w:pPr>
      <w:tabs>
        <w:tab w:val="left" w:pos="1021"/>
      </w:tabs>
      <w:spacing w:before="60" w:after="60"/>
      <w:ind w:left="1020" w:hanging="340"/>
    </w:pPr>
  </w:style>
  <w:style w:type="paragraph" w:styleId="List4">
    <w:name w:val="List 4"/>
    <w:basedOn w:val="BodyText"/>
    <w:rsid w:val="00120EDD"/>
    <w:pPr>
      <w:tabs>
        <w:tab w:val="left" w:pos="1361"/>
      </w:tabs>
      <w:spacing w:before="60" w:after="60"/>
      <w:ind w:left="1361" w:hanging="340"/>
    </w:pPr>
  </w:style>
  <w:style w:type="paragraph" w:styleId="List5">
    <w:name w:val="List 5"/>
    <w:basedOn w:val="BodyText"/>
    <w:rsid w:val="00120EDD"/>
    <w:pPr>
      <w:tabs>
        <w:tab w:val="left" w:pos="1701"/>
      </w:tabs>
      <w:spacing w:before="60" w:after="60"/>
      <w:ind w:left="1701" w:hanging="340"/>
    </w:pPr>
  </w:style>
  <w:style w:type="paragraph" w:styleId="ListBullet4">
    <w:name w:val="List Bullet 4"/>
    <w:basedOn w:val="List4"/>
    <w:rsid w:val="00120EDD"/>
    <w:pPr>
      <w:numPr>
        <w:numId w:val="4"/>
      </w:numPr>
    </w:pPr>
  </w:style>
  <w:style w:type="paragraph" w:styleId="ListBullet5">
    <w:name w:val="List Bullet 5"/>
    <w:basedOn w:val="List5"/>
    <w:rsid w:val="00120EDD"/>
    <w:pPr>
      <w:numPr>
        <w:numId w:val="5"/>
      </w:numPr>
    </w:pPr>
  </w:style>
  <w:style w:type="paragraph" w:styleId="ListContinue2">
    <w:name w:val="List Continue 2"/>
    <w:basedOn w:val="List2"/>
    <w:rsid w:val="00120EDD"/>
    <w:pPr>
      <w:ind w:firstLine="0"/>
    </w:pPr>
  </w:style>
  <w:style w:type="paragraph" w:styleId="ListContinue3">
    <w:name w:val="List Continue 3"/>
    <w:basedOn w:val="List3"/>
    <w:rsid w:val="00120EDD"/>
    <w:pPr>
      <w:ind w:left="1021" w:firstLine="0"/>
    </w:pPr>
  </w:style>
  <w:style w:type="paragraph" w:styleId="ListContinue4">
    <w:name w:val="List Continue 4"/>
    <w:basedOn w:val="List4"/>
    <w:rsid w:val="00120EDD"/>
    <w:pPr>
      <w:ind w:firstLine="0"/>
    </w:pPr>
  </w:style>
  <w:style w:type="paragraph" w:styleId="ListContinue5">
    <w:name w:val="List Continue 5"/>
    <w:basedOn w:val="List5"/>
    <w:rsid w:val="00120EDD"/>
    <w:pPr>
      <w:ind w:firstLine="0"/>
    </w:pPr>
  </w:style>
  <w:style w:type="paragraph" w:styleId="ListNumber3">
    <w:name w:val="List Number 3"/>
    <w:basedOn w:val="List3"/>
    <w:rsid w:val="00120EDD"/>
    <w:pPr>
      <w:numPr>
        <w:numId w:val="6"/>
      </w:numPr>
    </w:pPr>
  </w:style>
  <w:style w:type="paragraph" w:styleId="ListNumber4">
    <w:name w:val="List Number 4"/>
    <w:basedOn w:val="List4"/>
    <w:rsid w:val="00120EDD"/>
    <w:pPr>
      <w:numPr>
        <w:numId w:val="7"/>
      </w:numPr>
    </w:pPr>
  </w:style>
  <w:style w:type="paragraph" w:styleId="ListNumber5">
    <w:name w:val="List Number 5"/>
    <w:basedOn w:val="List5"/>
    <w:rsid w:val="00120EDD"/>
    <w:pPr>
      <w:numPr>
        <w:numId w:val="8"/>
      </w:numPr>
    </w:pPr>
  </w:style>
  <w:style w:type="paragraph" w:styleId="BlockText">
    <w:name w:val="Block Text"/>
    <w:basedOn w:val="Normal"/>
    <w:rsid w:val="00120EDD"/>
    <w:pPr>
      <w:spacing w:after="120"/>
      <w:ind w:left="1440" w:right="1440"/>
    </w:pPr>
  </w:style>
  <w:style w:type="character" w:customStyle="1" w:styleId="Subscript">
    <w:name w:val="Subscript"/>
    <w:basedOn w:val="DefaultParagraphFont"/>
    <w:rsid w:val="00120EDD"/>
    <w:rPr>
      <w:sz w:val="16"/>
      <w:vertAlign w:val="subscript"/>
    </w:rPr>
  </w:style>
  <w:style w:type="character" w:customStyle="1" w:styleId="Superscript">
    <w:name w:val="Superscript"/>
    <w:basedOn w:val="DefaultParagraphFont"/>
    <w:rsid w:val="00120EDD"/>
    <w:rPr>
      <w:sz w:val="16"/>
      <w:vertAlign w:val="superscript"/>
    </w:rPr>
  </w:style>
  <w:style w:type="character" w:customStyle="1" w:styleId="Symbols">
    <w:name w:val="Symbols"/>
    <w:basedOn w:val="DefaultParagraphFont"/>
    <w:rsid w:val="00120EDD"/>
    <w:rPr>
      <w:rFonts w:ascii="Symbol" w:hAnsi="Symbol"/>
    </w:rPr>
  </w:style>
  <w:style w:type="character" w:customStyle="1" w:styleId="MenuOptions">
    <w:name w:val="Menu Options"/>
    <w:basedOn w:val="DefaultParagraphFont"/>
    <w:rsid w:val="00120EDD"/>
    <w:rPr>
      <w:rFonts w:ascii="Arial Narrow" w:hAnsi="Arial Narrow"/>
      <w:smallCaps/>
    </w:rPr>
  </w:style>
  <w:style w:type="character" w:customStyle="1" w:styleId="Buttons">
    <w:name w:val="Buttons"/>
    <w:basedOn w:val="DefaultParagraphFont"/>
    <w:rsid w:val="00120EDD"/>
    <w:rPr>
      <w:b/>
    </w:rPr>
  </w:style>
  <w:style w:type="character" w:customStyle="1" w:styleId="Underlined">
    <w:name w:val="Underlined"/>
    <w:basedOn w:val="DefaultParagraphFont"/>
    <w:rsid w:val="00120EDD"/>
    <w:rPr>
      <w:u w:val="single"/>
    </w:rPr>
  </w:style>
  <w:style w:type="paragraph" w:customStyle="1" w:styleId="TableBodyTextRight">
    <w:name w:val="Table Body Text Right"/>
    <w:basedOn w:val="TableBodyText"/>
    <w:rsid w:val="00120EDD"/>
    <w:pPr>
      <w:widowControl w:val="0"/>
      <w:autoSpaceDE w:val="0"/>
      <w:autoSpaceDN w:val="0"/>
      <w:adjustRightInd w:val="0"/>
      <w:jc w:val="right"/>
    </w:pPr>
    <w:rPr>
      <w:rFonts w:cs="Arial"/>
      <w:szCs w:val="18"/>
    </w:rPr>
  </w:style>
  <w:style w:type="paragraph" w:customStyle="1" w:styleId="CopyrightText">
    <w:name w:val="Copyright Text"/>
    <w:basedOn w:val="BodyText"/>
    <w:rsid w:val="00120EDD"/>
    <w:rPr>
      <w:sz w:val="18"/>
    </w:rPr>
  </w:style>
  <w:style w:type="paragraph" w:customStyle="1" w:styleId="BodySmallRight">
    <w:name w:val="Body Small Right"/>
    <w:basedOn w:val="BodyTextRight"/>
    <w:rsid w:val="00120EDD"/>
    <w:rPr>
      <w:sz w:val="18"/>
      <w:szCs w:val="18"/>
    </w:rPr>
  </w:style>
  <w:style w:type="paragraph" w:customStyle="1" w:styleId="MarginEdition">
    <w:name w:val="Margin Edition"/>
    <w:basedOn w:val="MarginNote"/>
    <w:rsid w:val="00120EDD"/>
    <w:pPr>
      <w:spacing w:before="0" w:after="0"/>
    </w:pPr>
    <w:rPr>
      <w:rFonts w:ascii="Times New Roman" w:hAnsi="Times New Roman"/>
      <w:color w:val="999999"/>
    </w:rPr>
  </w:style>
  <w:style w:type="paragraph" w:customStyle="1" w:styleId="Spacer">
    <w:name w:val="Spacer"/>
    <w:basedOn w:val="Normal"/>
    <w:rsid w:val="00120EDD"/>
    <w:rPr>
      <w:sz w:val="2"/>
      <w:szCs w:val="2"/>
    </w:rPr>
  </w:style>
  <w:style w:type="character" w:customStyle="1" w:styleId="Small">
    <w:name w:val="Small"/>
    <w:basedOn w:val="DefaultParagraphFont"/>
    <w:rsid w:val="00120EDD"/>
    <w:rPr>
      <w:sz w:val="16"/>
    </w:rPr>
  </w:style>
  <w:style w:type="paragraph" w:customStyle="1" w:styleId="WideTable">
    <w:name w:val="Wide Table"/>
    <w:basedOn w:val="Normal"/>
    <w:rsid w:val="00120EDD"/>
    <w:pPr>
      <w:ind w:left="-1418"/>
    </w:pPr>
    <w:rPr>
      <w:sz w:val="2"/>
      <w:szCs w:val="2"/>
    </w:rPr>
  </w:style>
  <w:style w:type="character" w:styleId="PageNumber">
    <w:name w:val="page number"/>
    <w:basedOn w:val="DefaultParagraphFont"/>
    <w:rsid w:val="00120EDD"/>
  </w:style>
  <w:style w:type="paragraph" w:styleId="Quote">
    <w:name w:val="Quote"/>
    <w:basedOn w:val="Heading1"/>
    <w:link w:val="QuoteChar"/>
    <w:qFormat/>
    <w:rsid w:val="00120EDD"/>
    <w:rPr>
      <w:b w:val="0"/>
      <w:sz w:val="72"/>
      <w:szCs w:val="72"/>
      <w:lang w:val="en-NZ"/>
    </w:rPr>
  </w:style>
  <w:style w:type="character" w:customStyle="1" w:styleId="QuoteChar">
    <w:name w:val="Quote Char"/>
    <w:basedOn w:val="DefaultParagraphFont"/>
    <w:link w:val="Quote"/>
    <w:rsid w:val="00120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EDD"/>
    <w:pPr>
      <w:pageBreakBefore/>
    </w:pPr>
  </w:style>
  <w:style w:type="paragraph" w:customStyle="1" w:styleId="Border">
    <w:name w:val="Border"/>
    <w:basedOn w:val="Normal"/>
    <w:qFormat/>
    <w:rsid w:val="00120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EDD"/>
    <w:rPr>
      <w:b/>
      <w:bCs/>
      <w:i/>
      <w:iCs/>
      <w:color w:val="auto"/>
    </w:rPr>
  </w:style>
  <w:style w:type="paragraph" w:styleId="IntenseQuote">
    <w:name w:val="Intense Quote"/>
    <w:basedOn w:val="Normal"/>
    <w:next w:val="Normal"/>
    <w:link w:val="IntenseQuoteChar"/>
    <w:uiPriority w:val="30"/>
    <w:qFormat/>
    <w:rsid w:val="00120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E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EDD"/>
    <w:rPr>
      <w:smallCaps/>
      <w:color w:val="auto"/>
      <w:u w:val="single"/>
    </w:rPr>
  </w:style>
  <w:style w:type="character" w:styleId="IntenseReference">
    <w:name w:val="Intense Reference"/>
    <w:basedOn w:val="DefaultParagraphFont"/>
    <w:uiPriority w:val="32"/>
    <w:qFormat/>
    <w:rsid w:val="00120EDD"/>
    <w:rPr>
      <w:b/>
      <w:bCs/>
      <w:smallCaps/>
      <w:color w:val="auto"/>
      <w:spacing w:val="5"/>
      <w:u w:val="single"/>
    </w:rPr>
  </w:style>
  <w:style w:type="paragraph" w:customStyle="1" w:styleId="2ColumnHeading">
    <w:name w:val="2Column Heading"/>
    <w:basedOn w:val="BodyText"/>
    <w:qFormat/>
    <w:rsid w:val="00120EDD"/>
    <w:pPr>
      <w:spacing w:after="60"/>
      <w:ind w:left="-2268"/>
    </w:pPr>
    <w:rPr>
      <w:b/>
    </w:rPr>
  </w:style>
  <w:style w:type="paragraph" w:customStyle="1" w:styleId="Heading1TOC">
    <w:name w:val="Heading1 TOC"/>
    <w:basedOn w:val="Normal"/>
    <w:qFormat/>
    <w:rsid w:val="00120EDD"/>
    <w:pPr>
      <w:spacing w:before="240" w:after="120"/>
    </w:pPr>
    <w:rPr>
      <w:rFonts w:ascii="Times New Roman" w:hAnsi="Times New Roman"/>
      <w:b/>
      <w:sz w:val="32"/>
    </w:rPr>
  </w:style>
  <w:style w:type="paragraph" w:customStyle="1" w:styleId="Heading2TOC">
    <w:name w:val="Heading2 TOC"/>
    <w:basedOn w:val="Normal"/>
    <w:qFormat/>
    <w:rsid w:val="00120EDD"/>
    <w:pPr>
      <w:spacing w:before="240" w:after="60"/>
    </w:pPr>
    <w:rPr>
      <w:rFonts w:ascii="Times New Roman" w:hAnsi="Times New Roman"/>
      <w:b/>
      <w:sz w:val="28"/>
    </w:rPr>
  </w:style>
  <w:style w:type="character" w:customStyle="1" w:styleId="Underline">
    <w:name w:val="Underline"/>
    <w:basedOn w:val="DefaultParagraphFont"/>
    <w:qFormat/>
    <w:rsid w:val="00120EDD"/>
    <w:rPr>
      <w:u w:val="single"/>
    </w:rPr>
  </w:style>
  <w:style w:type="character" w:customStyle="1" w:styleId="BoldandItalics">
    <w:name w:val="Bold and Italics"/>
    <w:qFormat/>
    <w:rsid w:val="00120EDD"/>
    <w:rPr>
      <w:b/>
      <w:i/>
      <w:u w:val="none"/>
    </w:rPr>
  </w:style>
  <w:style w:type="paragraph" w:styleId="BalloonText">
    <w:name w:val="Balloon Text"/>
    <w:basedOn w:val="Normal"/>
    <w:link w:val="BalloonTextChar"/>
    <w:rsid w:val="00120EDD"/>
    <w:rPr>
      <w:rFonts w:ascii="Tahoma" w:hAnsi="Tahoma" w:cs="Tahoma"/>
      <w:sz w:val="16"/>
      <w:szCs w:val="16"/>
    </w:rPr>
  </w:style>
  <w:style w:type="character" w:customStyle="1" w:styleId="BalloonTextChar">
    <w:name w:val="Balloon Text Char"/>
    <w:basedOn w:val="DefaultParagraphFont"/>
    <w:link w:val="BalloonText"/>
    <w:rsid w:val="00120E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E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EDD"/>
    <w:rPr>
      <w:b/>
      <w:color w:val="660033"/>
      <w:spacing w:val="0"/>
    </w:rPr>
  </w:style>
  <w:style w:type="paragraph" w:customStyle="1" w:styleId="Nameditemlist">
    <w:name w:val="Named item list"/>
    <w:basedOn w:val="BodyText"/>
    <w:qFormat/>
    <w:rsid w:val="00120E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1943</Words>
  <Characters>11922</Characters>
  <Application>Microsoft Office Word</Application>
  <DocSecurity>0</DocSecurity>
  <Lines>485</Lines>
  <Paragraphs>217</Paragraphs>
  <ScaleCrop>false</ScaleCrop>
  <Company>Author-it Software Corporation Ltd.</Company>
  <LinksUpToDate>false</LinksUpToDate>
  <CharactersWithSpaces>13734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UEENEEE121A Plan an integrated cabling installation system</dc:title>
  <dc:subject>Approved</dc:subject>
  <dc:creator>E-OZ Training Standards</dc:creator>
  <cp:keywords>Release: 2</cp:keywords>
  <dc:description>Review Date: 12 April 2008</dc:description>
  <cp:lastModifiedBy>HSD_TPCMSd.prod</cp:lastModifiedBy>
  <cp:revision>3</cp:revision>
  <dcterms:created xsi:type="dcterms:W3CDTF">2013-08-14T07:06:00Z</dcterms:created>
  <dcterms:modified xsi:type="dcterms:W3CDTF">2013-08-14T07:06:00Z</dcterms:modified>
</cp:coreProperties>
</file>