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740C" w:rsidP="005B740C">
      <w:pPr>
        <w:pStyle w:val="Title"/>
      </w:pPr>
      <w:bookmarkStart w:id="0" w:name="_GoBack"/>
      <w:bookmarkEnd w:id="0"/>
      <w:r>
        <w:fldChar w:fldCharType="begin"/>
      </w:r>
      <w:r>
        <w:instrText xml:space="preserve"> TITLE   \* MERGEFORMAT </w:instrText>
      </w:r>
      <w:r>
        <w:fldChar w:fldCharType="separate"/>
      </w:r>
      <w:r>
        <w:t>UEENEED151A Provide programming solution for computer systems engineering problems</w:t>
      </w:r>
      <w:r>
        <w:fldChar w:fldCharType="end"/>
      </w:r>
    </w:p>
    <w:p w:rsidR="005B740C" w:rsidP="005B740C">
      <w:pPr>
        <w:pStyle w:val="Version"/>
        <w:sectPr w:rsidSect="006E77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7749" w:rsidP="006E7749">
      <w:pPr>
        <w:pStyle w:val="SuperHeading"/>
      </w:pPr>
      <w:r w:rsidRPr="006E7749">
        <w:t>UEENEED151A Provide programming solution for computer systems engineering problems</w:t>
      </w:r>
    </w:p>
    <w:p w:rsidR="00000000" w:rsidRPr="006E7749" w:rsidP="006E7749">
      <w:pPr>
        <w:pStyle w:val="Heading1"/>
      </w:pPr>
      <w:bookmarkStart w:id="1" w:name="O_416999"/>
      <w:bookmarkEnd w:id="1"/>
      <w:r w:rsidRPr="006E7749">
        <w:t>Modification History</w:t>
      </w:r>
    </w:p>
    <w:p w:rsidR="00000000" w:rsidRPr="006E7749" w:rsidP="006E7749">
      <w:pPr>
        <w:pStyle w:val="BodyText"/>
      </w:pPr>
      <w:r w:rsidRPr="006E7749">
        <w:t>Not applicable.</w:t>
      </w:r>
    </w:p>
    <w:p w:rsidR="00000000" w:rsidRPr="006E7749" w:rsidP="006E7749">
      <w:pPr>
        <w:pStyle w:val="AllowPageBreak"/>
      </w:pPr>
    </w:p>
    <w:p w:rsidR="00000000" w:rsidRPr="006E7749" w:rsidP="006E7749">
      <w:pPr>
        <w:pStyle w:val="Heading1"/>
      </w:pPr>
      <w:bookmarkStart w:id="2" w:name="O_416997"/>
      <w:bookmarkEnd w:id="2"/>
      <w:r w:rsidRPr="006E7749">
        <w:t>Unit Descript</w:t>
      </w:r>
      <w:r w:rsidRPr="006E7749">
        <w:t>or</w:t>
      </w:r>
    </w:p>
    <w:tbl>
      <w:tblPr>
        <w:tblW w:w="0" w:type="auto"/>
        <w:tblLayout w:type="fixed"/>
        <w:tblCellMar>
          <w:left w:w="62" w:type="dxa"/>
          <w:right w:w="62" w:type="dxa"/>
        </w:tblCellMar>
        <w:tblLook w:val="0000"/>
      </w:tblPr>
      <w:tblGrid>
        <w:gridCol w:w="2700"/>
        <w:gridCol w:w="5760"/>
      </w:tblGrid>
      <w:tr w:rsidTr="005B740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E7749" w:rsidP="006E7749">
            <w:pPr>
              <w:pStyle w:val="BodyText"/>
            </w:pPr>
            <w:r w:rsidRPr="006E774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rPr>
                <w:rStyle w:val="SpecialBold"/>
              </w:rPr>
              <w:t>1)</w:t>
            </w:r>
            <w:r w:rsidRPr="006E7749">
              <w:t xml:space="preserve"> </w:t>
            </w:r>
            <w:r w:rsidRPr="006E7749">
              <w:rPr>
                <w:rStyle w:val="SpecialBold"/>
              </w:rPr>
              <w:t>Scope:</w:t>
            </w:r>
          </w:p>
        </w:tc>
      </w:tr>
      <w:tr w:rsidTr="005B74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E774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rPr>
                <w:rStyle w:val="SpecialBold"/>
              </w:rPr>
              <w:t>1.1) Descriptor</w:t>
            </w:r>
          </w:p>
        </w:tc>
      </w:tr>
      <w:tr w:rsidTr="005B74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E7749" w:rsidP="006E7749">
            <w:pPr>
              <w:pStyle w:val="BodyText"/>
            </w:pPr>
            <w:r w:rsidRPr="006E7749">
              <w:t xml:space="preserve">This unit covers developing, implementing and testing programming solutions, using a structured programming language. It encompasses following </w:t>
            </w:r>
            <w:r w:rsidRPr="006E7749">
              <w:t>design brief using appropriate development software, writing code and documenting development activities.</w:t>
            </w:r>
          </w:p>
          <w:p w:rsidR="00000000" w:rsidRPr="006E7749" w:rsidP="006E7749">
            <w:pPr>
              <w:pStyle w:val="BodyText"/>
            </w:pPr>
            <w:r w:rsidRPr="006E7749">
              <w:t xml:space="preserve">Note 1: </w:t>
            </w:r>
            <w:r w:rsidRPr="006E7749">
              <w:br/>
              <w:t>Typical engineering problems are those encountered in meeting requirements in a design brief, meeting performance requirements and compliance</w:t>
            </w:r>
            <w:r w:rsidRPr="006E7749">
              <w:t xml:space="preserve"> standards, revising a systems operating parameters and dealing with system malfunctions.</w:t>
            </w:r>
          </w:p>
          <w:p w:rsidR="00000000" w:rsidRPr="006E7749" w:rsidP="006E7749">
            <w:pPr>
              <w:pStyle w:val="BodyText"/>
            </w:pPr>
            <w:r w:rsidRPr="006E7749">
              <w:t xml:space="preserve">Note 2: </w:t>
            </w:r>
            <w:r w:rsidRPr="006E7749">
              <w:br/>
              <w:t xml:space="preserve">This unit applies to all aspects of Electrotechnology – engineering applications only. For general competencies related to Information Technologies refer to </w:t>
            </w:r>
            <w:r w:rsidRPr="006E7749">
              <w:t>the latest endorsed IT Training Package.</w:t>
            </w:r>
          </w:p>
        </w:tc>
      </w:tr>
    </w:tbl>
    <w:p w:rsidR="00000000" w:rsidRPr="006E7749" w:rsidP="006E7749">
      <w:pPr>
        <w:pStyle w:val="BodyText"/>
      </w:pPr>
    </w:p>
    <w:p w:rsidR="00000000" w:rsidRPr="006E7749" w:rsidP="006E7749">
      <w:pPr>
        <w:pStyle w:val="AllowPageBreak"/>
      </w:pPr>
    </w:p>
    <w:p w:rsidR="00000000" w:rsidRPr="006E7749" w:rsidP="006E7749">
      <w:pPr>
        <w:pStyle w:val="Heading1"/>
      </w:pPr>
      <w:bookmarkStart w:id="3" w:name="O_416986"/>
      <w:bookmarkEnd w:id="3"/>
      <w:r w:rsidRPr="006E7749">
        <w:t>Application of the Unit</w:t>
      </w:r>
    </w:p>
    <w:tbl>
      <w:tblPr>
        <w:tblW w:w="0" w:type="auto"/>
        <w:tblLayout w:type="fixed"/>
        <w:tblCellMar>
          <w:left w:w="62" w:type="dxa"/>
          <w:right w:w="62" w:type="dxa"/>
        </w:tblCellMar>
        <w:tblLook w:val="0000"/>
      </w:tblPr>
      <w:tblGrid>
        <w:gridCol w:w="2672"/>
        <w:gridCol w:w="5699"/>
      </w:tblGrid>
      <w:tr w:rsidTr="005B740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6E7749" w:rsidP="006E7749">
            <w:pPr>
              <w:pStyle w:val="BodyText"/>
            </w:pPr>
            <w:r w:rsidRPr="006E774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rPr>
                <w:rStyle w:val="SpecialBold"/>
              </w:rPr>
              <w:t>2)</w:t>
            </w:r>
          </w:p>
        </w:tc>
      </w:tr>
      <w:tr w:rsidTr="005B740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6E7749" w:rsidP="006E7749">
            <w:pPr>
              <w:pStyle w:val="BodyText"/>
            </w:pPr>
            <w:r w:rsidRPr="006E7749">
              <w:t>This unit applies to any recognised development program that leads to the acquisition of a formal award at AQF level 5 or higher.</w:t>
            </w:r>
          </w:p>
        </w:tc>
      </w:tr>
    </w:tbl>
    <w:p w:rsidR="00000000" w:rsidRPr="006E7749" w:rsidP="006E7749">
      <w:pPr>
        <w:pStyle w:val="BodyText"/>
      </w:pPr>
    </w:p>
    <w:p w:rsidR="00000000" w:rsidRPr="006E7749" w:rsidP="006E7749">
      <w:pPr>
        <w:pStyle w:val="AllowPageBreak"/>
      </w:pPr>
    </w:p>
    <w:p w:rsidR="00000000" w:rsidRPr="006E7749" w:rsidP="006E7749">
      <w:pPr>
        <w:pStyle w:val="Heading1"/>
      </w:pPr>
      <w:bookmarkStart w:id="4" w:name="O_416993"/>
      <w:bookmarkEnd w:id="4"/>
      <w:r w:rsidRPr="006E7749">
        <w:t>Licensing/Regulatory Information</w:t>
      </w:r>
    </w:p>
    <w:tbl>
      <w:tblPr>
        <w:tblW w:w="0" w:type="auto"/>
        <w:tblLayout w:type="fixed"/>
        <w:tblCellMar>
          <w:left w:w="62" w:type="dxa"/>
          <w:right w:w="62" w:type="dxa"/>
        </w:tblCellMar>
        <w:tblLook w:val="0000"/>
      </w:tblPr>
      <w:tblGrid>
        <w:gridCol w:w="2700"/>
        <w:gridCol w:w="5760"/>
      </w:tblGrid>
      <w:tr w:rsidTr="005B740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E7749" w:rsidP="006E7749">
            <w:pPr>
              <w:pStyle w:val="BodyText"/>
            </w:pPr>
            <w:r w:rsidRPr="006E774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rPr>
                <w:rStyle w:val="SpecialBold"/>
              </w:rPr>
              <w:t xml:space="preserve">3) </w:t>
            </w:r>
          </w:p>
        </w:tc>
      </w:tr>
      <w:tr w:rsidTr="005B74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E7749" w:rsidP="006E7749">
            <w:pPr>
              <w:pStyle w:val="BodyText"/>
            </w:pPr>
            <w:r w:rsidRPr="006E7749">
              <w:t>The skills and knowledge described in this unit do not require a license to practice in the workplace. However, practice in this unit is subject to regulations directly related to occupatio</w:t>
            </w:r>
            <w:r w:rsidRPr="006E7749">
              <w:t>nal health and safety and where applicable contracts of training such as apprenticeships.</w:t>
            </w:r>
          </w:p>
        </w:tc>
      </w:tr>
    </w:tbl>
    <w:p w:rsidR="00000000" w:rsidRPr="006E7749" w:rsidP="006E7749">
      <w:pPr>
        <w:pStyle w:val="BodyText"/>
      </w:pPr>
    </w:p>
    <w:p w:rsidR="00000000" w:rsidRPr="006E7749" w:rsidP="006E7749">
      <w:pPr>
        <w:pStyle w:val="AllowPageBreak"/>
      </w:pPr>
    </w:p>
    <w:p w:rsidR="00000000" w:rsidRPr="006E7749" w:rsidP="006E7749">
      <w:pPr>
        <w:pStyle w:val="Heading1"/>
      </w:pPr>
      <w:bookmarkStart w:id="5" w:name="O_416994"/>
      <w:bookmarkEnd w:id="5"/>
      <w:r w:rsidRPr="006E7749">
        <w:t>Pre-Requisites</w:t>
      </w:r>
    </w:p>
    <w:tbl>
      <w:tblPr>
        <w:tblW w:w="0" w:type="auto"/>
        <w:tblLayout w:type="fixed"/>
        <w:tblCellMar>
          <w:left w:w="62" w:type="dxa"/>
          <w:right w:w="62" w:type="dxa"/>
        </w:tblCellMar>
        <w:tblLook w:val="0000"/>
      </w:tblPr>
      <w:tblGrid>
        <w:gridCol w:w="2700"/>
        <w:gridCol w:w="1440"/>
        <w:gridCol w:w="4320"/>
      </w:tblGrid>
      <w:tr w:rsidTr="005B740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E7749" w:rsidP="006E7749">
            <w:pPr>
              <w:pStyle w:val="BodyText"/>
            </w:pPr>
            <w:r w:rsidRPr="006E7749">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rPr>
                <w:rStyle w:val="SpecialBold"/>
              </w:rPr>
              <w:t xml:space="preserve">4) </w:t>
            </w:r>
          </w:p>
        </w:tc>
      </w:tr>
      <w:tr w:rsidTr="005B74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E7749" w:rsidP="006E7749">
            <w:pPr>
              <w:pStyle w:val="BodyText"/>
            </w:pPr>
            <w:r w:rsidRPr="006E7749">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rPr>
                <w:rStyle w:val="SpecialBold"/>
              </w:rPr>
              <w:t>4.1)</w:t>
            </w:r>
          </w:p>
        </w:tc>
      </w:tr>
      <w:tr w:rsidTr="005B74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t>Granting competency in this unit shall be made only after competency in the following unit(s) has/have been confirmed.</w:t>
            </w:r>
          </w:p>
        </w:tc>
      </w:tr>
      <w:tr w:rsidTr="005B740C">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t>UEENEEE101A</w:t>
            </w:r>
          </w:p>
        </w:tc>
        <w:tc>
          <w:tcPr>
            <w:tcW w:w="4320" w:type="dxa"/>
            <w:tcBorders>
              <w:top w:val="nil"/>
              <w:left w:val="nil"/>
              <w:bottom w:val="nil"/>
              <w:right w:val="nil"/>
            </w:tcBorders>
            <w:tcMar>
              <w:top w:w="0" w:type="dxa"/>
              <w:left w:w="62" w:type="dxa"/>
              <w:bottom w:w="0" w:type="dxa"/>
              <w:right w:w="62" w:type="dxa"/>
            </w:tcMar>
          </w:tcPr>
          <w:p w:rsidR="00000000" w:rsidRPr="006E7749" w:rsidP="006E7749">
            <w:pPr>
              <w:pStyle w:val="BodyText"/>
            </w:pPr>
            <w:r w:rsidRPr="006E7749">
              <w:t>Apply Occupational Health Safety regulations, codes and practices in the workplace</w:t>
            </w:r>
          </w:p>
        </w:tc>
      </w:tr>
    </w:tbl>
    <w:p w:rsidR="00000000" w:rsidRPr="006E7749" w:rsidP="006E774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5B740C">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6E7749" w:rsidP="006E7749">
            <w:pPr>
              <w:pStyle w:val="BodyText"/>
            </w:pPr>
            <w:r w:rsidRPr="006E774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rPr>
                <w:rStyle w:val="SpecialBold"/>
              </w:rPr>
              <w:t xml:space="preserve">4.2) </w:t>
            </w:r>
          </w:p>
        </w:tc>
      </w:tr>
      <w:tr w:rsidTr="005B74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t>Participants are best equipped to achieve competency in this unit if they have reading, writing and numeracy skills indicated by the following scales. Description of each scale is given in Volume 2, Part 3 ‘Literacy and Numeracy’</w:t>
            </w:r>
          </w:p>
        </w:tc>
      </w:tr>
      <w:tr w:rsidTr="005B74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t>Reading</w:t>
            </w:r>
          </w:p>
        </w:tc>
        <w:tc>
          <w:tcPr>
            <w:tcW w:w="810"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t>5</w:t>
            </w:r>
          </w:p>
        </w:tc>
        <w:tc>
          <w:tcPr>
            <w:tcW w:w="990"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t>Writing</w:t>
            </w:r>
          </w:p>
        </w:tc>
        <w:tc>
          <w:tcPr>
            <w:tcW w:w="900"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t>5</w:t>
            </w:r>
          </w:p>
        </w:tc>
        <w:tc>
          <w:tcPr>
            <w:tcW w:w="1260"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t>Numeracy</w:t>
            </w:r>
          </w:p>
        </w:tc>
        <w:tc>
          <w:tcPr>
            <w:tcW w:w="720" w:type="dxa"/>
            <w:tcBorders>
              <w:top w:val="nil"/>
              <w:left w:val="nil"/>
              <w:bottom w:val="nil"/>
              <w:right w:val="nil"/>
            </w:tcBorders>
            <w:tcMar>
              <w:top w:w="0" w:type="dxa"/>
              <w:left w:w="62" w:type="dxa"/>
              <w:bottom w:w="0" w:type="dxa"/>
              <w:right w:w="62" w:type="dxa"/>
            </w:tcMar>
          </w:tcPr>
          <w:p w:rsidR="00000000" w:rsidRPr="006E7749" w:rsidP="006E7749">
            <w:pPr>
              <w:pStyle w:val="BodyText"/>
            </w:pPr>
            <w:r w:rsidRPr="006E7749">
              <w:t>5</w:t>
            </w:r>
          </w:p>
        </w:tc>
      </w:tr>
    </w:tbl>
    <w:p w:rsidR="00000000" w:rsidRPr="006E7749" w:rsidP="006E7749">
      <w:pPr>
        <w:pStyle w:val="BodyText"/>
      </w:pPr>
    </w:p>
    <w:p w:rsidR="00000000" w:rsidRPr="006E7749" w:rsidP="006E7749">
      <w:pPr>
        <w:pStyle w:val="AllowPageBreak"/>
      </w:pPr>
    </w:p>
    <w:p w:rsidR="00000000" w:rsidRPr="006E7749" w:rsidP="006E7749">
      <w:pPr>
        <w:pStyle w:val="Heading1"/>
      </w:pPr>
      <w:bookmarkStart w:id="6" w:name="O_416990"/>
      <w:bookmarkEnd w:id="6"/>
      <w:r w:rsidRPr="006E7749">
        <w:t>Employability Skills Information</w:t>
      </w:r>
    </w:p>
    <w:tbl>
      <w:tblPr>
        <w:tblW w:w="0" w:type="auto"/>
        <w:tblLayout w:type="fixed"/>
        <w:tblCellMar>
          <w:left w:w="62" w:type="dxa"/>
          <w:right w:w="62" w:type="dxa"/>
        </w:tblCellMar>
        <w:tblLook w:val="0000"/>
      </w:tblPr>
      <w:tblGrid>
        <w:gridCol w:w="2700"/>
        <w:gridCol w:w="5760"/>
      </w:tblGrid>
      <w:tr w:rsidTr="005B740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E7749" w:rsidP="006E7749">
            <w:pPr>
              <w:pStyle w:val="BodyText"/>
            </w:pPr>
            <w:r w:rsidRPr="006E774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rPr>
                <w:rStyle w:val="SpecialBold"/>
              </w:rPr>
              <w:t xml:space="preserve">5) </w:t>
            </w:r>
          </w:p>
        </w:tc>
      </w:tr>
      <w:tr w:rsidTr="005B74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E7749" w:rsidP="006E7749">
            <w:pPr>
              <w:pStyle w:val="BodyText"/>
            </w:pPr>
            <w:r w:rsidRPr="006E7749">
              <w:t xml:space="preserve">The required outcomes described in this unit of competency contain applicable facets of Employability Skills. The Employability Skills Summary </w:t>
            </w:r>
            <w:r w:rsidRPr="006E7749">
              <w:t xml:space="preserve">of the </w:t>
            </w:r>
            <w:r w:rsidRPr="006E7749">
              <w:t>qualification in which this unit of competency is packaged will assist in identifying Employability Skill requirements.</w:t>
            </w:r>
          </w:p>
        </w:tc>
      </w:tr>
    </w:tbl>
    <w:p w:rsidR="00000000" w:rsidRPr="006E7749" w:rsidP="006E7749">
      <w:pPr>
        <w:pStyle w:val="BodyText"/>
      </w:pPr>
    </w:p>
    <w:p w:rsidR="00000000" w:rsidRPr="006E7749" w:rsidP="006E7749">
      <w:pPr>
        <w:pStyle w:val="AllowPageBreak"/>
      </w:pPr>
    </w:p>
    <w:p w:rsidR="00000000" w:rsidRPr="006E7749" w:rsidP="006E7749">
      <w:pPr>
        <w:pStyle w:val="Heading1"/>
      </w:pPr>
      <w:bookmarkStart w:id="7" w:name="O_416989"/>
      <w:bookmarkEnd w:id="7"/>
      <w:r w:rsidRPr="006E7749">
        <w:t>Elements and Performance Criteria Pre-Content</w:t>
      </w:r>
    </w:p>
    <w:tbl>
      <w:tblPr>
        <w:tblW w:w="0" w:type="auto"/>
        <w:tblLayout w:type="fixed"/>
        <w:tblCellMar>
          <w:left w:w="62" w:type="dxa"/>
          <w:right w:w="62" w:type="dxa"/>
        </w:tblCellMar>
        <w:tblLook w:val="0000"/>
      </w:tblPr>
      <w:tblGrid>
        <w:gridCol w:w="2700"/>
        <w:gridCol w:w="5760"/>
      </w:tblGrid>
      <w:tr w:rsidTr="005B74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rPr>
                <w:rStyle w:val="SpecialBold"/>
              </w:rPr>
              <w:t>6)</w:t>
            </w:r>
            <w:r w:rsidRPr="006E7749">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6E7749" w:rsidP="006E7749">
            <w:pPr>
              <w:pStyle w:val="BodyText"/>
            </w:pPr>
            <w:r w:rsidRPr="006E7749">
              <w:t>Performance Criteria describe the required performance needed to demonstrate achievement of the element. Assessment of performance is to be consistent with the Evidence Guide.</w:t>
            </w:r>
          </w:p>
        </w:tc>
      </w:tr>
    </w:tbl>
    <w:p w:rsidR="00000000" w:rsidRPr="006E7749" w:rsidP="006E7749">
      <w:pPr>
        <w:pStyle w:val="BodyText"/>
      </w:pPr>
    </w:p>
    <w:p w:rsidR="00000000" w:rsidRPr="006E7749" w:rsidP="006E7749">
      <w:pPr>
        <w:pStyle w:val="AllowPageBreak"/>
      </w:pPr>
    </w:p>
    <w:p w:rsidR="00000000" w:rsidRPr="006E7749" w:rsidP="006E7749">
      <w:pPr>
        <w:pStyle w:val="Heading1"/>
      </w:pPr>
      <w:bookmarkStart w:id="8" w:name="O_416988"/>
      <w:bookmarkEnd w:id="8"/>
      <w:r w:rsidRPr="006E774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5B740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E7749" w:rsidP="006E7749">
            <w:pPr>
              <w:pStyle w:val="BodyText"/>
            </w:pPr>
            <w:r w:rsidRPr="006E774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rPr>
                <w:rStyle w:val="SpecialBold"/>
              </w:rPr>
              <w:t>PERFORMANCE CRITERIA</w:t>
            </w:r>
          </w:p>
        </w:tc>
      </w:tr>
      <w:tr w:rsidTr="005B74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t>1</w:t>
            </w:r>
          </w:p>
        </w:tc>
        <w:tc>
          <w:tcPr>
            <w:tcW w:w="2296"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t>Prepare to develop programming solution.</w:t>
            </w:r>
          </w:p>
        </w:tc>
        <w:tc>
          <w:tcPr>
            <w:tcW w:w="900"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t>1.1</w:t>
            </w:r>
          </w:p>
        </w:tc>
        <w:tc>
          <w:tcPr>
            <w:tcW w:w="4860"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t xml:space="preserve">OHS processes and procedures for a given work area are identified, obtained and understood. </w:t>
            </w:r>
          </w:p>
        </w:tc>
      </w:tr>
      <w:tr w:rsidTr="005B74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t>1.2</w:t>
            </w:r>
          </w:p>
        </w:tc>
        <w:tc>
          <w:tcPr>
            <w:tcW w:w="4860"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t>Established OHS risk control measures and procedures are followed in preparation for the work.</w:t>
            </w:r>
          </w:p>
        </w:tc>
      </w:tr>
      <w:tr w:rsidTr="005B74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t>1.3</w:t>
            </w:r>
          </w:p>
        </w:tc>
        <w:tc>
          <w:tcPr>
            <w:tcW w:w="4860"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t>The extent of engineering problem is determined from performance specifications and situation reports and in consultation with relevant persons.</w:t>
            </w:r>
          </w:p>
        </w:tc>
      </w:tr>
      <w:tr w:rsidTr="005B74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t>1.4</w:t>
            </w:r>
          </w:p>
        </w:tc>
        <w:tc>
          <w:tcPr>
            <w:tcW w:w="4860"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t>Activities are planned to meet scheduled timelines in consultation with others involved in the work</w:t>
            </w:r>
          </w:p>
        </w:tc>
      </w:tr>
      <w:tr w:rsidTr="005B74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t>1.5</w:t>
            </w:r>
          </w:p>
        </w:tc>
        <w:tc>
          <w:tcPr>
            <w:tcW w:w="4860"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t>Appropriate development kit and software tools are selected based on specified requirements and performance standard.</w:t>
            </w:r>
          </w:p>
        </w:tc>
      </w:tr>
      <w:tr w:rsidTr="005B74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t>1.6</w:t>
            </w:r>
          </w:p>
        </w:tc>
        <w:tc>
          <w:tcPr>
            <w:tcW w:w="4860"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t>Strategies are implement</w:t>
            </w:r>
            <w:r w:rsidRPr="006E7749">
              <w:t xml:space="preserve">ed to ensure programming is carried out efficiently. </w:t>
            </w:r>
          </w:p>
        </w:tc>
      </w:tr>
      <w:tr w:rsidTr="005B74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t>2</w:t>
            </w:r>
          </w:p>
        </w:tc>
        <w:tc>
          <w:tcPr>
            <w:tcW w:w="2296"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t>Develop programming solutions.</w:t>
            </w:r>
          </w:p>
        </w:tc>
        <w:tc>
          <w:tcPr>
            <w:tcW w:w="900"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t>2.1</w:t>
            </w:r>
          </w:p>
        </w:tc>
        <w:tc>
          <w:tcPr>
            <w:tcW w:w="4860"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t>OHS risk control measures and procedures for carrying out the work are followed.</w:t>
            </w:r>
          </w:p>
        </w:tc>
      </w:tr>
      <w:tr w:rsidTr="005B74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t>2.2</w:t>
            </w:r>
          </w:p>
        </w:tc>
        <w:tc>
          <w:tcPr>
            <w:tcW w:w="4860"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t>Knowledge of programming functions and features are applied to providing a programming solution.</w:t>
            </w:r>
          </w:p>
        </w:tc>
      </w:tr>
      <w:tr w:rsidTr="005B74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t>2.3</w:t>
            </w:r>
          </w:p>
        </w:tc>
        <w:tc>
          <w:tcPr>
            <w:tcW w:w="4860"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t>Code in existing programs is analysed and modifications or corrections made to rectify program performance.</w:t>
            </w:r>
          </w:p>
        </w:tc>
      </w:tr>
      <w:tr w:rsidTr="005B74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t>2.4</w:t>
            </w:r>
          </w:p>
        </w:tc>
        <w:tc>
          <w:tcPr>
            <w:tcW w:w="4860"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t>Key features of the programming langu</w:t>
            </w:r>
            <w:r w:rsidRPr="006E7749">
              <w:t>age are applied to develop and test solutions. (Note)</w:t>
            </w:r>
          </w:p>
        </w:tc>
      </w:tr>
      <w:tr w:rsidTr="005B74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t>2.5</w:t>
            </w:r>
          </w:p>
        </w:tc>
        <w:tc>
          <w:tcPr>
            <w:tcW w:w="4860"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t>Approaches to issues/problems are analysed to provide most effective solutions.</w:t>
            </w:r>
          </w:p>
        </w:tc>
      </w:tr>
      <w:tr w:rsidTr="005B74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t>2.6</w:t>
            </w:r>
          </w:p>
        </w:tc>
        <w:tc>
          <w:tcPr>
            <w:tcW w:w="4860"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t>Qua</w:t>
            </w:r>
            <w:r w:rsidRPr="006E7749">
              <w:t>lity of work is monitored against personal performance agreement and/or established organisational or professional standards.</w:t>
            </w:r>
          </w:p>
        </w:tc>
      </w:tr>
      <w:tr w:rsidTr="005B74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t>3</w:t>
            </w:r>
          </w:p>
        </w:tc>
        <w:tc>
          <w:tcPr>
            <w:tcW w:w="2296"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t>Test and document the programming solutions.</w:t>
            </w:r>
          </w:p>
        </w:tc>
        <w:tc>
          <w:tcPr>
            <w:tcW w:w="900"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t>3.1</w:t>
            </w:r>
          </w:p>
        </w:tc>
        <w:tc>
          <w:tcPr>
            <w:tcW w:w="4860"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t>Testing procedures are developed to analyse code developed in relevant program</w:t>
            </w:r>
            <w:r w:rsidRPr="006E7749">
              <w:t>ming language.</w:t>
            </w:r>
          </w:p>
        </w:tc>
      </w:tr>
      <w:tr w:rsidTr="005B74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t>3.2</w:t>
            </w:r>
          </w:p>
        </w:tc>
        <w:tc>
          <w:tcPr>
            <w:tcW w:w="4860"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t>Problems and bugs in program are rectified to ensure compliance with program performance requirements.</w:t>
            </w:r>
          </w:p>
        </w:tc>
      </w:tr>
      <w:tr w:rsidTr="005B74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t>3.3</w:t>
            </w:r>
          </w:p>
        </w:tc>
        <w:tc>
          <w:tcPr>
            <w:tcW w:w="4860"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t>Intermediate and final work reports are written in accordance with professional standards and presented to appropriate perso</w:t>
            </w:r>
            <w:r w:rsidRPr="006E7749">
              <w:t>n(s).</w:t>
            </w:r>
          </w:p>
        </w:tc>
      </w:tr>
      <w:tr w:rsidTr="005B740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6E7749" w:rsidP="006E7749">
            <w:pPr>
              <w:pStyle w:val="BodyText"/>
            </w:pPr>
            <w:r w:rsidRPr="006E7749">
              <w:t xml:space="preserve">Note: </w:t>
            </w:r>
            <w:r w:rsidRPr="006E7749">
              <w:br/>
              <w:t>1. Key features include that features classes, inheritance, polymorphism, arrays and packages.</w:t>
            </w:r>
          </w:p>
        </w:tc>
      </w:tr>
    </w:tbl>
    <w:p w:rsidR="00000000" w:rsidRPr="006E7749" w:rsidP="006E7749">
      <w:pPr>
        <w:pStyle w:val="BodyText"/>
      </w:pPr>
    </w:p>
    <w:p w:rsidR="00000000" w:rsidRPr="006E7749" w:rsidP="006E7749">
      <w:pPr>
        <w:pStyle w:val="AllowPageBreak"/>
      </w:pPr>
    </w:p>
    <w:p w:rsidR="00000000" w:rsidRPr="006E7749" w:rsidP="006E7749">
      <w:pPr>
        <w:pStyle w:val="Heading1"/>
      </w:pPr>
      <w:bookmarkStart w:id="9" w:name="O_416996"/>
      <w:bookmarkEnd w:id="9"/>
      <w:r w:rsidRPr="006E7749">
        <w:t>Required Skills and Knowledge</w:t>
      </w:r>
    </w:p>
    <w:tbl>
      <w:tblPr>
        <w:tblW w:w="0" w:type="auto"/>
        <w:tblLayout w:type="fixed"/>
        <w:tblCellMar>
          <w:left w:w="62" w:type="dxa"/>
          <w:right w:w="62" w:type="dxa"/>
        </w:tblCellMar>
        <w:tblLook w:val="0000"/>
      </w:tblPr>
      <w:tblGrid>
        <w:gridCol w:w="8460"/>
      </w:tblGrid>
      <w:tr w:rsidTr="005B740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rPr>
                <w:rStyle w:val="SpecialBold"/>
              </w:rPr>
              <w:t>REQUIRED SKILLS AND KNOWLEDGE</w:t>
            </w:r>
          </w:p>
        </w:tc>
      </w:tr>
      <w:tr w:rsidTr="005B740C">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6E7749" w:rsidP="006E7749">
            <w:pPr>
              <w:pStyle w:val="BodyText"/>
            </w:pPr>
            <w:r w:rsidRPr="006E7749">
              <w:rPr>
                <w:rStyle w:val="SpecialBold"/>
              </w:rPr>
              <w:t>8)</w:t>
            </w:r>
            <w:r w:rsidRPr="006E7749">
              <w:t xml:space="preserve"> This describes the essential skills and knowledge and their level, required for this unit.</w:t>
            </w:r>
          </w:p>
          <w:p w:rsidR="00000000" w:rsidRPr="006E7749" w:rsidP="006E7749">
            <w:pPr>
              <w:pStyle w:val="BodyText"/>
            </w:pPr>
            <w:r w:rsidRPr="006E7749">
              <w:t>Evidence shall show that knowledge has been acquired of safe working practices and provide programming solution for engineering problems.</w:t>
            </w:r>
          </w:p>
          <w:p w:rsidR="00000000" w:rsidRPr="006E7749" w:rsidP="006E7749">
            <w:pPr>
              <w:pStyle w:val="BodyText"/>
            </w:pPr>
            <w:r w:rsidRPr="006E7749">
              <w:t>All knowledge and skills d</w:t>
            </w:r>
            <w:r w:rsidRPr="006E7749">
              <w:t>etailed in this unit should be contextualised to current industry practices and technologies.</w:t>
            </w:r>
          </w:p>
          <w:p w:rsidR="00000000" w:rsidRPr="006E7749" w:rsidP="006E7749">
            <w:pPr>
              <w:pStyle w:val="BodyText"/>
            </w:pPr>
            <w:r w:rsidRPr="006E7749">
              <w:rPr>
                <w:rStyle w:val="SpecialBold"/>
              </w:rPr>
              <w:t>KS01-ED151A</w:t>
            </w:r>
            <w:r w:rsidRPr="006E7749">
              <w:rPr>
                <w:rStyle w:val="SpecialBold"/>
              </w:rPr>
              <w:tab/>
              <w:t xml:space="preserve">              High level programming for engineering applications</w:t>
            </w:r>
          </w:p>
          <w:p w:rsidR="00000000" w:rsidRPr="006E7749" w:rsidP="006E7749">
            <w:pPr>
              <w:pStyle w:val="BodyText"/>
            </w:pPr>
            <w:r w:rsidRPr="006E7749">
              <w:t>Evidence shall show an understanding of control programming fundamentals and high-le</w:t>
            </w:r>
            <w:r w:rsidRPr="006E7749">
              <w:t>vel language programming as it is applied to engineering applications to an extent indicated by the following aspects:</w:t>
            </w:r>
          </w:p>
          <w:p w:rsidR="00000000" w:rsidRPr="006E7749" w:rsidP="006E7749">
            <w:pPr>
              <w:pStyle w:val="BodyText"/>
            </w:pPr>
            <w:r w:rsidRPr="006E7749">
              <w:t>T1</w:t>
            </w:r>
            <w:r w:rsidRPr="006E7749">
              <w:tab/>
              <w:t>Control applications of software</w:t>
            </w:r>
          </w:p>
          <w:p w:rsidR="00000000" w:rsidRPr="006E7749" w:rsidP="006E7749">
            <w:pPr>
              <w:pStyle w:val="BodyText"/>
            </w:pPr>
            <w:r w:rsidRPr="006E7749">
              <w:t>T2</w:t>
            </w:r>
            <w:r w:rsidRPr="006E7749">
              <w:tab/>
              <w:t>Software terminology</w:t>
            </w:r>
          </w:p>
          <w:p w:rsidR="00000000" w:rsidRPr="006E7749" w:rsidP="006E7749">
            <w:pPr>
              <w:pStyle w:val="BodyText"/>
            </w:pPr>
            <w:r w:rsidRPr="006E7749">
              <w:t>T3</w:t>
            </w:r>
            <w:r w:rsidRPr="006E7749">
              <w:tab/>
              <w:t>Programming languages currently used by industry</w:t>
            </w:r>
          </w:p>
          <w:p w:rsidR="00000000" w:rsidRPr="006E7749" w:rsidP="006E7749">
            <w:pPr>
              <w:pStyle w:val="BodyText"/>
            </w:pPr>
            <w:r w:rsidRPr="006E7749">
              <w:t>T4</w:t>
            </w:r>
            <w:r w:rsidRPr="006E7749">
              <w:tab/>
              <w:t>Program development</w:t>
            </w:r>
          </w:p>
          <w:p w:rsidR="00000000" w:rsidRPr="006E7749" w:rsidP="006E7749">
            <w:pPr>
              <w:pStyle w:val="ListContinue"/>
            </w:pPr>
            <w:r w:rsidRPr="006E7749">
              <w:t>N</w:t>
            </w:r>
            <w:r w:rsidRPr="006E7749">
              <w:t>ote:</w:t>
            </w:r>
          </w:p>
          <w:p w:rsidR="00000000" w:rsidRPr="006E7749" w:rsidP="006E7749">
            <w:pPr>
              <w:pStyle w:val="ListContinue"/>
            </w:pPr>
            <w:r w:rsidRPr="006E7749">
              <w:t>Examples may include flowcharts, pseudocode, algorithms</w:t>
            </w:r>
          </w:p>
          <w:p w:rsidR="00000000" w:rsidRPr="006E7749" w:rsidP="006E7749">
            <w:pPr>
              <w:pStyle w:val="BodyText"/>
            </w:pPr>
            <w:r w:rsidRPr="006E7749">
              <w:t>T5</w:t>
            </w:r>
            <w:r w:rsidRPr="006E7749">
              <w:tab/>
              <w:t>Programming concepts encompassing:</w:t>
            </w:r>
          </w:p>
          <w:p w:rsidR="00000000" w:rsidRPr="006E7749" w:rsidP="006E7749">
            <w:pPr>
              <w:pStyle w:val="ListBullet"/>
            </w:pPr>
            <w:r w:rsidRPr="006E7749">
              <w:t xml:space="preserve">programming structure </w:t>
            </w:r>
          </w:p>
          <w:p w:rsidR="00000000" w:rsidRPr="006E7749" w:rsidP="006E7749">
            <w:pPr>
              <w:pStyle w:val="ListBullet"/>
            </w:pPr>
            <w:r w:rsidRPr="006E7749">
              <w:t>documentation</w:t>
            </w:r>
          </w:p>
          <w:p w:rsidR="00000000" w:rsidRPr="006E7749" w:rsidP="006E7749">
            <w:pPr>
              <w:pStyle w:val="ListBullet"/>
            </w:pPr>
            <w:r w:rsidRPr="006E7749">
              <w:t>compiling source code</w:t>
            </w:r>
          </w:p>
          <w:p w:rsidR="00000000" w:rsidRPr="006E7749" w:rsidP="006E7749">
            <w:pPr>
              <w:pStyle w:val="ListBullet"/>
            </w:pPr>
            <w:r w:rsidRPr="006E7749">
              <w:t>generating executable files</w:t>
            </w:r>
          </w:p>
          <w:p w:rsidR="00000000" w:rsidRPr="006E7749" w:rsidP="006E7749">
            <w:pPr>
              <w:pStyle w:val="ListBullet"/>
            </w:pPr>
            <w:r w:rsidRPr="006E7749">
              <w:t>scalar and structured data types</w:t>
            </w:r>
          </w:p>
          <w:p w:rsidR="00000000" w:rsidRPr="006E7749" w:rsidP="006E7749">
            <w:pPr>
              <w:pStyle w:val="ListBullet"/>
            </w:pPr>
            <w:r w:rsidRPr="006E7749">
              <w:t>constants and variables</w:t>
            </w:r>
          </w:p>
          <w:p w:rsidR="00000000" w:rsidRPr="006E7749" w:rsidP="006E7749">
            <w:pPr>
              <w:pStyle w:val="ListBullet"/>
            </w:pPr>
            <w:r w:rsidRPr="006E7749">
              <w:t>reading from keyboard and writing to screen</w:t>
            </w:r>
          </w:p>
          <w:p w:rsidR="00000000" w:rsidRPr="006E7749" w:rsidP="006E7749">
            <w:pPr>
              <w:pStyle w:val="ListBullet"/>
            </w:pPr>
            <w:r w:rsidRPr="006E7749">
              <w:t>arithmetic, relational and logical operations</w:t>
            </w:r>
          </w:p>
          <w:p w:rsidR="00000000" w:rsidRPr="006E7749" w:rsidP="006E7749">
            <w:pPr>
              <w:pStyle w:val="ListBullet"/>
            </w:pPr>
            <w:r w:rsidRPr="006E7749">
              <w:t>making decisions</w:t>
            </w:r>
          </w:p>
          <w:p w:rsidR="00000000" w:rsidRPr="006E7749" w:rsidP="006E7749">
            <w:pPr>
              <w:pStyle w:val="ListBullet"/>
            </w:pPr>
            <w:r w:rsidRPr="006E7749">
              <w:t>looping operations</w:t>
            </w:r>
          </w:p>
          <w:p w:rsidR="00000000" w:rsidRPr="006E7749" w:rsidP="006E7749">
            <w:pPr>
              <w:pStyle w:val="ListBullet"/>
            </w:pPr>
            <w:r w:rsidRPr="006E7749">
              <w:t>programming to access external devices via I/O boards</w:t>
            </w:r>
          </w:p>
          <w:p w:rsidR="00000000" w:rsidRPr="006E7749" w:rsidP="006E7749">
            <w:pPr>
              <w:pStyle w:val="ListBullet"/>
            </w:pPr>
            <w:r w:rsidRPr="006E7749">
              <w:t>functions</w:t>
            </w:r>
          </w:p>
          <w:p w:rsidR="00000000" w:rsidRPr="006E7749" w:rsidP="006E7749">
            <w:pPr>
              <w:pStyle w:val="ListContinue"/>
            </w:pPr>
            <w:r w:rsidRPr="006E7749">
              <w:t>Note:</w:t>
            </w:r>
          </w:p>
          <w:p w:rsidR="00000000" w:rsidRPr="006E7749" w:rsidP="006E7749">
            <w:pPr>
              <w:pStyle w:val="ListContinue"/>
            </w:pPr>
            <w:r w:rsidRPr="006E7749">
              <w:t>Examples may include macros; global and local variables, au</w:t>
            </w:r>
            <w:r w:rsidRPr="006E7749">
              <w:t>to and static variables; Intrinsic functions used in control; Writing functions; Linking in external functions to control hardware</w:t>
            </w:r>
          </w:p>
          <w:p w:rsidR="00000000" w:rsidRPr="006E7749" w:rsidP="006E7749">
            <w:pPr>
              <w:pStyle w:val="ListBullet"/>
            </w:pPr>
            <w:r w:rsidRPr="006E7749">
              <w:t>numerical and character arrays</w:t>
            </w:r>
          </w:p>
          <w:p w:rsidR="00000000" w:rsidRPr="006E7749" w:rsidP="006E7749">
            <w:pPr>
              <w:pStyle w:val="BodyText"/>
            </w:pPr>
            <w:r w:rsidRPr="006E7749">
              <w:t>T6</w:t>
            </w:r>
            <w:r w:rsidRPr="006E7749">
              <w:tab/>
              <w:t>Complex data types and structures encompassing:</w:t>
            </w:r>
          </w:p>
          <w:p w:rsidR="00000000" w:rsidRPr="006E7749" w:rsidP="006E7749">
            <w:pPr>
              <w:pStyle w:val="ListBullet"/>
            </w:pPr>
            <w:r w:rsidRPr="006E7749">
              <w:t>Pointers/references</w:t>
            </w:r>
          </w:p>
          <w:p w:rsidR="00000000" w:rsidRPr="006E7749" w:rsidP="006E7749">
            <w:pPr>
              <w:pStyle w:val="ListBullet"/>
            </w:pPr>
            <w:r w:rsidRPr="006E7749">
              <w:t>arrays and strings</w:t>
            </w:r>
          </w:p>
          <w:p w:rsidR="00000000" w:rsidRPr="006E7749" w:rsidP="006E7749">
            <w:pPr>
              <w:pStyle w:val="ListBullet"/>
            </w:pPr>
            <w:r w:rsidRPr="006E7749">
              <w:t>user-defined data types</w:t>
            </w:r>
          </w:p>
          <w:p w:rsidR="00000000" w:rsidRPr="006E7749" w:rsidP="006E7749">
            <w:pPr>
              <w:pStyle w:val="BodyText"/>
            </w:pPr>
            <w:r w:rsidRPr="006E7749">
              <w:t>T7</w:t>
            </w:r>
            <w:r w:rsidRPr="006E7749">
              <w:tab/>
              <w:t>Interfacing high-level languages to assembler encompassing:</w:t>
            </w:r>
          </w:p>
          <w:p w:rsidR="00000000" w:rsidRPr="006E7749" w:rsidP="006E7749">
            <w:pPr>
              <w:pStyle w:val="ListBullet"/>
            </w:pPr>
            <w:r w:rsidRPr="006E7749">
              <w:t>in-line assembly.</w:t>
            </w:r>
          </w:p>
          <w:p w:rsidR="00000000" w:rsidRPr="006E7749" w:rsidP="006E7749">
            <w:pPr>
              <w:pStyle w:val="ListBullet"/>
            </w:pPr>
            <w:r w:rsidRPr="006E7749">
              <w:t>bit manipulation</w:t>
            </w:r>
          </w:p>
          <w:p w:rsidR="00000000" w:rsidRPr="006E7749" w:rsidP="006E7749">
            <w:pPr>
              <w:pStyle w:val="ListBullet"/>
            </w:pPr>
            <w:r w:rsidRPr="006E7749">
              <w:t>IO port addressing</w:t>
            </w:r>
          </w:p>
          <w:p w:rsidR="00000000" w:rsidRPr="006E7749" w:rsidP="006E7749">
            <w:pPr>
              <w:pStyle w:val="BodyText"/>
            </w:pPr>
            <w:r w:rsidRPr="006E7749">
              <w:t>T8</w:t>
            </w:r>
            <w:r w:rsidRPr="006E7749">
              <w:tab/>
              <w:t>Interrupt Service Routines</w:t>
            </w:r>
          </w:p>
        </w:tc>
      </w:tr>
    </w:tbl>
    <w:p w:rsidR="00000000" w:rsidRPr="006E7749" w:rsidP="006E7749">
      <w:pPr>
        <w:pStyle w:val="BodyText"/>
      </w:pPr>
    </w:p>
    <w:p w:rsidR="00000000" w:rsidRPr="006E7749" w:rsidP="006E7749">
      <w:pPr>
        <w:pStyle w:val="AllowPageBreak"/>
      </w:pPr>
    </w:p>
    <w:p w:rsidR="00000000" w:rsidRPr="006E7749" w:rsidP="006E7749">
      <w:pPr>
        <w:pStyle w:val="Heading1"/>
      </w:pPr>
      <w:bookmarkStart w:id="10" w:name="O_416991"/>
      <w:bookmarkEnd w:id="10"/>
      <w:r w:rsidRPr="006E7749">
        <w:t>Evidence Guide</w:t>
      </w:r>
    </w:p>
    <w:tbl>
      <w:tblPr>
        <w:tblW w:w="0" w:type="auto"/>
        <w:tblLayout w:type="fixed"/>
        <w:tblCellMar>
          <w:left w:w="62" w:type="dxa"/>
          <w:right w:w="62" w:type="dxa"/>
        </w:tblCellMar>
        <w:tblLook w:val="0000"/>
      </w:tblPr>
      <w:tblGrid>
        <w:gridCol w:w="8460"/>
      </w:tblGrid>
      <w:tr w:rsidTr="005B740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rPr>
                <w:rStyle w:val="SpecialBold"/>
              </w:rPr>
              <w:t>EVIDENCE GUIDE</w:t>
            </w:r>
          </w:p>
        </w:tc>
      </w:tr>
      <w:tr w:rsidTr="005B740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E7749" w:rsidP="006E7749">
            <w:pPr>
              <w:pStyle w:val="BodyText"/>
            </w:pPr>
            <w:r w:rsidRPr="006E7749">
              <w:rPr>
                <w:rStyle w:val="SpecialBold"/>
              </w:rPr>
              <w:t>9)</w:t>
            </w:r>
            <w:r w:rsidRPr="006E7749">
              <w:t xml:space="preserve"> This provides essential advice for assessment of the unit and must be read in conjunction with the performance criteria and the range statement of the unit and the Training Package Assessment Guidelines.</w:t>
            </w:r>
          </w:p>
          <w:p w:rsidR="00000000" w:rsidRPr="006E7749" w:rsidP="006E7749">
            <w:pPr>
              <w:pStyle w:val="BodyText"/>
            </w:pPr>
            <w:r w:rsidRPr="006E7749">
              <w:t>The Evidence Guide forms an integral part of this u</w:t>
            </w:r>
            <w:r w:rsidRPr="006E7749">
              <w:t>nit. It must be used in conjunction with all parts of this unit and performed in accordance with the Assessment Guidelines of this Training Package.</w:t>
            </w:r>
          </w:p>
        </w:tc>
      </w:tr>
    </w:tbl>
    <w:p w:rsidR="00000000" w:rsidRPr="006E7749" w:rsidP="006E7749">
      <w:pPr>
        <w:pStyle w:val="BodyText"/>
      </w:pPr>
    </w:p>
    <w:tbl>
      <w:tblPr>
        <w:tblW w:w="0" w:type="auto"/>
        <w:tblLayout w:type="fixed"/>
        <w:tblCellMar>
          <w:left w:w="62" w:type="dxa"/>
          <w:right w:w="62" w:type="dxa"/>
        </w:tblCellMar>
        <w:tblLook w:val="0000"/>
      </w:tblPr>
      <w:tblGrid>
        <w:gridCol w:w="1890"/>
        <w:gridCol w:w="6570"/>
      </w:tblGrid>
      <w:tr w:rsidTr="005B740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E7749" w:rsidP="006E7749">
            <w:pPr>
              <w:pStyle w:val="BodyText"/>
            </w:pPr>
            <w:r w:rsidRPr="006E774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rPr>
                <w:rStyle w:val="SpecialBold"/>
              </w:rPr>
              <w:t>9.1)</w:t>
            </w:r>
          </w:p>
        </w:tc>
      </w:tr>
      <w:tr w:rsidTr="005B740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E7749" w:rsidP="006E7749">
            <w:pPr>
              <w:pStyle w:val="BodyText"/>
            </w:pPr>
            <w:r w:rsidRPr="006E7749">
              <w:t>Longitudinal competency development approaches to assessment, such as Profi</w:t>
            </w:r>
            <w:r w:rsidRPr="006E7749">
              <w:t>ling, require data to be reliably gathered in a form that can be consistently interpreted over time. This approach is best utilised in Apprenticeship programs and reduces assessment intervention. It is the industry-preferred model for apprenticeships. Howe</w:t>
            </w:r>
            <w:r w:rsidRPr="006E7749">
              <w:t>ver, where summative (or final) assessment is used it is to include the application of the competency in the normal work environment or, at a minimum, the application of the competency in a realistically simulated work environment. It is recognised that, i</w:t>
            </w:r>
            <w:r w:rsidRPr="006E7749">
              <w:t>n some circumstances, assessment in part or full can occur outside the workplace. However, it must be in accordance with industry and regulatory policy.</w:t>
            </w:r>
          </w:p>
          <w:p w:rsidR="00000000" w:rsidRPr="006E7749" w:rsidP="006E7749">
            <w:pPr>
              <w:pStyle w:val="BodyText"/>
            </w:pPr>
            <w:r w:rsidRPr="006E7749">
              <w:t>Methods chosen for a particular assessment will be influenced by various factors. These include the ext</w:t>
            </w:r>
            <w:r w:rsidRPr="006E7749">
              <w:t>ent of the assessment, the most effective locations for the assessment activities to take place, access to physical resources, additional safety measures that may be required and the critical nature of the competencies being assessed.</w:t>
            </w:r>
          </w:p>
          <w:p w:rsidR="00000000" w:rsidRPr="006E7749" w:rsidP="006E7749">
            <w:pPr>
              <w:pStyle w:val="BodyText"/>
            </w:pPr>
            <w:r w:rsidRPr="006E7749">
              <w:t>The critical safety n</w:t>
            </w:r>
            <w:r w:rsidRPr="006E7749">
              <w:t>ature of working with electricity, electrical equipment, gas or any other hazardous substance/material carries risk in deeming a person competent. Sources of evidence need to be ‘rich’ in nature to minimise error in judgment.</w:t>
            </w:r>
          </w:p>
          <w:p w:rsidR="00000000" w:rsidRPr="006E7749" w:rsidP="006E7749">
            <w:pPr>
              <w:pStyle w:val="BodyText"/>
            </w:pPr>
            <w:r w:rsidRPr="006E7749">
              <w:t>Activities associated with normal everyday work have a bearing on the decision as to how much and how detailed the data gathered will contribute to its ‘richness’. Some skills are more critical to safety and operational requirements while the same skills m</w:t>
            </w:r>
            <w:r w:rsidRPr="006E7749">
              <w:t>ay be more or less frequently practised. These points are raised for the assessors to consider when choosing an assessment method and developing assessment instruments. Sample assessment instruments are included for Assessors in the Assessment Guidelines o</w:t>
            </w:r>
            <w:r w:rsidRPr="006E7749">
              <w:t>f this Training Package.</w:t>
            </w:r>
          </w:p>
        </w:tc>
      </w:tr>
    </w:tbl>
    <w:p w:rsidR="00000000" w:rsidRPr="006E7749" w:rsidP="006E7749">
      <w:pPr>
        <w:pStyle w:val="BodyText"/>
      </w:pPr>
    </w:p>
    <w:tbl>
      <w:tblPr>
        <w:tblW w:w="0" w:type="auto"/>
        <w:tblLayout w:type="fixed"/>
        <w:tblCellMar>
          <w:left w:w="62" w:type="dxa"/>
          <w:right w:w="62" w:type="dxa"/>
        </w:tblCellMar>
        <w:tblLook w:val="0000"/>
      </w:tblPr>
      <w:tblGrid>
        <w:gridCol w:w="1890"/>
        <w:gridCol w:w="1530"/>
        <w:gridCol w:w="5040"/>
      </w:tblGrid>
      <w:tr w:rsidTr="005B740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E7749" w:rsidP="006E7749">
            <w:pPr>
              <w:pStyle w:val="BodyText"/>
            </w:pPr>
            <w:r w:rsidRPr="006E7749">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rPr>
                <w:rStyle w:val="SpecialBold"/>
              </w:rPr>
              <w:t>9.2)</w:t>
            </w:r>
          </w:p>
        </w:tc>
      </w:tr>
      <w:tr w:rsidTr="005B740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6E7749" w:rsidP="006E7749">
            <w:pPr>
              <w:pStyle w:val="BodyText"/>
            </w:pPr>
            <w:r w:rsidRPr="006E7749">
              <w:t>Before the critical aspects of evidence are considered all prerequisites shall be met.</w:t>
            </w:r>
          </w:p>
          <w:p w:rsidR="00000000" w:rsidRPr="006E7749" w:rsidP="006E7749">
            <w:pPr>
              <w:pStyle w:val="BodyText"/>
            </w:pPr>
            <w:r w:rsidRPr="006E7749">
              <w:t xml:space="preserve">Evidence for competence in this unit shall be considered </w:t>
            </w:r>
            <w:r w:rsidRPr="006E7749">
              <w:t>holistically.  Each element and associated performance criteria shall be demonstrated on at least two occasions in accordance with the ‘Assessment Guidelines – UEE11’.  Evidence shall also comprise:</w:t>
            </w:r>
          </w:p>
          <w:p w:rsidR="00000000" w:rsidRPr="006E7749" w:rsidP="006E7749">
            <w:pPr>
              <w:pStyle w:val="ListBullet"/>
            </w:pPr>
            <w:r w:rsidRPr="006E7749">
              <w:t>A representative body of work performance demonstrated wi</w:t>
            </w:r>
            <w:r w:rsidRPr="006E7749">
              <w:t>thin the timeframes typically expected of the discipline, work function and industrial environment. In particular this shall incorporate evidence that shows a candidate is able to:</w:t>
            </w:r>
          </w:p>
          <w:p w:rsidR="00000000" w:rsidRPr="006E7749" w:rsidP="006E7749">
            <w:pPr>
              <w:pStyle w:val="ListBullet2"/>
            </w:pPr>
            <w:r w:rsidRPr="006E7749">
              <w:t>Implement Occupational Health and Safety workplace procedures and practice</w:t>
            </w:r>
            <w:r w:rsidRPr="006E7749">
              <w:t>s, including the use of risk control measures as specified in the performance criteria and range statement</w:t>
            </w:r>
          </w:p>
          <w:p w:rsidR="00000000" w:rsidRPr="006E7749" w:rsidP="006E7749">
            <w:pPr>
              <w:pStyle w:val="ListBullet2"/>
            </w:pPr>
            <w:r w:rsidRPr="006E7749">
              <w:t>Apply sustainable energy principles and practices as specified in the performance criteria and range statement</w:t>
            </w:r>
          </w:p>
          <w:p w:rsidR="00000000" w:rsidRPr="006E7749" w:rsidP="006E7749">
            <w:pPr>
              <w:pStyle w:val="ListBullet2"/>
            </w:pPr>
            <w:r w:rsidRPr="006E7749">
              <w:t xml:space="preserve">Demonstrate an understanding of the essential knowledge and associated skills as described in this unit.  It may be required by some jurisdictions that RTOs provide a percentile graded result for the purpose of regulatory or licensing requirements.   </w:t>
            </w:r>
          </w:p>
          <w:p w:rsidR="00000000" w:rsidRPr="006E7749" w:rsidP="006E7749">
            <w:pPr>
              <w:pStyle w:val="ListBullet2"/>
            </w:pPr>
            <w:r w:rsidRPr="006E7749">
              <w:t>Demo</w:t>
            </w:r>
            <w:r w:rsidRPr="006E7749">
              <w:t>nstrate an appropriate level of skills enabling employment</w:t>
            </w:r>
          </w:p>
          <w:p w:rsidR="00000000" w:rsidRPr="006E7749" w:rsidP="006E7749">
            <w:pPr>
              <w:pStyle w:val="ListBullet2"/>
            </w:pPr>
            <w:r w:rsidRPr="006E7749">
              <w:t>Conduct work observing the relevant Anti Discrimination legislation, regulations, polices and workplace procedures</w:t>
            </w:r>
          </w:p>
          <w:p w:rsidR="00000000" w:rsidRPr="006E7749" w:rsidP="006E7749">
            <w:pPr>
              <w:pStyle w:val="ListBullet"/>
            </w:pPr>
            <w:r w:rsidRPr="006E7749">
              <w:t>Demonstrated consistent performance across a representative range of contexts from</w:t>
            </w:r>
            <w:r w:rsidRPr="006E7749">
              <w:t xml:space="preserve"> the prescribed items below:</w:t>
            </w:r>
          </w:p>
          <w:p w:rsidR="00000000" w:rsidP="006E7749">
            <w:pPr>
              <w:pStyle w:val="ListBullet2"/>
              <w:rPr>
                <w:lang w:val="en-NZ"/>
              </w:rPr>
            </w:pPr>
            <w:r w:rsidRPr="006E7749">
              <w:t>Provide programming solution for engineering problems as described in 8) and including:</w:t>
            </w:r>
          </w:p>
        </w:tc>
      </w:tr>
      <w:tr w:rsidTr="005B740C">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t>A</w:t>
            </w:r>
          </w:p>
        </w:tc>
        <w:tc>
          <w:tcPr>
            <w:tcW w:w="5040"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t>Understanding the engineering programming problem.</w:t>
            </w:r>
          </w:p>
        </w:tc>
      </w:tr>
      <w:tr w:rsidTr="005B740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t>B</w:t>
            </w:r>
          </w:p>
        </w:tc>
        <w:tc>
          <w:tcPr>
            <w:tcW w:w="5040"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t>Using all key features of programming language.</w:t>
            </w:r>
          </w:p>
        </w:tc>
      </w:tr>
      <w:tr w:rsidTr="005B740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t>C</w:t>
            </w:r>
          </w:p>
        </w:tc>
        <w:tc>
          <w:tcPr>
            <w:tcW w:w="5040"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t>Developing testing procedures.</w:t>
            </w:r>
          </w:p>
        </w:tc>
      </w:tr>
      <w:tr w:rsidTr="005B740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t>D</w:t>
            </w:r>
          </w:p>
        </w:tc>
        <w:tc>
          <w:tcPr>
            <w:tcW w:w="5040"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t>Identifying problems and bugs in code.</w:t>
            </w:r>
          </w:p>
        </w:tc>
      </w:tr>
      <w:tr w:rsidTr="005B740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t>E</w:t>
            </w:r>
          </w:p>
        </w:tc>
        <w:tc>
          <w:tcPr>
            <w:tcW w:w="5040"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t>Rectifying problems and bugs in code.</w:t>
            </w:r>
          </w:p>
        </w:tc>
      </w:tr>
      <w:tr w:rsidTr="005B740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t>F</w:t>
            </w:r>
          </w:p>
        </w:tc>
        <w:tc>
          <w:tcPr>
            <w:tcW w:w="5040"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t>Writing intermediate and final documents in accordance with professional standards.</w:t>
            </w:r>
          </w:p>
        </w:tc>
      </w:tr>
      <w:tr w:rsidTr="005B740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t>G</w:t>
            </w:r>
          </w:p>
        </w:tc>
        <w:tc>
          <w:tcPr>
            <w:tcW w:w="5040"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t>Dealing with unplanned events by drawing on essential knowledge and skills to provide appropriate solutions incorporated in a holistic assessment with the above listed items.</w:t>
            </w:r>
          </w:p>
        </w:tc>
      </w:tr>
      <w:tr w:rsidTr="005B740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6E7749" w:rsidP="006E7749">
            <w:pPr>
              <w:pStyle w:val="BodyText"/>
            </w:pPr>
            <w:r w:rsidRPr="006E7749">
              <w:t xml:space="preserve">Note: </w:t>
            </w:r>
          </w:p>
          <w:p w:rsidR="00000000" w:rsidRPr="006E7749" w:rsidP="006E7749">
            <w:pPr>
              <w:pStyle w:val="BodyText"/>
            </w:pPr>
            <w:r w:rsidRPr="006E7749">
              <w:t>Successful completion of relevant vendor training may be used to contrib</w:t>
            </w:r>
            <w:r w:rsidRPr="006E7749">
              <w:t>ute to evidence on which competency is deemed. In these cases the alignment of outcomes of vendor training with performance criteria and critical aspects of evidence shall be clearly identified</w:t>
            </w:r>
          </w:p>
        </w:tc>
      </w:tr>
    </w:tbl>
    <w:p w:rsidR="00000000" w:rsidRPr="006E7749" w:rsidP="006E7749">
      <w:pPr>
        <w:pStyle w:val="BodyText"/>
      </w:pPr>
    </w:p>
    <w:tbl>
      <w:tblPr>
        <w:tblW w:w="0" w:type="auto"/>
        <w:tblLayout w:type="fixed"/>
        <w:tblCellMar>
          <w:left w:w="62" w:type="dxa"/>
          <w:right w:w="62" w:type="dxa"/>
        </w:tblCellMar>
        <w:tblLook w:val="0000"/>
      </w:tblPr>
      <w:tblGrid>
        <w:gridCol w:w="1890"/>
        <w:gridCol w:w="6570"/>
      </w:tblGrid>
      <w:tr w:rsidTr="005B740C">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6E7749" w:rsidP="006E7749">
            <w:pPr>
              <w:pStyle w:val="BodyText"/>
            </w:pPr>
            <w:r w:rsidRPr="006E7749">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rPr>
                <w:rStyle w:val="SpecialBold"/>
              </w:rPr>
              <w:t>9.3)</w:t>
            </w:r>
          </w:p>
        </w:tc>
      </w:tr>
      <w:tr w:rsidTr="005B740C">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E7749" w:rsidP="006E7749">
            <w:pPr>
              <w:pStyle w:val="BodyText"/>
            </w:pPr>
            <w:r w:rsidRPr="006E7749">
              <w:t>This unit should be assessed as it relates to normal work practice using procedures, information and resources typical of a workplace. This should include:</w:t>
            </w:r>
          </w:p>
          <w:p w:rsidR="00000000" w:rsidRPr="006E7749" w:rsidP="006E7749">
            <w:pPr>
              <w:pStyle w:val="ListBullet"/>
            </w:pPr>
            <w:r w:rsidRPr="006E7749">
              <w:t>OHS policy and work procedures and instructions.</w:t>
            </w:r>
          </w:p>
          <w:p w:rsidR="00000000" w:rsidRPr="006E7749" w:rsidP="006E7749">
            <w:pPr>
              <w:pStyle w:val="ListBullet"/>
            </w:pPr>
            <w:r w:rsidRPr="006E7749">
              <w:t>Suitable work environment, facilities, equipment an</w:t>
            </w:r>
            <w:r w:rsidRPr="006E7749">
              <w:t>d materials to undertake actual work as prescribed in this unit.</w:t>
            </w:r>
          </w:p>
          <w:p w:rsidR="00000000" w:rsidRPr="006E7749" w:rsidP="006E7749">
            <w:pPr>
              <w:pStyle w:val="BodyText"/>
            </w:pPr>
            <w:r w:rsidRPr="006E7749">
              <w:t>These should be used in the formal learning/assessment environment.</w:t>
            </w:r>
          </w:p>
          <w:p w:rsidR="00000000" w:rsidRPr="006E7749" w:rsidP="006E7749">
            <w:pPr>
              <w:pStyle w:val="BodyText"/>
            </w:pPr>
            <w:r w:rsidRPr="006E7749">
              <w:t>Note:</w:t>
            </w:r>
          </w:p>
          <w:p w:rsidR="00000000" w:rsidRPr="006E7749" w:rsidP="006E7749">
            <w:pPr>
              <w:pStyle w:val="BodyText"/>
            </w:pPr>
            <w:r w:rsidRPr="006E7749">
              <w:t>Where simulation is considered a suitable strategy for assessment, conditions for assessment must be authentic and as</w:t>
            </w:r>
            <w:r w:rsidRPr="006E7749">
              <w:t xml:space="preserve"> far as possible reproduce and replicate the workplace and be consistent with the approved industry simulation policy.</w:t>
            </w:r>
          </w:p>
          <w:p w:rsidR="00000000" w:rsidRPr="006E7749" w:rsidP="006E7749">
            <w:pPr>
              <w:pStyle w:val="BodyText"/>
            </w:pPr>
            <w:r w:rsidRPr="006E7749">
              <w:t>The resources used for assessment should reflect current industry practices in relation to providing programming solution for engineering</w:t>
            </w:r>
            <w:r w:rsidRPr="006E7749">
              <w:t xml:space="preserve"> problems.</w:t>
            </w:r>
          </w:p>
        </w:tc>
      </w:tr>
    </w:tbl>
    <w:p w:rsidR="00000000" w:rsidRPr="006E7749" w:rsidP="006E7749">
      <w:pPr>
        <w:pStyle w:val="BodyText"/>
      </w:pPr>
    </w:p>
    <w:tbl>
      <w:tblPr>
        <w:tblW w:w="0" w:type="auto"/>
        <w:tblLayout w:type="fixed"/>
        <w:tblCellMar>
          <w:left w:w="62" w:type="dxa"/>
          <w:right w:w="62" w:type="dxa"/>
        </w:tblCellMar>
        <w:tblLook w:val="0000"/>
      </w:tblPr>
      <w:tblGrid>
        <w:gridCol w:w="1890"/>
        <w:gridCol w:w="6570"/>
      </w:tblGrid>
      <w:tr w:rsidTr="005B740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E7749" w:rsidP="006E7749">
            <w:pPr>
              <w:pStyle w:val="BodyText"/>
            </w:pPr>
            <w:r w:rsidRPr="006E774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rPr>
                <w:rStyle w:val="SpecialBold"/>
              </w:rPr>
              <w:t>9.4)</w:t>
            </w:r>
          </w:p>
        </w:tc>
      </w:tr>
      <w:tr w:rsidTr="005B740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E7749" w:rsidP="006E7749">
            <w:pPr>
              <w:pStyle w:val="BodyText"/>
            </w:pPr>
            <w:r w:rsidRPr="006E7749">
              <w:t>This unit shall be assessed by methods given in Volume 1, Part 3 ‘Assessment Guidelines’.</w:t>
            </w:r>
          </w:p>
          <w:p w:rsidR="00000000" w:rsidRPr="006E7749" w:rsidP="006E7749">
            <w:pPr>
              <w:pStyle w:val="BodyText"/>
            </w:pPr>
            <w:r w:rsidRPr="006E7749">
              <w:t xml:space="preserve">Note: </w:t>
            </w:r>
          </w:p>
          <w:p w:rsidR="00000000" w:rsidRPr="006E7749" w:rsidP="006E7749">
            <w:pPr>
              <w:pStyle w:val="BodyText"/>
            </w:pPr>
            <w:r w:rsidRPr="006E7749">
              <w:t>Competent performance with inherent safe working practices is expected in the Industry to which this unit applies. This requires assessment in a structured environment which is primarily intended for learning/assessment and incorporates all necessary equip</w:t>
            </w:r>
            <w:r w:rsidRPr="006E7749">
              <w:t>ment and facilities for learners to develop and demonstrate the essential knowledge and skills described in this unit.</w:t>
            </w:r>
          </w:p>
        </w:tc>
      </w:tr>
    </w:tbl>
    <w:p w:rsidR="00000000" w:rsidRPr="006E7749" w:rsidP="006E7749">
      <w:pPr>
        <w:pStyle w:val="BodyText"/>
      </w:pPr>
    </w:p>
    <w:tbl>
      <w:tblPr>
        <w:tblW w:w="0" w:type="auto"/>
        <w:tblLayout w:type="fixed"/>
        <w:tblCellMar>
          <w:left w:w="62" w:type="dxa"/>
          <w:right w:w="62" w:type="dxa"/>
        </w:tblCellMar>
        <w:tblLook w:val="0000"/>
      </w:tblPr>
      <w:tblGrid>
        <w:gridCol w:w="1890"/>
        <w:gridCol w:w="6570"/>
      </w:tblGrid>
      <w:tr w:rsidTr="005B740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E7749" w:rsidP="006E7749">
            <w:pPr>
              <w:pStyle w:val="BodyText"/>
            </w:pPr>
            <w:r w:rsidRPr="006E7749">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rPr>
                <w:rStyle w:val="SpecialBold"/>
              </w:rPr>
              <w:t>9.5)</w:t>
            </w:r>
          </w:p>
        </w:tc>
      </w:tr>
      <w:tr w:rsidTr="005B740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E7749" w:rsidP="006E7749">
            <w:pPr>
              <w:pStyle w:val="BodyText"/>
            </w:pPr>
            <w:r w:rsidRPr="006E7749">
              <w:t>There are no concurrent assessment recommendations for this unit</w:t>
            </w:r>
          </w:p>
        </w:tc>
      </w:tr>
    </w:tbl>
    <w:p w:rsidR="00000000" w:rsidRPr="006E7749" w:rsidP="006E7749">
      <w:pPr>
        <w:pStyle w:val="BodyText"/>
      </w:pPr>
    </w:p>
    <w:p w:rsidR="00000000" w:rsidRPr="006E7749" w:rsidP="006E7749">
      <w:pPr>
        <w:pStyle w:val="AllowPageBreak"/>
      </w:pPr>
    </w:p>
    <w:p w:rsidR="00000000" w:rsidRPr="006E7749" w:rsidP="006E7749">
      <w:pPr>
        <w:pStyle w:val="Heading1"/>
      </w:pPr>
      <w:bookmarkStart w:id="11" w:name="O_416995"/>
      <w:bookmarkEnd w:id="11"/>
      <w:r w:rsidRPr="006E7749">
        <w:t>Range Statement</w:t>
      </w:r>
    </w:p>
    <w:tbl>
      <w:tblPr>
        <w:tblW w:w="0" w:type="auto"/>
        <w:tblLayout w:type="fixed"/>
        <w:tblCellMar>
          <w:left w:w="62" w:type="dxa"/>
          <w:right w:w="62" w:type="dxa"/>
        </w:tblCellMar>
        <w:tblLook w:val="0000"/>
      </w:tblPr>
      <w:tblGrid>
        <w:gridCol w:w="8460"/>
      </w:tblGrid>
      <w:tr w:rsidTr="005B740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rPr>
                <w:rStyle w:val="SpecialBold"/>
              </w:rPr>
              <w:t>RANGE STATEMENT</w:t>
            </w:r>
          </w:p>
        </w:tc>
      </w:tr>
      <w:tr w:rsidTr="005B740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E7749" w:rsidP="006E7749">
            <w:pPr>
              <w:pStyle w:val="BodyText"/>
            </w:pPr>
            <w:r w:rsidRPr="006E7749">
              <w:rPr>
                <w:rStyle w:val="SpecialBold"/>
              </w:rPr>
              <w:t>10)</w:t>
            </w:r>
            <w:r w:rsidRPr="006E7749">
              <w:t xml:space="preserve"> This relates to the unit as a whole providing the range of contexts and conditions to which </w:t>
            </w:r>
            <w:r w:rsidRPr="006E7749">
              <w:t>the performance criteria apply. It allows for different work environments and situations that will affect performance.</w:t>
            </w:r>
          </w:p>
          <w:p w:rsidR="00000000" w:rsidRPr="006E7749" w:rsidP="006E7749">
            <w:pPr>
              <w:pStyle w:val="BodyText"/>
            </w:pPr>
            <w:r w:rsidRPr="006E7749">
              <w:t>This unit shall be demonstrated in relation to providing programming solution for engineering problems in any high level programming lang</w:t>
            </w:r>
            <w:r w:rsidRPr="006E7749">
              <w:t>uage used in engineering applications.</w:t>
            </w:r>
          </w:p>
          <w:p w:rsidR="00000000" w:rsidRPr="006E7749" w:rsidP="006E7749">
            <w:pPr>
              <w:pStyle w:val="BodyText"/>
            </w:pPr>
            <w:r w:rsidRPr="006E7749">
              <w:t>Note:</w:t>
            </w:r>
          </w:p>
          <w:p w:rsidR="00000000" w:rsidRPr="006E7749" w:rsidP="006E7749">
            <w:pPr>
              <w:pStyle w:val="BodyText"/>
            </w:pPr>
            <w:r w:rsidRPr="006E7749">
              <w:t>Example of programming languages are ‘C’, and object oriented languages such as ‘C++’, Java and Visual Basic.</w:t>
            </w:r>
          </w:p>
          <w:p w:rsidR="00000000" w:rsidRPr="006E7749" w:rsidP="006E7749">
            <w:pPr>
              <w:pStyle w:val="BodyText"/>
            </w:pPr>
            <w:r w:rsidRPr="006E7749">
              <w:t>Generic terms used throughout this Vocational Standard shall be regarded as part of the Range Stateme</w:t>
            </w:r>
            <w:r w:rsidRPr="006E7749">
              <w:t>nt in which competency is demonstrated. The definition of these and other terms that apply are given in Volume 2, Part 2.1.</w:t>
            </w:r>
          </w:p>
        </w:tc>
      </w:tr>
    </w:tbl>
    <w:p w:rsidR="00000000" w:rsidRPr="006E7749" w:rsidP="006E7749">
      <w:pPr>
        <w:pStyle w:val="BodyText"/>
      </w:pPr>
    </w:p>
    <w:p w:rsidR="00000000" w:rsidRPr="006E7749" w:rsidP="006E7749">
      <w:pPr>
        <w:pStyle w:val="AllowPageBreak"/>
      </w:pPr>
    </w:p>
    <w:p w:rsidR="00000000" w:rsidRPr="006E7749" w:rsidP="006E7749">
      <w:pPr>
        <w:pStyle w:val="Heading1"/>
      </w:pPr>
      <w:bookmarkStart w:id="12" w:name="O_416998"/>
      <w:bookmarkEnd w:id="12"/>
      <w:r w:rsidRPr="006E7749">
        <w:t>Unit Sector(s)</w:t>
      </w:r>
    </w:p>
    <w:p w:rsidR="00000000" w:rsidRPr="006E7749" w:rsidP="006E7749">
      <w:pPr>
        <w:pStyle w:val="BodyText"/>
      </w:pPr>
      <w:r w:rsidRPr="006E7749">
        <w:t>Not applicable.</w:t>
      </w:r>
    </w:p>
    <w:p w:rsidR="00000000" w:rsidRPr="006E7749" w:rsidP="006E7749">
      <w:pPr>
        <w:pStyle w:val="AllowPageBreak"/>
      </w:pPr>
    </w:p>
    <w:p w:rsidR="00000000" w:rsidRPr="006E7749" w:rsidP="006E7749">
      <w:pPr>
        <w:pStyle w:val="Heading1"/>
      </w:pPr>
      <w:bookmarkStart w:id="13" w:name="O_416987"/>
      <w:bookmarkEnd w:id="13"/>
      <w:r w:rsidRPr="006E7749">
        <w:t>Competency Field</w:t>
      </w:r>
    </w:p>
    <w:tbl>
      <w:tblPr>
        <w:tblW w:w="0" w:type="auto"/>
        <w:tblLayout w:type="fixed"/>
        <w:tblCellMar>
          <w:left w:w="62" w:type="dxa"/>
          <w:right w:w="62" w:type="dxa"/>
        </w:tblCellMar>
        <w:tblLook w:val="0000"/>
      </w:tblPr>
      <w:tblGrid>
        <w:gridCol w:w="2700"/>
        <w:gridCol w:w="5760"/>
      </w:tblGrid>
      <w:tr w:rsidTr="005B740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E7749" w:rsidP="006E7749">
            <w:pPr>
              <w:pStyle w:val="BodyText"/>
            </w:pPr>
            <w:r w:rsidRPr="006E774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E7749">
            <w:pPr>
              <w:pStyle w:val="BodyText"/>
              <w:rPr>
                <w:lang w:val="en-NZ"/>
              </w:rPr>
            </w:pPr>
            <w:r w:rsidRPr="006E7749">
              <w:rPr>
                <w:rStyle w:val="SpecialBold"/>
              </w:rPr>
              <w:t xml:space="preserve">11) </w:t>
            </w:r>
          </w:p>
        </w:tc>
      </w:tr>
      <w:tr w:rsidTr="005B740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E7749" w:rsidP="006E7749">
            <w:pPr>
              <w:pStyle w:val="BodyText"/>
            </w:pPr>
            <w:r w:rsidRPr="006E7749">
              <w:t xml:space="preserve">Computer Systems </w:t>
            </w:r>
          </w:p>
        </w:tc>
      </w:tr>
    </w:tbl>
    <w:p w:rsidR="00000000" w:rsidRPr="006E7749" w:rsidP="006E7749">
      <w:pPr>
        <w:pStyle w:val="BodyText"/>
      </w:pPr>
    </w:p>
    <w:p w:rsidR="00000000" w:rsidRPr="006E7749" w:rsidP="006E7749"/>
    <w:sectPr w:rsidSect="006E77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7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740C" w:rsidP="005B740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7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40C" w:rsidP="006E774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B740C" w:rsidP="006E77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B740C" w:rsidP="006E77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7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749" w:rsidRPr="005B740C" w:rsidP="005B740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7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40C" w:rsidRPr="002D2AF8" w:rsidP="006E7749">
    <w:pPr>
      <w:pStyle w:val="Header"/>
      <w:framePr w:wrap="around"/>
    </w:pPr>
    <w:r>
      <w:fldChar w:fldCharType="begin"/>
    </w:r>
    <w:r>
      <w:instrText xml:space="preserve"> TITLE   \* MERGEFORMAT </w:instrText>
    </w:r>
    <w:r>
      <w:fldChar w:fldCharType="separate"/>
    </w:r>
    <w:r>
      <w:t>UEENEED151A Provide programming solution for computer systems engineering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5B740C" w:rsidP="006E77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F0A0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4E0C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F80D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77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7749"/>
    <w:pPr>
      <w:spacing w:before="360" w:after="60"/>
      <w:outlineLvl w:val="0"/>
    </w:pPr>
    <w:rPr>
      <w:sz w:val="32"/>
    </w:rPr>
  </w:style>
  <w:style w:type="paragraph" w:styleId="Heading2">
    <w:name w:val="heading 2"/>
    <w:basedOn w:val="HeadingBase"/>
    <w:next w:val="BodyText"/>
    <w:link w:val="Heading2Char"/>
    <w:qFormat/>
    <w:rsid w:val="006E7749"/>
    <w:pPr>
      <w:keepLines/>
      <w:spacing w:before="240" w:after="120"/>
      <w:outlineLvl w:val="1"/>
    </w:pPr>
    <w:rPr>
      <w:sz w:val="28"/>
      <w:szCs w:val="40"/>
    </w:rPr>
  </w:style>
  <w:style w:type="paragraph" w:styleId="Heading3">
    <w:name w:val="heading 3"/>
    <w:basedOn w:val="HeadingBase"/>
    <w:next w:val="BodyText"/>
    <w:link w:val="Heading3Char"/>
    <w:qFormat/>
    <w:rsid w:val="006E7749"/>
    <w:pPr>
      <w:spacing w:before="180" w:after="120"/>
      <w:outlineLvl w:val="2"/>
    </w:pPr>
    <w:rPr>
      <w:spacing w:val="-10"/>
      <w:kern w:val="32"/>
    </w:rPr>
  </w:style>
  <w:style w:type="paragraph" w:styleId="Heading4">
    <w:name w:val="heading 4"/>
    <w:basedOn w:val="HeadingBase"/>
    <w:next w:val="BodyText"/>
    <w:link w:val="Heading4Char"/>
    <w:qFormat/>
    <w:rsid w:val="006E7749"/>
    <w:pPr>
      <w:spacing w:before="160" w:after="120"/>
      <w:outlineLvl w:val="3"/>
    </w:pPr>
    <w:rPr>
      <w:sz w:val="22"/>
    </w:rPr>
  </w:style>
  <w:style w:type="paragraph" w:styleId="Heading5">
    <w:name w:val="heading 5"/>
    <w:basedOn w:val="HeadingBase"/>
    <w:next w:val="Normal"/>
    <w:link w:val="Heading5Char"/>
    <w:qFormat/>
    <w:rsid w:val="006E7749"/>
    <w:pPr>
      <w:spacing w:before="80"/>
      <w:outlineLvl w:val="4"/>
    </w:pPr>
    <w:rPr>
      <w:color w:val="918585"/>
      <w:sz w:val="20"/>
    </w:rPr>
  </w:style>
  <w:style w:type="paragraph" w:styleId="Heading6">
    <w:name w:val="heading 6"/>
    <w:basedOn w:val="HeadingBase"/>
    <w:next w:val="Normal"/>
    <w:link w:val="Heading6Char"/>
    <w:qFormat/>
    <w:rsid w:val="006E7749"/>
    <w:pPr>
      <w:spacing w:before="60"/>
      <w:outlineLvl w:val="5"/>
    </w:pPr>
    <w:rPr>
      <w:color w:val="918585"/>
      <w:sz w:val="20"/>
    </w:rPr>
  </w:style>
  <w:style w:type="paragraph" w:styleId="Heading7">
    <w:name w:val="heading 7"/>
    <w:basedOn w:val="Normal"/>
    <w:next w:val="Normal"/>
    <w:link w:val="Heading7Char"/>
    <w:qFormat/>
    <w:rsid w:val="006E7749"/>
    <w:pPr>
      <w:ind w:left="720"/>
      <w:outlineLvl w:val="6"/>
    </w:pPr>
    <w:rPr>
      <w:i/>
    </w:rPr>
  </w:style>
  <w:style w:type="paragraph" w:styleId="Heading8">
    <w:name w:val="heading 8"/>
    <w:basedOn w:val="Normal"/>
    <w:next w:val="Normal"/>
    <w:link w:val="Heading8Char"/>
    <w:qFormat/>
    <w:rsid w:val="006E7749"/>
    <w:pPr>
      <w:ind w:left="720"/>
      <w:outlineLvl w:val="7"/>
    </w:pPr>
    <w:rPr>
      <w:i/>
    </w:rPr>
  </w:style>
  <w:style w:type="paragraph" w:styleId="Heading9">
    <w:name w:val="heading 9"/>
    <w:basedOn w:val="Normal"/>
    <w:next w:val="Normal"/>
    <w:link w:val="Heading9Char"/>
    <w:qFormat/>
    <w:rsid w:val="006E7749"/>
    <w:pPr>
      <w:ind w:left="720"/>
      <w:outlineLvl w:val="8"/>
    </w:pPr>
    <w:rPr>
      <w:i/>
    </w:rPr>
  </w:style>
  <w:style w:type="character" w:default="1" w:styleId="DefaultParagraphFont">
    <w:name w:val="Default Paragraph Font"/>
    <w:uiPriority w:val="1"/>
    <w:unhideWhenUsed/>
    <w:rsid w:val="006E77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7749"/>
  </w:style>
  <w:style w:type="character" w:customStyle="1" w:styleId="Heading1Char">
    <w:name w:val="Heading 1 Char"/>
    <w:basedOn w:val="DefaultParagraphFont"/>
    <w:link w:val="Heading1"/>
    <w:rsid w:val="006E7749"/>
    <w:rPr>
      <w:rFonts w:ascii="Times New Roman" w:eastAsia="Times New Roman" w:hAnsi="Times New Roman" w:cs="Times New Roman"/>
      <w:b/>
      <w:sz w:val="32"/>
      <w:szCs w:val="20"/>
      <w:lang w:eastAsia="en-US"/>
    </w:rPr>
  </w:style>
  <w:style w:type="paragraph" w:styleId="BodyText">
    <w:name w:val="Body Text"/>
    <w:basedOn w:val="Normal"/>
    <w:link w:val="BodyTextChar"/>
    <w:rsid w:val="006E77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7749"/>
    <w:rPr>
      <w:rFonts w:ascii="Times New Roman" w:eastAsia="Times New Roman" w:hAnsi="Times New Roman" w:cs="Times New Roman"/>
      <w:sz w:val="24"/>
      <w:lang w:eastAsia="en-US"/>
    </w:rPr>
  </w:style>
  <w:style w:type="paragraph" w:styleId="Footer">
    <w:name w:val="footer"/>
    <w:basedOn w:val="Normal"/>
    <w:link w:val="FooterChar"/>
    <w:rsid w:val="006E77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7749"/>
    <w:rPr>
      <w:rFonts w:ascii="Times New Roman" w:eastAsia="Times New Roman" w:hAnsi="Times New Roman" w:cs="Times New Roman"/>
      <w:sz w:val="16"/>
      <w:lang w:eastAsia="en-US"/>
    </w:rPr>
  </w:style>
  <w:style w:type="paragraph" w:styleId="ListBullet">
    <w:name w:val="List Bullet"/>
    <w:basedOn w:val="List"/>
    <w:rsid w:val="006E7749"/>
    <w:pPr>
      <w:numPr>
        <w:numId w:val="13"/>
      </w:numPr>
      <w:tabs>
        <w:tab w:val="clear" w:pos="340"/>
      </w:tabs>
      <w:spacing w:before="40" w:after="40"/>
    </w:pPr>
  </w:style>
  <w:style w:type="character" w:customStyle="1" w:styleId="SpecialBold">
    <w:name w:val="Special Bold"/>
    <w:basedOn w:val="DefaultParagraphFont"/>
    <w:rsid w:val="006E7749"/>
    <w:rPr>
      <w:b/>
      <w:spacing w:val="0"/>
    </w:rPr>
  </w:style>
  <w:style w:type="paragraph" w:styleId="ListBullet2">
    <w:name w:val="List Bullet 2"/>
    <w:basedOn w:val="List2"/>
    <w:rsid w:val="006E7749"/>
    <w:pPr>
      <w:numPr>
        <w:numId w:val="14"/>
      </w:numPr>
      <w:tabs>
        <w:tab w:val="clear" w:pos="680"/>
      </w:tabs>
    </w:pPr>
  </w:style>
  <w:style w:type="paragraph" w:customStyle="1" w:styleId="SuperHeading">
    <w:name w:val="SuperHeading"/>
    <w:basedOn w:val="Normal"/>
    <w:rsid w:val="006E7749"/>
    <w:pPr>
      <w:spacing w:before="240" w:after="120"/>
      <w:outlineLvl w:val="0"/>
    </w:pPr>
    <w:rPr>
      <w:rFonts w:ascii="Times New Roman" w:hAnsi="Times New Roman"/>
      <w:b/>
      <w:sz w:val="28"/>
    </w:rPr>
  </w:style>
  <w:style w:type="paragraph" w:customStyle="1" w:styleId="AllowPageBreak">
    <w:name w:val="AllowPageBreak"/>
    <w:rsid w:val="006E7749"/>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6E7749"/>
    <w:pPr>
      <w:ind w:firstLine="0"/>
    </w:pPr>
  </w:style>
  <w:style w:type="character" w:customStyle="1" w:styleId="Heading2Char">
    <w:name w:val="Heading 2 Char"/>
    <w:basedOn w:val="DefaultParagraphFont"/>
    <w:link w:val="Heading2"/>
    <w:rsid w:val="006E77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77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77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77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77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77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77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7749"/>
    <w:rPr>
      <w:rFonts w:ascii="Courier New" w:eastAsia="Times New Roman" w:hAnsi="Courier New" w:cs="Times New Roman"/>
      <w:i/>
      <w:szCs w:val="20"/>
      <w:lang w:eastAsia="en-US"/>
    </w:rPr>
  </w:style>
  <w:style w:type="paragraph" w:customStyle="1" w:styleId="HeadingBase">
    <w:name w:val="Heading Base"/>
    <w:rsid w:val="006E77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7749"/>
    <w:pPr>
      <w:tabs>
        <w:tab w:val="right" w:leader="dot" w:pos="9072"/>
      </w:tabs>
      <w:ind w:left="567"/>
    </w:pPr>
    <w:rPr>
      <w:szCs w:val="22"/>
    </w:rPr>
  </w:style>
  <w:style w:type="paragraph" w:customStyle="1" w:styleId="TOCBase">
    <w:name w:val="TOC Base"/>
    <w:rsid w:val="006E77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7749"/>
    <w:pPr>
      <w:tabs>
        <w:tab w:val="right" w:leader="dot" w:pos="9072"/>
      </w:tabs>
      <w:spacing w:before="40" w:after="40"/>
      <w:ind w:left="284"/>
    </w:pPr>
    <w:rPr>
      <w:rFonts w:ascii="Times New Roman" w:hAnsi="Times New Roman"/>
    </w:rPr>
  </w:style>
  <w:style w:type="paragraph" w:styleId="TOC1">
    <w:name w:val="toc 1"/>
    <w:basedOn w:val="TOCBase"/>
    <w:next w:val="Normal"/>
    <w:rsid w:val="006E77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E7749"/>
    <w:pPr>
      <w:spacing w:before="5040"/>
      <w:jc w:val="center"/>
    </w:pPr>
    <w:rPr>
      <w:sz w:val="48"/>
      <w:szCs w:val="72"/>
      <w:lang w:val="en-US"/>
    </w:rPr>
  </w:style>
  <w:style w:type="character" w:customStyle="1" w:styleId="TitleChar">
    <w:name w:val="Title Char"/>
    <w:basedOn w:val="DefaultParagraphFont"/>
    <w:link w:val="Title"/>
    <w:rsid w:val="006E77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7749"/>
    <w:pPr>
      <w:tabs>
        <w:tab w:val="left" w:pos="3600"/>
        <w:tab w:val="left" w:pos="3958"/>
      </w:tabs>
    </w:pPr>
  </w:style>
  <w:style w:type="paragraph" w:styleId="List">
    <w:name w:val="List"/>
    <w:basedOn w:val="BodyText"/>
    <w:next w:val="BodyText"/>
    <w:rsid w:val="006E7749"/>
    <w:pPr>
      <w:tabs>
        <w:tab w:val="left" w:pos="340"/>
      </w:tabs>
      <w:spacing w:before="60" w:after="60"/>
      <w:ind w:left="340" w:hanging="340"/>
    </w:pPr>
  </w:style>
  <w:style w:type="paragraph" w:customStyle="1" w:styleId="Note">
    <w:name w:val="Note"/>
    <w:basedOn w:val="BodyText"/>
    <w:rsid w:val="006E77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7749"/>
    <w:pPr>
      <w:framePr w:wrap="auto" w:hAnchor="text" w:y="6049"/>
    </w:pPr>
    <w:rPr>
      <w:color w:val="000000"/>
      <w:sz w:val="40"/>
    </w:rPr>
  </w:style>
  <w:style w:type="paragraph" w:customStyle="1" w:styleId="TOCTitle">
    <w:name w:val="TOCTitle"/>
    <w:basedOn w:val="Heading1"/>
    <w:rsid w:val="006E7749"/>
    <w:pPr>
      <w:spacing w:after="240"/>
      <w:jc w:val="center"/>
      <w:outlineLvl w:val="9"/>
    </w:pPr>
    <w:rPr>
      <w:caps/>
    </w:rPr>
  </w:style>
  <w:style w:type="paragraph" w:customStyle="1" w:styleId="Version">
    <w:name w:val="Version"/>
    <w:rsid w:val="006E77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7749"/>
    <w:pPr>
      <w:keepNext w:val="0"/>
      <w:tabs>
        <w:tab w:val="right" w:pos="4176"/>
      </w:tabs>
      <w:ind w:left="198" w:hanging="198"/>
    </w:pPr>
    <w:rPr>
      <w:rFonts w:ascii="Garamond" w:hAnsi="Garamond"/>
    </w:rPr>
  </w:style>
  <w:style w:type="paragraph" w:styleId="IndexHeading">
    <w:name w:val="index heading"/>
    <w:basedOn w:val="Normal"/>
    <w:next w:val="Index1"/>
    <w:semiHidden/>
    <w:rsid w:val="006E7749"/>
    <w:pPr>
      <w:spacing w:before="120" w:after="120"/>
    </w:pPr>
    <w:rPr>
      <w:rFonts w:ascii="Arial" w:hAnsi="Arial"/>
      <w:b/>
      <w:color w:val="918585"/>
      <w:sz w:val="24"/>
    </w:rPr>
  </w:style>
  <w:style w:type="paragraph" w:styleId="Header">
    <w:name w:val="header"/>
    <w:basedOn w:val="Normal"/>
    <w:link w:val="HeaderChar"/>
    <w:rsid w:val="006E77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7749"/>
    <w:rPr>
      <w:rFonts w:ascii="Times New Roman" w:eastAsia="Times New Roman" w:hAnsi="Times New Roman" w:cs="Times New Roman"/>
      <w:sz w:val="16"/>
      <w:szCs w:val="20"/>
      <w:lang w:val="en-GB" w:eastAsia="en-US"/>
    </w:rPr>
  </w:style>
  <w:style w:type="paragraph" w:customStyle="1" w:styleId="Chapter">
    <w:name w:val="Chapter"/>
    <w:basedOn w:val="Normal"/>
    <w:rsid w:val="006E7749"/>
    <w:pPr>
      <w:spacing w:before="240"/>
    </w:pPr>
    <w:rPr>
      <w:rFonts w:ascii="Times New Roman" w:hAnsi="Times New Roman"/>
      <w:smallCaps/>
      <w:spacing w:val="80"/>
      <w:sz w:val="28"/>
    </w:rPr>
  </w:style>
  <w:style w:type="paragraph" w:customStyle="1" w:styleId="InChapter">
    <w:name w:val="InChapter"/>
    <w:basedOn w:val="Heading3"/>
    <w:rsid w:val="006E7749"/>
    <w:pPr>
      <w:spacing w:after="240"/>
      <w:outlineLvl w:val="9"/>
    </w:pPr>
    <w:rPr>
      <w:noProof/>
    </w:rPr>
  </w:style>
  <w:style w:type="paragraph" w:styleId="Index2">
    <w:name w:val="index 2"/>
    <w:basedOn w:val="Normal"/>
    <w:next w:val="Normal"/>
    <w:semiHidden/>
    <w:rsid w:val="006E7749"/>
    <w:pPr>
      <w:tabs>
        <w:tab w:val="right" w:pos="4176"/>
      </w:tabs>
      <w:ind w:left="568" w:hanging="284"/>
    </w:pPr>
    <w:rPr>
      <w:rFonts w:ascii="Garamond" w:hAnsi="Garamond"/>
    </w:rPr>
  </w:style>
  <w:style w:type="paragraph" w:customStyle="1" w:styleId="Byline">
    <w:name w:val="Byline"/>
    <w:rsid w:val="006E77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7749"/>
    <w:pPr>
      <w:tabs>
        <w:tab w:val="clear" w:pos="3600"/>
        <w:tab w:val="clear" w:pos="3958"/>
      </w:tabs>
      <w:jc w:val="right"/>
    </w:pPr>
  </w:style>
  <w:style w:type="character" w:styleId="Emphasis">
    <w:name w:val="Emphasis"/>
    <w:basedOn w:val="DefaultParagraphFont"/>
    <w:qFormat/>
    <w:rsid w:val="006E7749"/>
    <w:rPr>
      <w:i/>
    </w:rPr>
  </w:style>
  <w:style w:type="paragraph" w:styleId="Caption">
    <w:name w:val="caption"/>
    <w:basedOn w:val="BodyText"/>
    <w:next w:val="Normal"/>
    <w:qFormat/>
    <w:rsid w:val="006E7749"/>
    <w:pPr>
      <w:framePr w:w="2268" w:hSpace="181" w:vSpace="181" w:wrap="around" w:vAnchor="text" w:hAnchor="page" w:x="1135" w:y="285" w:anchorLock="1"/>
    </w:pPr>
    <w:rPr>
      <w:i/>
    </w:rPr>
  </w:style>
  <w:style w:type="paragraph" w:customStyle="1" w:styleId="MiniTOCTitle">
    <w:name w:val="MiniTOCTitle"/>
    <w:basedOn w:val="Heading4"/>
    <w:rsid w:val="006E7749"/>
    <w:pPr>
      <w:spacing w:before="240"/>
      <w:outlineLvl w:val="9"/>
    </w:pPr>
    <w:rPr>
      <w:noProof/>
      <w:sz w:val="24"/>
    </w:rPr>
  </w:style>
  <w:style w:type="paragraph" w:customStyle="1" w:styleId="MiniTOCItem">
    <w:name w:val="MiniTOCItem"/>
    <w:basedOn w:val="ListBullet"/>
    <w:rsid w:val="006E7749"/>
    <w:pPr>
      <w:numPr>
        <w:numId w:val="0"/>
      </w:numPr>
      <w:tabs>
        <w:tab w:val="right" w:leader="dot" w:pos="6521"/>
      </w:tabs>
      <w:spacing w:before="0" w:after="0"/>
    </w:pPr>
  </w:style>
  <w:style w:type="paragraph" w:customStyle="1" w:styleId="TOFTitle">
    <w:name w:val="TOFTitle"/>
    <w:basedOn w:val="TOCTitle"/>
    <w:rsid w:val="006E7749"/>
  </w:style>
  <w:style w:type="paragraph" w:styleId="TableofFigures">
    <w:name w:val="table of figures"/>
    <w:basedOn w:val="Normal"/>
    <w:next w:val="Normal"/>
    <w:semiHidden/>
    <w:rsid w:val="006E7749"/>
    <w:pPr>
      <w:tabs>
        <w:tab w:val="right" w:leader="dot" w:pos="9072"/>
      </w:tabs>
      <w:ind w:left="970" w:hanging="403"/>
    </w:pPr>
    <w:rPr>
      <w:rFonts w:ascii="Times New Roman" w:hAnsi="Times New Roman"/>
      <w:b/>
    </w:rPr>
  </w:style>
  <w:style w:type="paragraph" w:styleId="ListNumber">
    <w:name w:val="List Number"/>
    <w:basedOn w:val="List"/>
    <w:rsid w:val="006E7749"/>
    <w:pPr>
      <w:numPr>
        <w:numId w:val="11"/>
      </w:numPr>
    </w:pPr>
  </w:style>
  <w:style w:type="character" w:customStyle="1" w:styleId="WingdingSymbols">
    <w:name w:val="Wingding Symbols"/>
    <w:rsid w:val="006E7749"/>
    <w:rPr>
      <w:rFonts w:ascii="Wingdings" w:hAnsi="Wingdings"/>
    </w:rPr>
  </w:style>
  <w:style w:type="paragraph" w:customStyle="1" w:styleId="TableHeading">
    <w:name w:val="Table Heading"/>
    <w:basedOn w:val="HeadingBase"/>
    <w:rsid w:val="006E7749"/>
    <w:pPr>
      <w:keepLines/>
      <w:pBdr>
        <w:bottom w:val="single" w:sz="6" w:space="1" w:color="918585"/>
      </w:pBdr>
      <w:spacing w:before="240"/>
    </w:pPr>
  </w:style>
  <w:style w:type="character" w:customStyle="1" w:styleId="HotSpot">
    <w:name w:val="HotSpot"/>
    <w:rsid w:val="006E7749"/>
    <w:rPr>
      <w:color w:val="0033CC"/>
      <w:u w:val="none"/>
    </w:rPr>
  </w:style>
  <w:style w:type="paragraph" w:customStyle="1" w:styleId="BodyTextRight">
    <w:name w:val="Body Text Right"/>
    <w:basedOn w:val="BodyText"/>
    <w:rsid w:val="006E7749"/>
    <w:pPr>
      <w:spacing w:before="0" w:after="0"/>
      <w:jc w:val="right"/>
    </w:pPr>
  </w:style>
  <w:style w:type="paragraph" w:styleId="Index3">
    <w:name w:val="index 3"/>
    <w:basedOn w:val="ListNumber2"/>
    <w:next w:val="Normal"/>
    <w:semiHidden/>
    <w:rsid w:val="006E7749"/>
    <w:pPr>
      <w:numPr>
        <w:numId w:val="0"/>
      </w:numPr>
      <w:tabs>
        <w:tab w:val="right" w:leader="dot" w:pos="4176"/>
      </w:tabs>
    </w:pPr>
  </w:style>
  <w:style w:type="paragraph" w:styleId="ListNumber2">
    <w:name w:val="List Number 2"/>
    <w:basedOn w:val="List2"/>
    <w:rsid w:val="006E7749"/>
    <w:pPr>
      <w:numPr>
        <w:numId w:val="10"/>
      </w:numPr>
      <w:tabs>
        <w:tab w:val="clear" w:pos="1060"/>
      </w:tabs>
    </w:pPr>
  </w:style>
  <w:style w:type="paragraph" w:customStyle="1" w:styleId="MarginNote">
    <w:name w:val="Margin Note"/>
    <w:basedOn w:val="BodyText"/>
    <w:rsid w:val="006E77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77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77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7749"/>
    <w:rPr>
      <w:sz w:val="32"/>
    </w:rPr>
  </w:style>
  <w:style w:type="paragraph" w:customStyle="1" w:styleId="HeadingProcedure">
    <w:name w:val="Heading Procedure"/>
    <w:basedOn w:val="HeadingBase"/>
    <w:next w:val="Normal"/>
    <w:rsid w:val="006E7749"/>
    <w:pPr>
      <w:tabs>
        <w:tab w:val="left" w:pos="0"/>
      </w:tabs>
      <w:spacing w:before="120" w:after="60"/>
    </w:pPr>
    <w:rPr>
      <w:i/>
      <w:color w:val="918585"/>
      <w:sz w:val="22"/>
    </w:rPr>
  </w:style>
  <w:style w:type="paragraph" w:customStyle="1" w:styleId="TableBodyText">
    <w:name w:val="Table Body Text"/>
    <w:basedOn w:val="BodyText"/>
    <w:rsid w:val="006E7749"/>
    <w:pPr>
      <w:spacing w:before="60" w:after="60"/>
    </w:pPr>
  </w:style>
  <w:style w:type="paragraph" w:customStyle="1" w:styleId="ListNote">
    <w:name w:val="List Note"/>
    <w:basedOn w:val="List"/>
    <w:rsid w:val="006E7749"/>
    <w:pPr>
      <w:pBdr>
        <w:top w:val="single" w:sz="6" w:space="2" w:color="918585"/>
        <w:bottom w:val="single" w:sz="6" w:space="2" w:color="918585"/>
      </w:pBdr>
      <w:tabs>
        <w:tab w:val="left" w:pos="1021"/>
      </w:tabs>
      <w:ind w:firstLine="0"/>
    </w:pPr>
  </w:style>
  <w:style w:type="paragraph" w:customStyle="1" w:styleId="Warning">
    <w:name w:val="Warning"/>
    <w:basedOn w:val="BodyText"/>
    <w:rsid w:val="006E7749"/>
    <w:pPr>
      <w:shd w:val="clear" w:color="auto" w:fill="D9D9D9"/>
      <w:tabs>
        <w:tab w:val="left" w:pos="992"/>
      </w:tabs>
      <w:ind w:left="119" w:right="119"/>
    </w:pPr>
    <w:rPr>
      <w:sz w:val="20"/>
    </w:rPr>
  </w:style>
  <w:style w:type="paragraph" w:customStyle="1" w:styleId="MarginIcons">
    <w:name w:val="Margin Icons"/>
    <w:basedOn w:val="BodyText"/>
    <w:rsid w:val="006E77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7749"/>
    <w:rPr>
      <w:rFonts w:ascii="Courier New" w:hAnsi="Courier New"/>
    </w:rPr>
  </w:style>
  <w:style w:type="paragraph" w:customStyle="1" w:styleId="NoteBullet">
    <w:name w:val="Note Bullet"/>
    <w:basedOn w:val="Note"/>
    <w:rsid w:val="006E7749"/>
    <w:pPr>
      <w:tabs>
        <w:tab w:val="clear" w:pos="680"/>
      </w:tabs>
      <w:spacing w:before="60" w:after="60"/>
    </w:pPr>
  </w:style>
  <w:style w:type="paragraph" w:customStyle="1" w:styleId="SubHeading2">
    <w:name w:val="SubHeading2"/>
    <w:basedOn w:val="HeadingBase"/>
    <w:rsid w:val="006E7749"/>
    <w:pPr>
      <w:spacing w:before="240" w:after="60"/>
    </w:pPr>
    <w:rPr>
      <w:sz w:val="20"/>
    </w:rPr>
  </w:style>
  <w:style w:type="paragraph" w:customStyle="1" w:styleId="SubHeading1">
    <w:name w:val="SubHeading1"/>
    <w:basedOn w:val="HeadingBase"/>
    <w:rsid w:val="006E7749"/>
    <w:pPr>
      <w:spacing w:before="240" w:after="60"/>
    </w:pPr>
    <w:rPr>
      <w:color w:val="918585"/>
      <w:sz w:val="22"/>
    </w:rPr>
  </w:style>
  <w:style w:type="paragraph" w:customStyle="1" w:styleId="SideHeading">
    <w:name w:val="Side Heading"/>
    <w:basedOn w:val="HeadingBase"/>
    <w:rsid w:val="006E77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7749"/>
    <w:pPr>
      <w:numPr>
        <w:numId w:val="12"/>
      </w:numPr>
    </w:pPr>
  </w:style>
  <w:style w:type="paragraph" w:styleId="PlainText">
    <w:name w:val="Plain Text"/>
    <w:basedOn w:val="Normal"/>
    <w:link w:val="PlainTextChar"/>
    <w:rsid w:val="006E7749"/>
    <w:rPr>
      <w:sz w:val="20"/>
    </w:rPr>
  </w:style>
  <w:style w:type="character" w:customStyle="1" w:styleId="PlainTextChar">
    <w:name w:val="Plain Text Char"/>
    <w:basedOn w:val="DefaultParagraphFont"/>
    <w:link w:val="PlainText"/>
    <w:rsid w:val="006E7749"/>
    <w:rPr>
      <w:rFonts w:ascii="Courier New" w:eastAsia="Times New Roman" w:hAnsi="Courier New" w:cs="Times New Roman"/>
      <w:sz w:val="20"/>
      <w:szCs w:val="20"/>
      <w:lang w:eastAsia="en-US"/>
    </w:rPr>
  </w:style>
  <w:style w:type="character" w:customStyle="1" w:styleId="MenuOption">
    <w:name w:val="Menu Option"/>
    <w:basedOn w:val="DefaultParagraphFont"/>
    <w:rsid w:val="006E7749"/>
    <w:rPr>
      <w:b/>
      <w:smallCaps/>
    </w:rPr>
  </w:style>
  <w:style w:type="paragraph" w:customStyle="1" w:styleId="TableListNumber">
    <w:name w:val="Table List Number"/>
    <w:basedOn w:val="ListNumber"/>
    <w:rsid w:val="006E7749"/>
    <w:pPr>
      <w:numPr>
        <w:numId w:val="0"/>
      </w:numPr>
    </w:pPr>
  </w:style>
  <w:style w:type="paragraph" w:styleId="TOC4">
    <w:name w:val="toc 4"/>
    <w:basedOn w:val="TOCBase"/>
    <w:next w:val="Normal"/>
    <w:semiHidden/>
    <w:rsid w:val="006E7749"/>
    <w:pPr>
      <w:tabs>
        <w:tab w:val="right" w:leader="dot" w:pos="9071"/>
      </w:tabs>
      <w:ind w:left="1701"/>
    </w:pPr>
  </w:style>
  <w:style w:type="paragraph" w:customStyle="1" w:styleId="ListAlpha">
    <w:name w:val="List Alpha"/>
    <w:basedOn w:val="List"/>
    <w:rsid w:val="006E7749"/>
    <w:pPr>
      <w:numPr>
        <w:numId w:val="9"/>
      </w:numPr>
    </w:pPr>
  </w:style>
  <w:style w:type="paragraph" w:customStyle="1" w:styleId="ListAlpha2">
    <w:name w:val="List Alpha 2"/>
    <w:basedOn w:val="List2"/>
    <w:rsid w:val="006E7749"/>
    <w:pPr>
      <w:numPr>
        <w:numId w:val="8"/>
      </w:numPr>
    </w:pPr>
  </w:style>
  <w:style w:type="paragraph" w:styleId="List2">
    <w:name w:val="List 2"/>
    <w:basedOn w:val="BodyText"/>
    <w:rsid w:val="006E7749"/>
    <w:pPr>
      <w:tabs>
        <w:tab w:val="left" w:pos="680"/>
      </w:tabs>
      <w:spacing w:before="60" w:after="60"/>
      <w:ind w:left="680" w:hanging="340"/>
    </w:pPr>
  </w:style>
  <w:style w:type="paragraph" w:styleId="List3">
    <w:name w:val="List 3"/>
    <w:basedOn w:val="BodyText"/>
    <w:rsid w:val="006E7749"/>
    <w:pPr>
      <w:tabs>
        <w:tab w:val="left" w:pos="1021"/>
      </w:tabs>
      <w:spacing w:before="60" w:after="60"/>
      <w:ind w:left="1020" w:hanging="340"/>
    </w:pPr>
  </w:style>
  <w:style w:type="paragraph" w:styleId="List4">
    <w:name w:val="List 4"/>
    <w:basedOn w:val="BodyText"/>
    <w:rsid w:val="006E7749"/>
    <w:pPr>
      <w:tabs>
        <w:tab w:val="left" w:pos="1361"/>
      </w:tabs>
      <w:spacing w:before="60" w:after="60"/>
      <w:ind w:left="1361" w:hanging="340"/>
    </w:pPr>
  </w:style>
  <w:style w:type="paragraph" w:styleId="List5">
    <w:name w:val="List 5"/>
    <w:basedOn w:val="BodyText"/>
    <w:rsid w:val="006E7749"/>
    <w:pPr>
      <w:tabs>
        <w:tab w:val="left" w:pos="1701"/>
      </w:tabs>
      <w:spacing w:before="60" w:after="60"/>
      <w:ind w:left="1701" w:hanging="340"/>
    </w:pPr>
  </w:style>
  <w:style w:type="paragraph" w:styleId="ListBullet3">
    <w:name w:val="List Bullet 3"/>
    <w:basedOn w:val="List3"/>
    <w:rsid w:val="006E7749"/>
    <w:pPr>
      <w:numPr>
        <w:numId w:val="15"/>
      </w:numPr>
      <w:tabs>
        <w:tab w:val="clear" w:pos="1021"/>
      </w:tabs>
      <w:ind w:left="1037" w:hanging="357"/>
    </w:pPr>
  </w:style>
  <w:style w:type="paragraph" w:styleId="ListBullet4">
    <w:name w:val="List Bullet 4"/>
    <w:basedOn w:val="List4"/>
    <w:rsid w:val="006E7749"/>
    <w:pPr>
      <w:numPr>
        <w:numId w:val="3"/>
      </w:numPr>
    </w:pPr>
  </w:style>
  <w:style w:type="paragraph" w:styleId="ListBullet5">
    <w:name w:val="List Bullet 5"/>
    <w:basedOn w:val="List5"/>
    <w:rsid w:val="006E7749"/>
    <w:pPr>
      <w:numPr>
        <w:numId w:val="4"/>
      </w:numPr>
    </w:pPr>
  </w:style>
  <w:style w:type="paragraph" w:styleId="ListContinue2">
    <w:name w:val="List Continue 2"/>
    <w:basedOn w:val="List2"/>
    <w:rsid w:val="006E7749"/>
    <w:pPr>
      <w:ind w:firstLine="0"/>
    </w:pPr>
  </w:style>
  <w:style w:type="paragraph" w:styleId="ListContinue3">
    <w:name w:val="List Continue 3"/>
    <w:basedOn w:val="List3"/>
    <w:rsid w:val="006E7749"/>
    <w:pPr>
      <w:ind w:left="1021" w:firstLine="0"/>
    </w:pPr>
  </w:style>
  <w:style w:type="paragraph" w:styleId="ListContinue4">
    <w:name w:val="List Continue 4"/>
    <w:basedOn w:val="List4"/>
    <w:rsid w:val="006E7749"/>
    <w:pPr>
      <w:ind w:firstLine="0"/>
    </w:pPr>
  </w:style>
  <w:style w:type="paragraph" w:styleId="ListContinue5">
    <w:name w:val="List Continue 5"/>
    <w:basedOn w:val="List5"/>
    <w:rsid w:val="006E7749"/>
    <w:pPr>
      <w:ind w:firstLine="0"/>
    </w:pPr>
  </w:style>
  <w:style w:type="paragraph" w:styleId="ListNumber3">
    <w:name w:val="List Number 3"/>
    <w:basedOn w:val="List3"/>
    <w:rsid w:val="006E7749"/>
    <w:pPr>
      <w:numPr>
        <w:numId w:val="5"/>
      </w:numPr>
    </w:pPr>
  </w:style>
  <w:style w:type="paragraph" w:styleId="ListNumber4">
    <w:name w:val="List Number 4"/>
    <w:basedOn w:val="List4"/>
    <w:rsid w:val="006E7749"/>
    <w:pPr>
      <w:numPr>
        <w:numId w:val="6"/>
      </w:numPr>
    </w:pPr>
  </w:style>
  <w:style w:type="paragraph" w:styleId="ListNumber5">
    <w:name w:val="List Number 5"/>
    <w:basedOn w:val="List5"/>
    <w:rsid w:val="006E7749"/>
    <w:pPr>
      <w:numPr>
        <w:numId w:val="7"/>
      </w:numPr>
    </w:pPr>
  </w:style>
  <w:style w:type="paragraph" w:styleId="BlockText">
    <w:name w:val="Block Text"/>
    <w:basedOn w:val="Normal"/>
    <w:rsid w:val="006E7749"/>
    <w:pPr>
      <w:spacing w:after="120"/>
      <w:ind w:left="1440" w:right="1440"/>
    </w:pPr>
  </w:style>
  <w:style w:type="character" w:customStyle="1" w:styleId="Subscript">
    <w:name w:val="Subscript"/>
    <w:basedOn w:val="DefaultParagraphFont"/>
    <w:rsid w:val="006E7749"/>
    <w:rPr>
      <w:sz w:val="16"/>
      <w:vertAlign w:val="subscript"/>
    </w:rPr>
  </w:style>
  <w:style w:type="character" w:customStyle="1" w:styleId="Superscript">
    <w:name w:val="Superscript"/>
    <w:basedOn w:val="DefaultParagraphFont"/>
    <w:rsid w:val="006E7749"/>
    <w:rPr>
      <w:sz w:val="16"/>
      <w:vertAlign w:val="superscript"/>
    </w:rPr>
  </w:style>
  <w:style w:type="character" w:customStyle="1" w:styleId="Symbols">
    <w:name w:val="Symbols"/>
    <w:basedOn w:val="DefaultParagraphFont"/>
    <w:rsid w:val="006E7749"/>
    <w:rPr>
      <w:rFonts w:ascii="Symbol" w:hAnsi="Symbol"/>
    </w:rPr>
  </w:style>
  <w:style w:type="character" w:customStyle="1" w:styleId="MenuOptions">
    <w:name w:val="Menu Options"/>
    <w:basedOn w:val="DefaultParagraphFont"/>
    <w:rsid w:val="006E7749"/>
    <w:rPr>
      <w:rFonts w:ascii="Arial Narrow" w:hAnsi="Arial Narrow"/>
      <w:smallCaps/>
    </w:rPr>
  </w:style>
  <w:style w:type="character" w:customStyle="1" w:styleId="Buttons">
    <w:name w:val="Buttons"/>
    <w:basedOn w:val="DefaultParagraphFont"/>
    <w:rsid w:val="006E7749"/>
    <w:rPr>
      <w:b/>
    </w:rPr>
  </w:style>
  <w:style w:type="character" w:customStyle="1" w:styleId="Underlined">
    <w:name w:val="Underlined"/>
    <w:basedOn w:val="DefaultParagraphFont"/>
    <w:rsid w:val="006E7749"/>
    <w:rPr>
      <w:u w:val="single"/>
    </w:rPr>
  </w:style>
  <w:style w:type="paragraph" w:customStyle="1" w:styleId="TableBodyTextRight">
    <w:name w:val="Table Body Text Right"/>
    <w:basedOn w:val="TableBodyText"/>
    <w:rsid w:val="006E7749"/>
    <w:pPr>
      <w:widowControl w:val="0"/>
      <w:autoSpaceDE w:val="0"/>
      <w:autoSpaceDN w:val="0"/>
      <w:adjustRightInd w:val="0"/>
      <w:jc w:val="right"/>
    </w:pPr>
    <w:rPr>
      <w:rFonts w:cs="Arial"/>
      <w:szCs w:val="18"/>
    </w:rPr>
  </w:style>
  <w:style w:type="paragraph" w:customStyle="1" w:styleId="CopyrightText">
    <w:name w:val="Copyright Text"/>
    <w:basedOn w:val="BodyText"/>
    <w:rsid w:val="006E7749"/>
    <w:rPr>
      <w:sz w:val="18"/>
    </w:rPr>
  </w:style>
  <w:style w:type="paragraph" w:customStyle="1" w:styleId="BodySmallRight">
    <w:name w:val="Body Small Right"/>
    <w:basedOn w:val="BodyTextRight"/>
    <w:rsid w:val="006E7749"/>
    <w:rPr>
      <w:sz w:val="18"/>
      <w:szCs w:val="18"/>
    </w:rPr>
  </w:style>
  <w:style w:type="paragraph" w:customStyle="1" w:styleId="MarginEdition">
    <w:name w:val="Margin Edition"/>
    <w:basedOn w:val="MarginNote"/>
    <w:rsid w:val="006E7749"/>
    <w:pPr>
      <w:spacing w:before="0" w:after="0"/>
    </w:pPr>
    <w:rPr>
      <w:rFonts w:ascii="Times New Roman" w:hAnsi="Times New Roman"/>
      <w:color w:val="999999"/>
    </w:rPr>
  </w:style>
  <w:style w:type="paragraph" w:customStyle="1" w:styleId="Spacer">
    <w:name w:val="Spacer"/>
    <w:basedOn w:val="Normal"/>
    <w:rsid w:val="006E7749"/>
    <w:rPr>
      <w:sz w:val="2"/>
      <w:szCs w:val="2"/>
    </w:rPr>
  </w:style>
  <w:style w:type="character" w:customStyle="1" w:styleId="Small">
    <w:name w:val="Small"/>
    <w:basedOn w:val="DefaultParagraphFont"/>
    <w:rsid w:val="006E7749"/>
    <w:rPr>
      <w:sz w:val="16"/>
    </w:rPr>
  </w:style>
  <w:style w:type="paragraph" w:customStyle="1" w:styleId="WideTable">
    <w:name w:val="Wide Table"/>
    <w:basedOn w:val="Normal"/>
    <w:rsid w:val="006E7749"/>
    <w:pPr>
      <w:ind w:left="-1418"/>
    </w:pPr>
    <w:rPr>
      <w:sz w:val="2"/>
      <w:szCs w:val="2"/>
    </w:rPr>
  </w:style>
  <w:style w:type="character" w:styleId="PageNumber">
    <w:name w:val="page number"/>
    <w:basedOn w:val="DefaultParagraphFont"/>
    <w:rsid w:val="006E7749"/>
  </w:style>
  <w:style w:type="paragraph" w:styleId="Quote">
    <w:name w:val="Quote"/>
    <w:basedOn w:val="Heading1"/>
    <w:link w:val="QuoteChar"/>
    <w:qFormat/>
    <w:rsid w:val="006E7749"/>
    <w:rPr>
      <w:b w:val="0"/>
      <w:sz w:val="72"/>
      <w:szCs w:val="72"/>
      <w:lang w:val="en-NZ"/>
    </w:rPr>
  </w:style>
  <w:style w:type="character" w:customStyle="1" w:styleId="QuoteChar">
    <w:name w:val="Quote Char"/>
    <w:basedOn w:val="DefaultParagraphFont"/>
    <w:link w:val="Quote"/>
    <w:rsid w:val="006E77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7749"/>
    <w:pPr>
      <w:pageBreakBefore/>
    </w:pPr>
  </w:style>
  <w:style w:type="paragraph" w:customStyle="1" w:styleId="Border">
    <w:name w:val="Border"/>
    <w:basedOn w:val="Normal"/>
    <w:qFormat/>
    <w:rsid w:val="006E77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7749"/>
    <w:rPr>
      <w:b/>
      <w:bCs/>
      <w:i/>
      <w:iCs/>
      <w:color w:val="auto"/>
    </w:rPr>
  </w:style>
  <w:style w:type="paragraph" w:styleId="IntenseQuote">
    <w:name w:val="Intense Quote"/>
    <w:basedOn w:val="Normal"/>
    <w:next w:val="Normal"/>
    <w:link w:val="IntenseQuoteChar"/>
    <w:uiPriority w:val="30"/>
    <w:qFormat/>
    <w:rsid w:val="006E77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77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7749"/>
    <w:rPr>
      <w:smallCaps/>
      <w:color w:val="auto"/>
      <w:u w:val="single"/>
    </w:rPr>
  </w:style>
  <w:style w:type="character" w:styleId="IntenseReference">
    <w:name w:val="Intense Reference"/>
    <w:basedOn w:val="DefaultParagraphFont"/>
    <w:uiPriority w:val="32"/>
    <w:qFormat/>
    <w:rsid w:val="006E7749"/>
    <w:rPr>
      <w:b/>
      <w:bCs/>
      <w:smallCaps/>
      <w:color w:val="auto"/>
      <w:spacing w:val="5"/>
      <w:u w:val="single"/>
    </w:rPr>
  </w:style>
  <w:style w:type="paragraph" w:customStyle="1" w:styleId="2ColumnHeading">
    <w:name w:val="2Column Heading"/>
    <w:basedOn w:val="BodyText"/>
    <w:qFormat/>
    <w:rsid w:val="006E7749"/>
    <w:pPr>
      <w:spacing w:after="60"/>
      <w:ind w:left="-2268"/>
    </w:pPr>
    <w:rPr>
      <w:b/>
    </w:rPr>
  </w:style>
  <w:style w:type="paragraph" w:customStyle="1" w:styleId="Heading1TOC">
    <w:name w:val="Heading1 TOC"/>
    <w:basedOn w:val="Normal"/>
    <w:qFormat/>
    <w:rsid w:val="006E7749"/>
    <w:pPr>
      <w:spacing w:before="240" w:after="120"/>
    </w:pPr>
    <w:rPr>
      <w:rFonts w:ascii="Times New Roman" w:hAnsi="Times New Roman"/>
      <w:b/>
      <w:sz w:val="32"/>
    </w:rPr>
  </w:style>
  <w:style w:type="paragraph" w:customStyle="1" w:styleId="Heading2TOC">
    <w:name w:val="Heading2 TOC"/>
    <w:basedOn w:val="Normal"/>
    <w:qFormat/>
    <w:rsid w:val="006E7749"/>
    <w:pPr>
      <w:spacing w:before="240" w:after="60"/>
    </w:pPr>
    <w:rPr>
      <w:rFonts w:ascii="Times New Roman" w:hAnsi="Times New Roman"/>
      <w:b/>
      <w:sz w:val="28"/>
    </w:rPr>
  </w:style>
  <w:style w:type="character" w:customStyle="1" w:styleId="Underline">
    <w:name w:val="Underline"/>
    <w:basedOn w:val="DefaultParagraphFont"/>
    <w:qFormat/>
    <w:rsid w:val="006E7749"/>
    <w:rPr>
      <w:u w:val="single"/>
    </w:rPr>
  </w:style>
  <w:style w:type="character" w:customStyle="1" w:styleId="BoldandItalics">
    <w:name w:val="Bold and Italics"/>
    <w:qFormat/>
    <w:rsid w:val="006E7749"/>
    <w:rPr>
      <w:b/>
      <w:i/>
      <w:u w:val="none"/>
    </w:rPr>
  </w:style>
  <w:style w:type="paragraph" w:styleId="BalloonText">
    <w:name w:val="Balloon Text"/>
    <w:basedOn w:val="Normal"/>
    <w:link w:val="BalloonTextChar"/>
    <w:rsid w:val="006E7749"/>
    <w:rPr>
      <w:rFonts w:ascii="Tahoma" w:hAnsi="Tahoma" w:cs="Tahoma"/>
      <w:sz w:val="16"/>
      <w:szCs w:val="16"/>
    </w:rPr>
  </w:style>
  <w:style w:type="character" w:customStyle="1" w:styleId="BalloonTextChar">
    <w:name w:val="Balloon Text Char"/>
    <w:basedOn w:val="DefaultParagraphFont"/>
    <w:link w:val="BalloonText"/>
    <w:rsid w:val="006E77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77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77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7749"/>
    <w:rPr>
      <w:b/>
      <w:color w:val="660033"/>
      <w:spacing w:val="0"/>
    </w:rPr>
  </w:style>
  <w:style w:type="paragraph" w:customStyle="1" w:styleId="Nameditemlist">
    <w:name w:val="Named item list"/>
    <w:basedOn w:val="BodyText"/>
    <w:qFormat/>
    <w:rsid w:val="006E774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1872</Words>
  <Characters>11410</Characters>
  <Application>Microsoft Office Word</Application>
  <DocSecurity>0</DocSecurity>
  <Lines>446</Lines>
  <Paragraphs>190</Paragraphs>
  <ScaleCrop>false</ScaleCrop>
  <Company>Author-it Software Corporation Ltd.</Company>
  <LinksUpToDate>false</LinksUpToDate>
  <CharactersWithSpaces>13156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UEENEED151A Provide programming solution for computer systems engineering problems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2012-10-11T19:59:00Z</dcterms:created>
  <dcterms:modified xsi:type="dcterms:W3CDTF">2012-10-11T19:59:00Z</dcterms:modified>
</cp:coreProperties>
</file>