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06D" w:rsidP="00FA106D">
      <w:pPr>
        <w:pStyle w:val="Title"/>
      </w:pPr>
      <w:r>
        <w:fldChar w:fldCharType="begin"/>
      </w:r>
      <w:r>
        <w:instrText xml:space="preserve"> TITLE   \* MERGEFORMAT </w:instrText>
      </w:r>
      <w:r>
        <w:fldChar w:fldCharType="separate"/>
      </w:r>
      <w:r>
        <w:t>UEENEED147A Develop energy sector directory services</w:t>
      </w:r>
      <w:r>
        <w:fldChar w:fldCharType="end"/>
      </w:r>
    </w:p>
    <w:p w:rsidR="00FA106D" w:rsidP="00FA106D">
      <w:pPr>
        <w:pStyle w:val="Version"/>
        <w:sectPr w:rsidSect="00651C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C5E" w:rsidP="00651C5E">
      <w:pPr>
        <w:pStyle w:val="SuperHeading"/>
      </w:pPr>
      <w:r w:rsidRPr="00651C5E">
        <w:t>UEENEED147A Develop energy sector directory services</w:t>
      </w:r>
    </w:p>
    <w:p w:rsidR="00000000" w:rsidRPr="00651C5E" w:rsidP="00651C5E">
      <w:pPr>
        <w:pStyle w:val="Heading1"/>
      </w:pPr>
      <w:bookmarkStart w:id="1" w:name="O_416898"/>
      <w:bookmarkEnd w:id="1"/>
      <w:r w:rsidRPr="00651C5E">
        <w:t>Modification History</w:t>
      </w:r>
    </w:p>
    <w:p w:rsidR="00000000" w:rsidRPr="00651C5E" w:rsidP="00651C5E">
      <w:pPr>
        <w:pStyle w:val="BodyText"/>
      </w:pPr>
      <w:r w:rsidRPr="00651C5E">
        <w:t>Not applicable.</w:t>
      </w:r>
    </w:p>
    <w:p w:rsidR="00000000" w:rsidRPr="00651C5E" w:rsidP="00651C5E">
      <w:pPr>
        <w:pStyle w:val="AllowPageBreak"/>
      </w:pPr>
    </w:p>
    <w:p w:rsidR="00000000" w:rsidRPr="00651C5E" w:rsidP="00651C5E">
      <w:pPr>
        <w:pStyle w:val="Heading1"/>
      </w:pPr>
      <w:bookmarkStart w:id="2" w:name="O_416896"/>
      <w:bookmarkEnd w:id="2"/>
      <w:r w:rsidRPr="00651C5E">
        <w:t>Unit Descriptor</w:t>
      </w:r>
    </w:p>
    <w:tbl>
      <w:tblPr>
        <w:tblW w:w="0" w:type="auto"/>
        <w:tblLayout w:type="fixed"/>
        <w:tblCellMar>
          <w:left w:w="62" w:type="dxa"/>
          <w:right w:w="62" w:type="dxa"/>
        </w:tblCellMar>
        <w:tblLook w:val="0000"/>
      </w:tblPr>
      <w:tblGrid>
        <w:gridCol w:w="2700"/>
        <w:gridCol w:w="5760"/>
      </w:tblGrid>
      <w:tr w:rsidTr="00FA10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1)</w:t>
            </w:r>
            <w:r w:rsidRPr="00651C5E">
              <w:t xml:space="preserve"> </w:t>
            </w:r>
            <w:r w:rsidRPr="00651C5E">
              <w:rPr>
                <w:rStyle w:val="SpecialBold"/>
              </w:rPr>
              <w:t>Scope:</w:t>
            </w:r>
          </w:p>
        </w:tc>
      </w:tr>
      <w:tr w:rsidTr="00FA10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51C5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1.1) Descriptor</w:t>
            </w:r>
          </w:p>
        </w:tc>
      </w:tr>
      <w:tr w:rsidTr="00FA10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t xml:space="preserve">This unit covers developing energy sector directory services to support centralised management and security, centralised authentication, information security and single sign on for network users, and standardised access to application data. It encompasses </w:t>
            </w:r>
            <w:r w:rsidRPr="00651C5E">
              <w:t>safe working practices, configuring directory integrated Domain Name System (DNS), installing and configuring directory services infrastructure, directory roles and services, creating and managing directory objects, maintaining the directory services envir</w:t>
            </w:r>
            <w:r w:rsidRPr="00651C5E">
              <w:t>onment, configuring certificate services, and documenting development activities.</w:t>
            </w:r>
          </w:p>
          <w:p w:rsidR="00000000" w:rsidRPr="00651C5E" w:rsidP="00651C5E">
            <w:pPr>
              <w:pStyle w:val="BodyText"/>
            </w:pPr>
            <w:r w:rsidRPr="00651C5E">
              <w:t xml:space="preserve">Note: </w:t>
            </w:r>
            <w:r w:rsidRPr="00651C5E">
              <w:br/>
              <w:t>This unit applies to all aspects of energy sector engineering applications only. For general competencies related to Information Technologies refer to the latest endor</w:t>
            </w:r>
            <w:r w:rsidRPr="00651C5E">
              <w:t>sed IT Training Package.</w:t>
            </w:r>
          </w:p>
        </w:tc>
      </w:tr>
    </w:tbl>
    <w:p w:rsidR="00000000" w:rsidRPr="00651C5E" w:rsidP="00651C5E">
      <w:pPr>
        <w:pStyle w:val="BodyText"/>
      </w:pPr>
    </w:p>
    <w:p w:rsidR="00000000" w:rsidRPr="00651C5E" w:rsidP="00651C5E">
      <w:pPr>
        <w:pStyle w:val="AllowPageBreak"/>
      </w:pPr>
    </w:p>
    <w:p w:rsidR="00000000" w:rsidRPr="00651C5E" w:rsidP="00651C5E">
      <w:pPr>
        <w:pStyle w:val="Heading1"/>
      </w:pPr>
      <w:bookmarkStart w:id="3" w:name="O_416885"/>
      <w:bookmarkEnd w:id="3"/>
      <w:r w:rsidRPr="00651C5E">
        <w:t>Application of the Unit</w:t>
      </w:r>
    </w:p>
    <w:tbl>
      <w:tblPr>
        <w:tblW w:w="0" w:type="auto"/>
        <w:tblLayout w:type="fixed"/>
        <w:tblCellMar>
          <w:left w:w="62" w:type="dxa"/>
          <w:right w:w="62" w:type="dxa"/>
        </w:tblCellMar>
        <w:tblLook w:val="0000"/>
      </w:tblPr>
      <w:tblGrid>
        <w:gridCol w:w="2672"/>
        <w:gridCol w:w="5699"/>
      </w:tblGrid>
      <w:tr w:rsidTr="00FA106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2)</w:t>
            </w:r>
          </w:p>
        </w:tc>
      </w:tr>
      <w:tr w:rsidTr="00FA106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t>This unit applies to any recognised development program that leads to the acquisition of a formal award at AQF level 5 or higher.</w:t>
            </w:r>
          </w:p>
        </w:tc>
      </w:tr>
    </w:tbl>
    <w:p w:rsidR="00000000" w:rsidRPr="00651C5E" w:rsidP="00651C5E">
      <w:pPr>
        <w:pStyle w:val="BodyText"/>
      </w:pPr>
    </w:p>
    <w:p w:rsidR="00000000" w:rsidRPr="00651C5E" w:rsidP="00651C5E">
      <w:pPr>
        <w:pStyle w:val="AllowPageBreak"/>
      </w:pPr>
    </w:p>
    <w:p w:rsidR="00000000" w:rsidRPr="00651C5E" w:rsidP="00651C5E">
      <w:pPr>
        <w:pStyle w:val="Heading1"/>
      </w:pPr>
      <w:bookmarkStart w:id="4" w:name="O_416892"/>
      <w:bookmarkEnd w:id="4"/>
      <w:r w:rsidRPr="00651C5E">
        <w:t>Licensing/Regulatory Information</w:t>
      </w:r>
    </w:p>
    <w:tbl>
      <w:tblPr>
        <w:tblW w:w="0" w:type="auto"/>
        <w:tblLayout w:type="fixed"/>
        <w:tblCellMar>
          <w:left w:w="62" w:type="dxa"/>
          <w:right w:w="62" w:type="dxa"/>
        </w:tblCellMar>
        <w:tblLook w:val="0000"/>
      </w:tblPr>
      <w:tblGrid>
        <w:gridCol w:w="2700"/>
        <w:gridCol w:w="5760"/>
      </w:tblGrid>
      <w:tr w:rsidTr="00FA10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 xml:space="preserve">3) </w:t>
            </w:r>
          </w:p>
        </w:tc>
      </w:tr>
      <w:tr w:rsidTr="00FA10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t>The skills and knowledge described in this unit do not require a license to practice in the workplace. However, practice in this unit is subject to regulations directly related to occupational heal</w:t>
            </w:r>
            <w:r w:rsidRPr="00651C5E">
              <w:t>th and safety and where applicable contracts of training such as apprenticeships.</w:t>
            </w:r>
          </w:p>
        </w:tc>
      </w:tr>
    </w:tbl>
    <w:p w:rsidR="00000000" w:rsidRPr="00651C5E" w:rsidP="00651C5E">
      <w:pPr>
        <w:pStyle w:val="BodyText"/>
      </w:pPr>
    </w:p>
    <w:p w:rsidR="00000000" w:rsidRPr="00651C5E" w:rsidP="00651C5E">
      <w:pPr>
        <w:pStyle w:val="AllowPageBreak"/>
      </w:pPr>
    </w:p>
    <w:p w:rsidR="00000000" w:rsidRPr="00651C5E" w:rsidP="00651C5E">
      <w:pPr>
        <w:pStyle w:val="Heading1"/>
      </w:pPr>
      <w:bookmarkStart w:id="5" w:name="O_416893"/>
      <w:bookmarkEnd w:id="5"/>
      <w:r w:rsidRPr="00651C5E">
        <w:t>Pre-Requisites</w:t>
      </w:r>
    </w:p>
    <w:tbl>
      <w:tblPr>
        <w:tblW w:w="0" w:type="auto"/>
        <w:tblLayout w:type="fixed"/>
        <w:tblCellMar>
          <w:left w:w="62" w:type="dxa"/>
          <w:right w:w="62" w:type="dxa"/>
        </w:tblCellMar>
        <w:tblLook w:val="0000"/>
      </w:tblPr>
      <w:tblGrid>
        <w:gridCol w:w="2700"/>
        <w:gridCol w:w="1440"/>
        <w:gridCol w:w="4320"/>
      </w:tblGrid>
      <w:tr w:rsidTr="00FA10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 xml:space="preserve">4) </w:t>
            </w:r>
          </w:p>
        </w:tc>
      </w:tr>
      <w:tr w:rsidTr="00FA10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4.1)</w:t>
            </w:r>
          </w:p>
        </w:tc>
      </w:tr>
      <w:tr w:rsidTr="00FA10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Granting competency in this unit shall be made only after competency in the following unit(s) has/have been confirmed.</w:t>
            </w:r>
          </w:p>
        </w:tc>
      </w:tr>
      <w:tr w:rsidTr="00FA106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UEENEEE101A</w:t>
            </w:r>
          </w:p>
        </w:tc>
        <w:tc>
          <w:tcPr>
            <w:tcW w:w="432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t>Apply Occupational Health Safety regulations, codes and practices in the workplace</w:t>
            </w:r>
          </w:p>
        </w:tc>
      </w:tr>
    </w:tbl>
    <w:p w:rsidR="00000000" w:rsidRPr="00651C5E" w:rsidP="00651C5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A106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 xml:space="preserve">4.2) </w:t>
            </w:r>
          </w:p>
        </w:tc>
      </w:tr>
      <w:tr w:rsidTr="00FA10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Participants are best equipped to achieve competency in this unit if they have reading, writing and numeracy skills indicated by the following scales. Description of each scale is given in Volume 2, Part 3 ‘Literacy and Numeracy’</w:t>
            </w:r>
          </w:p>
        </w:tc>
      </w:tr>
      <w:tr w:rsidTr="00FA10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Reading</w:t>
            </w:r>
          </w:p>
        </w:tc>
        <w:tc>
          <w:tcPr>
            <w:tcW w:w="81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5</w:t>
            </w:r>
          </w:p>
        </w:tc>
        <w:tc>
          <w:tcPr>
            <w:tcW w:w="99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Writing</w:t>
            </w: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5</w:t>
            </w:r>
          </w:p>
        </w:tc>
        <w:tc>
          <w:tcPr>
            <w:tcW w:w="12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Numeracy</w:t>
            </w:r>
          </w:p>
        </w:tc>
        <w:tc>
          <w:tcPr>
            <w:tcW w:w="72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t>5</w:t>
            </w:r>
          </w:p>
        </w:tc>
      </w:tr>
    </w:tbl>
    <w:p w:rsidR="00000000" w:rsidRPr="00651C5E" w:rsidP="00651C5E">
      <w:pPr>
        <w:pStyle w:val="BodyText"/>
      </w:pPr>
    </w:p>
    <w:p w:rsidR="00000000" w:rsidRPr="00651C5E" w:rsidP="00651C5E">
      <w:pPr>
        <w:pStyle w:val="AllowPageBreak"/>
      </w:pPr>
    </w:p>
    <w:p w:rsidR="00000000" w:rsidRPr="00651C5E" w:rsidP="00651C5E">
      <w:pPr>
        <w:pStyle w:val="Heading1"/>
      </w:pPr>
      <w:bookmarkStart w:id="6" w:name="O_416889"/>
      <w:bookmarkEnd w:id="6"/>
      <w:r w:rsidRPr="00651C5E">
        <w:t>Employability Skills Information</w:t>
      </w:r>
    </w:p>
    <w:tbl>
      <w:tblPr>
        <w:tblW w:w="0" w:type="auto"/>
        <w:tblLayout w:type="fixed"/>
        <w:tblCellMar>
          <w:left w:w="62" w:type="dxa"/>
          <w:right w:w="62" w:type="dxa"/>
        </w:tblCellMar>
        <w:tblLook w:val="0000"/>
      </w:tblPr>
      <w:tblGrid>
        <w:gridCol w:w="2700"/>
        <w:gridCol w:w="5760"/>
      </w:tblGrid>
      <w:tr w:rsidTr="00FA10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 xml:space="preserve">5) </w:t>
            </w:r>
          </w:p>
        </w:tc>
      </w:tr>
      <w:tr w:rsidTr="00FA10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t xml:space="preserve">The required outcomes described in this unit of competency contain applicable facets of Employability Skills. The Employability Skills Summary </w:t>
            </w:r>
            <w:r w:rsidRPr="00651C5E">
              <w:t xml:space="preserve">of the </w:t>
            </w:r>
            <w:r w:rsidRPr="00651C5E">
              <w:t>qualification in which this unit of competency is packaged will assist in identifying Employability Skill requirements.</w:t>
            </w:r>
          </w:p>
        </w:tc>
      </w:tr>
    </w:tbl>
    <w:p w:rsidR="00000000" w:rsidRPr="00651C5E" w:rsidP="00651C5E">
      <w:pPr>
        <w:pStyle w:val="BodyText"/>
      </w:pPr>
    </w:p>
    <w:p w:rsidR="00000000" w:rsidRPr="00651C5E" w:rsidP="00651C5E">
      <w:pPr>
        <w:pStyle w:val="AllowPageBreak"/>
      </w:pPr>
    </w:p>
    <w:p w:rsidR="00000000" w:rsidRPr="00651C5E" w:rsidP="00651C5E">
      <w:pPr>
        <w:pStyle w:val="Heading1"/>
      </w:pPr>
      <w:bookmarkStart w:id="7" w:name="O_416888"/>
      <w:bookmarkEnd w:id="7"/>
      <w:r w:rsidRPr="00651C5E">
        <w:t>Elements and Performance Criteria Pre-Content</w:t>
      </w:r>
    </w:p>
    <w:tbl>
      <w:tblPr>
        <w:tblW w:w="0" w:type="auto"/>
        <w:tblLayout w:type="fixed"/>
        <w:tblCellMar>
          <w:left w:w="62" w:type="dxa"/>
          <w:right w:w="62" w:type="dxa"/>
        </w:tblCellMar>
        <w:tblLook w:val="0000"/>
      </w:tblPr>
      <w:tblGrid>
        <w:gridCol w:w="2700"/>
        <w:gridCol w:w="5760"/>
      </w:tblGrid>
      <w:tr w:rsidTr="00FA10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6)</w:t>
            </w:r>
            <w:r w:rsidRPr="00651C5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t>Performance Criteria describe the required performance needed to demonstrate achievement of the element. Assessment of performance is to be consistent with the Evidence Guide.</w:t>
            </w:r>
          </w:p>
        </w:tc>
      </w:tr>
    </w:tbl>
    <w:p w:rsidR="00000000" w:rsidRPr="00651C5E" w:rsidP="00651C5E">
      <w:pPr>
        <w:pStyle w:val="BodyText"/>
      </w:pPr>
    </w:p>
    <w:p w:rsidR="00000000" w:rsidRPr="00651C5E" w:rsidP="00651C5E">
      <w:pPr>
        <w:pStyle w:val="AllowPageBreak"/>
      </w:pPr>
    </w:p>
    <w:p w:rsidR="00000000" w:rsidRPr="00651C5E" w:rsidP="00651C5E">
      <w:pPr>
        <w:pStyle w:val="Heading1"/>
      </w:pPr>
      <w:bookmarkStart w:id="8" w:name="O_416887"/>
      <w:bookmarkEnd w:id="8"/>
      <w:r w:rsidRPr="00651C5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A106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PERFORMANCE CRITERIA</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1</w:t>
            </w:r>
          </w:p>
        </w:tc>
        <w:tc>
          <w:tcPr>
            <w:tcW w:w="2296"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Prepare to develop energy sector directory services.</w:t>
            </w: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1.1</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 xml:space="preserve">OHS processes and procedures for a given work area are identified, obtained and understood. </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1.2</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Established OHS risk control measures and procedures are followed in preparation for the work.</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1.3</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The extent of directory services to be developed is determined from network performance specifications and in consultation with relevant persons.</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1.4</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Activities are planned to meet scheduled time lines in consultation with others involved in the work.</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1.5</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Appropriate development tools and software are selected based on specified requirements and performance standard.</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1.6</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Strategies are implemented</w:t>
            </w:r>
            <w:r w:rsidRPr="00651C5E">
              <w:t xml:space="preserve"> to ensure network development is carried out efficiently. </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2</w:t>
            </w:r>
          </w:p>
        </w:tc>
        <w:tc>
          <w:tcPr>
            <w:tcW w:w="2296"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Install, configure and manage energy sector directory services.</w:t>
            </w: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2.1</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OHS risk control measures and procedures for carrying out the work are followed.</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2.2</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Knowledge and complexities of directory services are applied to developing a directory services infrastructure.</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2.3</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 xml:space="preserve">Structural components of directory services are installed and configured in compliance with industry standards and variants as specified </w:t>
            </w:r>
            <w:r w:rsidRPr="00651C5E">
              <w:t>for the network. (Notes 1 and 2)</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2.4</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Management components of directory services are configured in compliance with industry standards and requirements specified for the network. (See Note 3)</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2.5</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Security components of directory services are created u</w:t>
            </w:r>
            <w:r w:rsidRPr="00651C5E">
              <w:t>sing appropriate policy tools in compliance with current industry standards and requirements specified for the network.</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2.6</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Directory service malfunction</w:t>
            </w:r>
            <w:r w:rsidRPr="00651C5E">
              <w:t>s are identified and rectified using logical techniques and drawing knowledge of complex network infrastructure.</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2.7</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Directory services are monitored and solutions are developed to optimise network performance and reliability in accordance with establis</w:t>
            </w:r>
            <w:r w:rsidRPr="00651C5E">
              <w:t>hed procedures.</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2.8</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Security events are analysed and actions taken in accordance with established policy.</w:t>
            </w:r>
          </w:p>
        </w:tc>
      </w:tr>
      <w:tr w:rsidTr="00FA106D">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2.9</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Approaches to issues/problems are analysed to provide most effective solutions.</w:t>
            </w:r>
          </w:p>
        </w:tc>
      </w:tr>
      <w:tr w:rsidTr="00FA106D">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2.10</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Quality of work is monitored against personal performance agreement and/or established organisational or professional standards.</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3</w:t>
            </w:r>
          </w:p>
        </w:tc>
        <w:tc>
          <w:tcPr>
            <w:tcW w:w="2296"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Report network administration activities</w:t>
            </w: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3.1</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Written justification is produced for directory services development activities</w:t>
            </w:r>
            <w:r w:rsidRPr="00651C5E">
              <w:t xml:space="preserve"> and appropriate person/s notified in accordance with established procedures.</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3.2</w:t>
            </w:r>
          </w:p>
        </w:tc>
        <w:tc>
          <w:tcPr>
            <w:tcW w:w="48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Network service development records are maintained in accordance with established procedures.</w:t>
            </w:r>
          </w:p>
        </w:tc>
      </w:tr>
      <w:tr w:rsidTr="00FA10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t>Notes.</w:t>
            </w:r>
            <w:r w:rsidRPr="00651C5E">
              <w:br/>
            </w:r>
            <w:r w:rsidRPr="00651C5E">
              <w:t>1. Examples of structural components may include domains, domain controllers, sites, subnets, site links, connection objects, Organisational units and DNS.</w:t>
            </w:r>
          </w:p>
          <w:p w:rsidR="00000000" w:rsidRPr="00651C5E" w:rsidP="00651C5E">
            <w:pPr>
              <w:pStyle w:val="BodyText"/>
            </w:pPr>
            <w:r w:rsidRPr="00651C5E">
              <w:t>2. Examples of configuring may include site memberships global catalogue designation, zones for dyna</w:t>
            </w:r>
            <w:r w:rsidRPr="00651C5E">
              <w:t>mic and secure dynamic updates and creation and configuration of DNS records.</w:t>
            </w:r>
          </w:p>
          <w:p w:rsidR="00000000" w:rsidRPr="00651C5E" w:rsidP="00651C5E">
            <w:pPr>
              <w:pStyle w:val="BodyText"/>
            </w:pPr>
            <w:r w:rsidRPr="00651C5E">
              <w:t>3. Management components may include Management consoles, Active Directory Users and Computers, Domains and Trusts, Sites and Services</w:t>
            </w:r>
          </w:p>
        </w:tc>
      </w:tr>
    </w:tbl>
    <w:p w:rsidR="00000000" w:rsidRPr="00651C5E" w:rsidP="00651C5E">
      <w:pPr>
        <w:pStyle w:val="BodyText"/>
      </w:pPr>
    </w:p>
    <w:p w:rsidR="00000000" w:rsidRPr="00651C5E" w:rsidP="00651C5E">
      <w:pPr>
        <w:pStyle w:val="AllowPageBreak"/>
      </w:pPr>
    </w:p>
    <w:p w:rsidR="00000000" w:rsidRPr="00651C5E" w:rsidP="00651C5E">
      <w:pPr>
        <w:pStyle w:val="Heading1"/>
      </w:pPr>
      <w:bookmarkStart w:id="9" w:name="O_416895"/>
      <w:bookmarkEnd w:id="9"/>
      <w:r w:rsidRPr="00651C5E">
        <w:t>Required Skills and Knowledge</w:t>
      </w:r>
    </w:p>
    <w:tbl>
      <w:tblPr>
        <w:tblW w:w="0" w:type="auto"/>
        <w:tblLayout w:type="fixed"/>
        <w:tblCellMar>
          <w:left w:w="62" w:type="dxa"/>
          <w:right w:w="62" w:type="dxa"/>
        </w:tblCellMar>
        <w:tblLook w:val="0000"/>
      </w:tblPr>
      <w:tblGrid>
        <w:gridCol w:w="8460"/>
      </w:tblGrid>
      <w:tr w:rsidTr="00FA106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REQUIRED SKILLS AND KNOWLEDGE</w:t>
            </w:r>
          </w:p>
        </w:tc>
      </w:tr>
      <w:tr w:rsidTr="00FA106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 xml:space="preserve">8) </w:t>
            </w:r>
            <w:r w:rsidRPr="00651C5E">
              <w:t>This describes the essential skills and knowledge and their level, required for this unit.</w:t>
            </w:r>
          </w:p>
          <w:p w:rsidR="00000000" w:rsidRPr="00651C5E" w:rsidP="00651C5E">
            <w:pPr>
              <w:pStyle w:val="BodyText"/>
            </w:pPr>
            <w:r w:rsidRPr="00651C5E">
              <w:t xml:space="preserve">Evidence shall show that knowledge has been acquired of safe working practices and developing energy </w:t>
            </w:r>
            <w:r w:rsidRPr="00651C5E">
              <w:t>sector network services.</w:t>
            </w:r>
          </w:p>
          <w:p w:rsidR="00000000" w:rsidRPr="00651C5E" w:rsidP="00651C5E">
            <w:pPr>
              <w:pStyle w:val="BodyText"/>
            </w:pPr>
            <w:r w:rsidRPr="00651C5E">
              <w:t>All knowledge and skills detailed in this unit should be contextualised to current industry practices and technologies.</w:t>
            </w:r>
          </w:p>
          <w:p w:rsidR="00000000" w:rsidRPr="00651C5E" w:rsidP="00651C5E">
            <w:pPr>
              <w:pStyle w:val="BodyText"/>
            </w:pPr>
            <w:r w:rsidRPr="00651C5E">
              <w:rPr>
                <w:rStyle w:val="SpecialBold"/>
              </w:rPr>
              <w:t>KS01-ED147A</w:t>
            </w:r>
            <w:r w:rsidRPr="00651C5E">
              <w:rPr>
                <w:rStyle w:val="SpecialBold"/>
              </w:rPr>
              <w:tab/>
              <w:t xml:space="preserve">             Energy sector directory services </w:t>
            </w:r>
          </w:p>
          <w:p w:rsidR="00000000" w:rsidRPr="00651C5E" w:rsidP="00651C5E">
            <w:pPr>
              <w:pStyle w:val="BodyText"/>
            </w:pPr>
            <w:r w:rsidRPr="00651C5E">
              <w:t>Evidence shall show an understanding of directory se</w:t>
            </w:r>
            <w:r w:rsidRPr="00651C5E">
              <w:t>rvices to an extent indicated by the following aspects:</w:t>
            </w:r>
          </w:p>
          <w:p w:rsidR="00000000" w:rsidRPr="00651C5E" w:rsidP="00651C5E">
            <w:pPr>
              <w:pStyle w:val="BodyText"/>
            </w:pPr>
            <w:r w:rsidRPr="00651C5E">
              <w:t>T1</w:t>
            </w:r>
            <w:r w:rsidRPr="00651C5E">
              <w:tab/>
              <w:t>Configuring directory service integrated Domain Name System (DNS)</w:t>
            </w:r>
          </w:p>
          <w:p w:rsidR="00000000" w:rsidRPr="00651C5E" w:rsidP="00651C5E">
            <w:pPr>
              <w:pStyle w:val="ListBullet"/>
            </w:pPr>
            <w:r w:rsidRPr="00651C5E">
              <w:t>Configuring zones</w:t>
            </w:r>
          </w:p>
          <w:p w:rsidR="00000000" w:rsidRPr="00651C5E" w:rsidP="00651C5E">
            <w:pPr>
              <w:pStyle w:val="ListBullet"/>
            </w:pPr>
            <w:r w:rsidRPr="00651C5E">
              <w:t>Configuring DNS server settings</w:t>
            </w:r>
          </w:p>
          <w:p w:rsidR="00000000" w:rsidRPr="00651C5E" w:rsidP="00651C5E">
            <w:pPr>
              <w:pStyle w:val="ListBullet"/>
            </w:pPr>
            <w:r w:rsidRPr="00651C5E">
              <w:t>Configuring zone transfers and replication</w:t>
            </w:r>
          </w:p>
          <w:p w:rsidR="00000000" w:rsidRPr="00651C5E" w:rsidP="00651C5E">
            <w:pPr>
              <w:pStyle w:val="BodyText"/>
            </w:pPr>
            <w:r w:rsidRPr="00651C5E">
              <w:t>T2</w:t>
            </w:r>
            <w:r w:rsidRPr="00651C5E">
              <w:tab/>
              <w:t>Configuring the directory services</w:t>
            </w:r>
            <w:r w:rsidRPr="00651C5E">
              <w:t xml:space="preserve"> infrastructure</w:t>
            </w:r>
          </w:p>
          <w:p w:rsidR="00000000" w:rsidRPr="00651C5E" w:rsidP="00651C5E">
            <w:pPr>
              <w:pStyle w:val="ListBullet"/>
            </w:pPr>
            <w:r w:rsidRPr="00651C5E">
              <w:t>Configuring logical directory topologies</w:t>
            </w:r>
          </w:p>
          <w:p w:rsidR="00000000" w:rsidRPr="00651C5E" w:rsidP="00651C5E">
            <w:pPr>
              <w:pStyle w:val="ListBullet"/>
            </w:pPr>
            <w:r w:rsidRPr="00651C5E">
              <w:t>Configuring trust relationships</w:t>
            </w:r>
          </w:p>
          <w:p w:rsidR="00000000" w:rsidRPr="00651C5E" w:rsidP="00651C5E">
            <w:pPr>
              <w:pStyle w:val="ListBullet"/>
            </w:pPr>
            <w:r w:rsidRPr="00651C5E">
              <w:t>Configuring physical site topology infrastructure</w:t>
            </w:r>
          </w:p>
          <w:p w:rsidR="00000000" w:rsidRPr="00651C5E" w:rsidP="00651C5E">
            <w:pPr>
              <w:pStyle w:val="ListBullet"/>
            </w:pPr>
            <w:r w:rsidRPr="00651C5E">
              <w:t>Configuring directory replication</w:t>
            </w:r>
          </w:p>
          <w:p w:rsidR="00000000" w:rsidRPr="00651C5E" w:rsidP="00651C5E">
            <w:pPr>
              <w:pStyle w:val="ListBullet"/>
            </w:pPr>
            <w:r w:rsidRPr="00651C5E">
              <w:t>Configuring directory services master roles</w:t>
            </w:r>
          </w:p>
          <w:p w:rsidR="00000000" w:rsidRPr="00651C5E" w:rsidP="00651C5E">
            <w:pPr>
              <w:pStyle w:val="BodyText"/>
            </w:pPr>
            <w:r w:rsidRPr="00651C5E">
              <w:t>T3</w:t>
            </w:r>
            <w:r w:rsidRPr="00651C5E">
              <w:tab/>
            </w:r>
            <w:r w:rsidRPr="00651C5E">
              <w:t>Configuring directory service roles and services</w:t>
            </w:r>
          </w:p>
          <w:p w:rsidR="00000000" w:rsidRPr="00651C5E" w:rsidP="00651C5E">
            <w:pPr>
              <w:pStyle w:val="ListBullet"/>
            </w:pPr>
            <w:r w:rsidRPr="00651C5E">
              <w:t>Configuring authentication servers</w:t>
            </w:r>
          </w:p>
          <w:p w:rsidR="00000000" w:rsidRPr="00651C5E" w:rsidP="00651C5E">
            <w:pPr>
              <w:pStyle w:val="ListBullet"/>
            </w:pPr>
            <w:r w:rsidRPr="00651C5E">
              <w:t>Configuring command line server installations</w:t>
            </w:r>
          </w:p>
          <w:p w:rsidR="00000000" w:rsidRPr="00651C5E" w:rsidP="00651C5E">
            <w:pPr>
              <w:pStyle w:val="ListBullet"/>
            </w:pPr>
            <w:r w:rsidRPr="00651C5E">
              <w:t>Configuring rights management</w:t>
            </w:r>
          </w:p>
          <w:p w:rsidR="00000000" w:rsidRPr="00651C5E" w:rsidP="00651C5E">
            <w:pPr>
              <w:pStyle w:val="ListBullet"/>
            </w:pPr>
            <w:r w:rsidRPr="00651C5E">
              <w:t>Configure domain controllers</w:t>
            </w:r>
          </w:p>
          <w:p w:rsidR="00000000" w:rsidRPr="00651C5E" w:rsidP="00651C5E">
            <w:pPr>
              <w:pStyle w:val="ListBullet"/>
            </w:pPr>
            <w:r w:rsidRPr="00651C5E">
              <w:t>Configure trust policies</w:t>
            </w:r>
          </w:p>
          <w:p w:rsidR="00000000" w:rsidRPr="00651C5E" w:rsidP="00651C5E">
            <w:pPr>
              <w:pStyle w:val="BodyText"/>
            </w:pPr>
            <w:r w:rsidRPr="00651C5E">
              <w:t>T4</w:t>
            </w:r>
            <w:r w:rsidRPr="00651C5E">
              <w:tab/>
              <w:t>Creating and maintaining directory ser</w:t>
            </w:r>
            <w:r w:rsidRPr="00651C5E">
              <w:t>vice objects</w:t>
            </w:r>
          </w:p>
          <w:p w:rsidR="00000000" w:rsidRPr="00651C5E" w:rsidP="00651C5E">
            <w:pPr>
              <w:pStyle w:val="ListBullet"/>
            </w:pPr>
            <w:r w:rsidRPr="00651C5E">
              <w:t>Creating and maintaining accounts</w:t>
            </w:r>
          </w:p>
          <w:p w:rsidR="00000000" w:rsidRPr="00651C5E" w:rsidP="00651C5E">
            <w:pPr>
              <w:pStyle w:val="ListBullet"/>
            </w:pPr>
            <w:r w:rsidRPr="00651C5E">
              <w:t>Create and apply policy objects</w:t>
            </w:r>
          </w:p>
          <w:p w:rsidR="00000000" w:rsidRPr="00651C5E" w:rsidP="00651C5E">
            <w:pPr>
              <w:pStyle w:val="ListBullet"/>
            </w:pPr>
            <w:r w:rsidRPr="00651C5E">
              <w:t>Configure policy templates</w:t>
            </w:r>
          </w:p>
          <w:p w:rsidR="00000000" w:rsidRPr="00651C5E" w:rsidP="00651C5E">
            <w:pPr>
              <w:pStyle w:val="ListBullet"/>
            </w:pPr>
            <w:r w:rsidRPr="00651C5E">
              <w:t>Deploy and manage software using policies</w:t>
            </w:r>
          </w:p>
          <w:p w:rsidR="00000000" w:rsidRPr="00651C5E" w:rsidP="00651C5E">
            <w:pPr>
              <w:pStyle w:val="ListBullet"/>
            </w:pPr>
            <w:r w:rsidRPr="00651C5E">
              <w:t>Configure account policies</w:t>
            </w:r>
          </w:p>
          <w:p w:rsidR="00000000" w:rsidRPr="00651C5E" w:rsidP="00651C5E">
            <w:pPr>
              <w:pStyle w:val="BodyText"/>
            </w:pPr>
            <w:r w:rsidRPr="00651C5E">
              <w:t>T5</w:t>
            </w:r>
            <w:r w:rsidRPr="00651C5E">
              <w:tab/>
              <w:t>Maintaining the directory services environment</w:t>
            </w:r>
          </w:p>
          <w:p w:rsidR="00000000" w:rsidRPr="00651C5E" w:rsidP="00651C5E">
            <w:pPr>
              <w:pStyle w:val="ListBullet"/>
            </w:pPr>
            <w:r w:rsidRPr="00651C5E">
              <w:t>Configure backup and recovery</w:t>
            </w:r>
            <w:r w:rsidRPr="00651C5E">
              <w:t xml:space="preserve"> for directory services</w:t>
            </w:r>
          </w:p>
          <w:p w:rsidR="00000000" w:rsidRPr="00651C5E" w:rsidP="00651C5E">
            <w:pPr>
              <w:pStyle w:val="ListBullet"/>
            </w:pPr>
            <w:r w:rsidRPr="00651C5E">
              <w:t>Perform off-line maintenance</w:t>
            </w:r>
          </w:p>
          <w:p w:rsidR="00000000" w:rsidRPr="00651C5E" w:rsidP="00651C5E">
            <w:pPr>
              <w:pStyle w:val="ListBullet"/>
            </w:pPr>
            <w:r w:rsidRPr="00651C5E">
              <w:t>Monitor the directory service</w:t>
            </w:r>
          </w:p>
          <w:p w:rsidR="00000000" w:rsidRPr="00651C5E" w:rsidP="00651C5E">
            <w:pPr>
              <w:pStyle w:val="BodyText"/>
            </w:pPr>
            <w:r w:rsidRPr="00651C5E">
              <w:t>T6</w:t>
            </w:r>
            <w:r w:rsidRPr="00651C5E">
              <w:tab/>
              <w:t>Configure certificate services</w:t>
            </w:r>
          </w:p>
          <w:p w:rsidR="00000000" w:rsidRPr="00651C5E" w:rsidP="00651C5E">
            <w:pPr>
              <w:pStyle w:val="ListBullet"/>
            </w:pPr>
            <w:r w:rsidRPr="00651C5E">
              <w:t>Install certificate services</w:t>
            </w:r>
          </w:p>
          <w:p w:rsidR="00000000" w:rsidRPr="00651C5E" w:rsidP="00651C5E">
            <w:pPr>
              <w:pStyle w:val="ListBullet"/>
            </w:pPr>
            <w:r w:rsidRPr="00651C5E">
              <w:t>Configure the certification authority (CA) server settings</w:t>
            </w:r>
          </w:p>
          <w:p w:rsidR="00000000" w:rsidRPr="00651C5E" w:rsidP="00651C5E">
            <w:pPr>
              <w:pStyle w:val="ListBullet"/>
            </w:pPr>
            <w:r w:rsidRPr="00651C5E">
              <w:t>Manage certificate templates</w:t>
            </w:r>
          </w:p>
          <w:p w:rsidR="00000000" w:rsidRPr="00651C5E" w:rsidP="00651C5E">
            <w:pPr>
              <w:pStyle w:val="ListBullet"/>
            </w:pPr>
            <w:r w:rsidRPr="00651C5E">
              <w:t>Manage certificate enrolments</w:t>
            </w:r>
          </w:p>
          <w:p w:rsidR="00000000" w:rsidRPr="00651C5E" w:rsidP="00651C5E">
            <w:pPr>
              <w:pStyle w:val="ListBullet"/>
            </w:pPr>
            <w:r w:rsidRPr="00651C5E">
              <w:t>Manage certificate revocations</w:t>
            </w:r>
          </w:p>
        </w:tc>
      </w:tr>
    </w:tbl>
    <w:p w:rsidR="00000000" w:rsidRPr="00651C5E" w:rsidP="00651C5E">
      <w:pPr>
        <w:pStyle w:val="BodyText"/>
      </w:pPr>
    </w:p>
    <w:p w:rsidR="00000000" w:rsidRPr="00651C5E" w:rsidP="00651C5E">
      <w:pPr>
        <w:pStyle w:val="AllowPageBreak"/>
      </w:pPr>
    </w:p>
    <w:p w:rsidR="00000000" w:rsidRPr="00651C5E" w:rsidP="00651C5E">
      <w:pPr>
        <w:pStyle w:val="Heading1"/>
      </w:pPr>
      <w:bookmarkStart w:id="10" w:name="O_416890"/>
      <w:bookmarkEnd w:id="10"/>
      <w:r w:rsidRPr="00651C5E">
        <w:t>Evidence Guide</w:t>
      </w:r>
    </w:p>
    <w:tbl>
      <w:tblPr>
        <w:tblW w:w="0" w:type="auto"/>
        <w:tblLayout w:type="fixed"/>
        <w:tblCellMar>
          <w:left w:w="62" w:type="dxa"/>
          <w:right w:w="62" w:type="dxa"/>
        </w:tblCellMar>
        <w:tblLook w:val="0000"/>
      </w:tblPr>
      <w:tblGrid>
        <w:gridCol w:w="8460"/>
      </w:tblGrid>
      <w:tr w:rsidTr="00FA106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EVIDENCE GUIDE</w:t>
            </w:r>
          </w:p>
        </w:tc>
      </w:tr>
      <w:tr w:rsidTr="00FA10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9)</w:t>
            </w:r>
            <w:r w:rsidRPr="00651C5E">
              <w:t xml:space="preserve"> This provides essential advice for assessment of the unit and must be read in conjunction with </w:t>
            </w:r>
            <w:r w:rsidRPr="00651C5E">
              <w:t>the performance criteria and the range statement of the unit and the Training Package Assessment Guidelines.</w:t>
            </w:r>
          </w:p>
          <w:p w:rsidR="00000000" w:rsidRPr="00651C5E" w:rsidP="00651C5E">
            <w:pPr>
              <w:pStyle w:val="BodyText"/>
            </w:pPr>
            <w:r w:rsidRPr="00651C5E">
              <w:t>The Evidence Guide forms an integral part of this unit. It must be used in conjunction with all parts of this unit and performed in accordance with</w:t>
            </w:r>
            <w:r w:rsidRPr="00651C5E">
              <w:t xml:space="preserve"> the Assessment Guidelines of this Training Package.</w:t>
            </w:r>
          </w:p>
        </w:tc>
      </w:tr>
    </w:tbl>
    <w:p w:rsidR="00000000" w:rsidRPr="00651C5E" w:rsidP="00651C5E">
      <w:pPr>
        <w:pStyle w:val="BodyText"/>
      </w:pPr>
    </w:p>
    <w:tbl>
      <w:tblPr>
        <w:tblW w:w="0" w:type="auto"/>
        <w:tblLayout w:type="fixed"/>
        <w:tblCellMar>
          <w:left w:w="62" w:type="dxa"/>
          <w:right w:w="62" w:type="dxa"/>
        </w:tblCellMar>
        <w:tblLook w:val="0000"/>
      </w:tblPr>
      <w:tblGrid>
        <w:gridCol w:w="1890"/>
        <w:gridCol w:w="6570"/>
      </w:tblGrid>
      <w:tr w:rsidTr="00FA10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9.1)</w:t>
            </w:r>
          </w:p>
        </w:tc>
      </w:tr>
      <w:tr w:rsidTr="00FA106D">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t>Longitudinal competency development approaches to assessment, such as Profiling, require data to be reliably gathered in a form that can be consistently interpreted over t</w:t>
            </w:r>
            <w:r w:rsidRPr="00651C5E">
              <w:t>ime. This approach is best utilised in Apprenticeship programs and reduces assessment intervention. It is the industry-preferred model for apprenticeships. However, where summative (or final) assessment is used it is to include the application of the compe</w:t>
            </w:r>
            <w:r w:rsidRPr="00651C5E">
              <w:t>tency in the normal work environment or, at a minimum, the application of the competency in a realistically simulated work environment. It is recognised that, in some circumstances, assessment in part or full can occur outside the workplace. However, it mu</w:t>
            </w:r>
            <w:r w:rsidRPr="00651C5E">
              <w:t>st be in accordance with industry and regulatory policy.</w:t>
            </w:r>
          </w:p>
          <w:p w:rsidR="00000000" w:rsidRPr="00651C5E" w:rsidP="00651C5E">
            <w:pPr>
              <w:pStyle w:val="BodyText"/>
            </w:pPr>
            <w:r w:rsidRPr="00651C5E">
              <w:t>Methods chosen for a particular assessment will be influenced by various factors. These include the extent of the assessment, the most effective locations for the assessment activities to take place,</w:t>
            </w:r>
            <w:r w:rsidRPr="00651C5E">
              <w:t xml:space="preserve"> access to physical resources, additional safety measures that may be required and the critical nature of the competencies being assessed.</w:t>
            </w:r>
          </w:p>
          <w:p w:rsidR="00000000" w:rsidRPr="00651C5E" w:rsidP="00651C5E">
            <w:pPr>
              <w:pStyle w:val="BodyText"/>
            </w:pPr>
            <w:r w:rsidRPr="00651C5E">
              <w:t>The critical safety nature of working with electricity, electrical equipment, gas or any other hazardous substance/ma</w:t>
            </w:r>
            <w:r w:rsidRPr="00651C5E">
              <w:t>terial carries risk in deeming a person competent. Sources of evidence need to be ‘rich’ in nature to minimise error in judgement.</w:t>
            </w:r>
          </w:p>
          <w:p w:rsidR="00000000" w:rsidRPr="00651C5E" w:rsidP="00651C5E">
            <w:pPr>
              <w:pStyle w:val="BodyText"/>
            </w:pPr>
            <w:r w:rsidRPr="00651C5E">
              <w:t>Activities associated with normal everyday work have a bearing on the decision as to how much and how detailed the data gathered will contribute to its ‘richness’. Some skills are more critical to safety and operational requirements while the same skills m</w:t>
            </w:r>
            <w:r w:rsidRPr="00651C5E">
              <w:t>ay be more or less frequently practised. These points are raised for the assessors to consider when choosing an assessment method and developing assessment instruments. Sample assessment instruments are included for Assessors in the Assessment Guidelines o</w:t>
            </w:r>
            <w:r w:rsidRPr="00651C5E">
              <w:t>f this Training Package.</w:t>
            </w:r>
          </w:p>
        </w:tc>
      </w:tr>
    </w:tbl>
    <w:p w:rsidR="00000000" w:rsidRPr="00651C5E" w:rsidP="00651C5E">
      <w:pPr>
        <w:pStyle w:val="BodyText"/>
      </w:pPr>
    </w:p>
    <w:tbl>
      <w:tblPr>
        <w:tblW w:w="0" w:type="auto"/>
        <w:tblLayout w:type="fixed"/>
        <w:tblCellMar>
          <w:left w:w="62" w:type="dxa"/>
          <w:right w:w="62" w:type="dxa"/>
        </w:tblCellMar>
        <w:tblLook w:val="0000"/>
      </w:tblPr>
      <w:tblGrid>
        <w:gridCol w:w="1890"/>
        <w:gridCol w:w="1530"/>
        <w:gridCol w:w="5040"/>
      </w:tblGrid>
      <w:tr w:rsidTr="00FA10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9.2)</w:t>
            </w:r>
          </w:p>
        </w:tc>
      </w:tr>
      <w:tr w:rsidTr="00FA10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t>Before the critical aspects of evidence are considered all prerequisites shall be met.</w:t>
            </w:r>
          </w:p>
          <w:p w:rsidR="00000000" w:rsidRPr="00651C5E" w:rsidP="00651C5E">
            <w:pPr>
              <w:pStyle w:val="BodyText"/>
            </w:pPr>
            <w:r w:rsidRPr="00651C5E">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651C5E" w:rsidP="00651C5E">
            <w:pPr>
              <w:pStyle w:val="ListBullet"/>
            </w:pPr>
            <w:r w:rsidRPr="00651C5E">
              <w:t>A representative body of work performance demonstrated within the time frames typically expected of the discipline, work function and industrial environment. In particular this shall incorporate evidence that shows a candidate is able to:</w:t>
            </w:r>
          </w:p>
          <w:p w:rsidR="00000000" w:rsidRPr="00651C5E" w:rsidP="00651C5E">
            <w:pPr>
              <w:pStyle w:val="ListBullet2"/>
            </w:pPr>
            <w:r w:rsidRPr="00651C5E">
              <w:t>Implement Occupational Health and Safety workplace procedures and practices, including the use of risk control measures as specified in the performance criteria and range statement</w:t>
            </w:r>
          </w:p>
          <w:p w:rsidR="00000000" w:rsidRPr="00651C5E" w:rsidP="00651C5E">
            <w:pPr>
              <w:pStyle w:val="ListBullet2"/>
            </w:pPr>
            <w:r w:rsidRPr="00651C5E">
              <w:t>Apply sustainable energy principles and practices as specified in the perfo</w:t>
            </w:r>
            <w:r w:rsidRPr="00651C5E">
              <w:t>rmance criteria and range statement</w:t>
            </w:r>
          </w:p>
          <w:p w:rsidR="00000000" w:rsidRPr="00651C5E" w:rsidP="00651C5E">
            <w:pPr>
              <w:pStyle w:val="ListBullet2"/>
            </w:pPr>
            <w:r w:rsidRPr="00651C5E">
              <w:t>Demonstrate an understanding of the essential knowledge and associated skills as described in this unit.  It may be required by some jurisdictions that RTOs provide a percentile graded result for the purpose of regulator</w:t>
            </w:r>
            <w:r w:rsidRPr="00651C5E">
              <w:t>y or licensing requirements.</w:t>
            </w:r>
          </w:p>
          <w:p w:rsidR="00000000" w:rsidRPr="00651C5E" w:rsidP="00651C5E">
            <w:pPr>
              <w:pStyle w:val="ListBullet2"/>
            </w:pPr>
            <w:r w:rsidRPr="00651C5E">
              <w:t>Demonstrate an appropriate level of skills enabling employment</w:t>
            </w:r>
          </w:p>
          <w:p w:rsidR="00000000" w:rsidRPr="00651C5E" w:rsidP="00651C5E">
            <w:pPr>
              <w:pStyle w:val="ListBullet2"/>
            </w:pPr>
            <w:r w:rsidRPr="00651C5E">
              <w:t>Conduct work observing the relevant Anti Discrimination legislation, regulations, polices and workplace procedures</w:t>
            </w:r>
          </w:p>
          <w:p w:rsidR="00000000" w:rsidRPr="00651C5E" w:rsidP="00651C5E">
            <w:pPr>
              <w:pStyle w:val="ListBullet"/>
            </w:pPr>
            <w:r w:rsidRPr="00651C5E">
              <w:t>Demonstrated consistent performance across a rep</w:t>
            </w:r>
            <w:r w:rsidRPr="00651C5E">
              <w:t>resentative range of contexts from the prescribed items below:</w:t>
            </w:r>
          </w:p>
          <w:p w:rsidR="00000000" w:rsidP="00651C5E">
            <w:pPr>
              <w:pStyle w:val="ListBullet2"/>
              <w:rPr>
                <w:lang w:val="en-NZ"/>
              </w:rPr>
            </w:pPr>
            <w:r w:rsidRPr="00651C5E">
              <w:t>Develop energy sector directory services as described in 8) and including:</w:t>
            </w:r>
          </w:p>
        </w:tc>
      </w:tr>
      <w:tr w:rsidTr="00FA106D">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A</w:t>
            </w:r>
          </w:p>
        </w:tc>
        <w:tc>
          <w:tcPr>
            <w:tcW w:w="504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Configuring directory integrated name resolution.</w:t>
            </w:r>
          </w:p>
        </w:tc>
      </w:tr>
      <w:tr w:rsidTr="00FA106D">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B</w:t>
            </w:r>
          </w:p>
        </w:tc>
        <w:tc>
          <w:tcPr>
            <w:tcW w:w="504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Installing and configuring a directory services infrastructure.</w:t>
            </w:r>
          </w:p>
        </w:tc>
      </w:tr>
      <w:tr w:rsidTr="00FA10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C</w:t>
            </w:r>
          </w:p>
        </w:tc>
        <w:tc>
          <w:tcPr>
            <w:tcW w:w="504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Configuring directory services roles and services.</w:t>
            </w:r>
          </w:p>
        </w:tc>
      </w:tr>
      <w:tr w:rsidTr="00FA106D">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D</w:t>
            </w:r>
          </w:p>
        </w:tc>
        <w:tc>
          <w:tcPr>
            <w:tcW w:w="504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Creating and maintaining directory services objects.</w:t>
            </w:r>
          </w:p>
        </w:tc>
      </w:tr>
      <w:tr w:rsidTr="00FA10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E</w:t>
            </w:r>
          </w:p>
        </w:tc>
        <w:tc>
          <w:tcPr>
            <w:tcW w:w="504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Maintaining the directory environment</w:t>
            </w:r>
          </w:p>
        </w:tc>
      </w:tr>
      <w:tr w:rsidTr="00FA10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F</w:t>
            </w:r>
          </w:p>
        </w:tc>
        <w:tc>
          <w:tcPr>
            <w:tcW w:w="504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Configuring certificate services</w:t>
            </w:r>
          </w:p>
        </w:tc>
      </w:tr>
      <w:tr w:rsidTr="00FA10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G</w:t>
            </w:r>
          </w:p>
        </w:tc>
        <w:tc>
          <w:tcPr>
            <w:tcW w:w="504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Documenting directory services development activities.</w:t>
            </w:r>
          </w:p>
        </w:tc>
      </w:tr>
      <w:tr w:rsidTr="00FA10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H</w:t>
            </w:r>
          </w:p>
        </w:tc>
        <w:tc>
          <w:tcPr>
            <w:tcW w:w="504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t>Dealing with unplanned events by drawing on essential knowledge and skills to provide appropriate solutions incorporated in a holistic assessment with the above listed items.</w:t>
            </w:r>
          </w:p>
        </w:tc>
      </w:tr>
      <w:tr w:rsidTr="00FA10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t>Note:</w:t>
            </w:r>
          </w:p>
          <w:p w:rsidR="00000000" w:rsidRPr="00651C5E" w:rsidP="00651C5E">
            <w:pPr>
              <w:pStyle w:val="BodyText"/>
            </w:pPr>
            <w:r w:rsidRPr="00651C5E">
              <w:t>Successful completion of relevant vendor certification may be used to contribute to evidence on which competency is deemed. In these cases the alignment of outcomes of vendor training with performance criteria and critical aspects of evidence shall be clea</w:t>
            </w:r>
            <w:r w:rsidRPr="00651C5E">
              <w:t>rly identified.</w:t>
            </w:r>
          </w:p>
        </w:tc>
      </w:tr>
    </w:tbl>
    <w:p w:rsidR="00000000" w:rsidRPr="00651C5E" w:rsidP="00651C5E">
      <w:pPr>
        <w:pStyle w:val="BodyText"/>
      </w:pPr>
    </w:p>
    <w:tbl>
      <w:tblPr>
        <w:tblW w:w="0" w:type="auto"/>
        <w:tblLayout w:type="fixed"/>
        <w:tblCellMar>
          <w:left w:w="62" w:type="dxa"/>
          <w:right w:w="62" w:type="dxa"/>
        </w:tblCellMar>
        <w:tblLook w:val="0000"/>
      </w:tblPr>
      <w:tblGrid>
        <w:gridCol w:w="1890"/>
        <w:gridCol w:w="6570"/>
      </w:tblGrid>
      <w:tr w:rsidTr="00FA106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9.3)</w:t>
            </w:r>
          </w:p>
        </w:tc>
      </w:tr>
      <w:tr w:rsidTr="00FA106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t>This unit should be assessed as it relates to normal work practice using procedures, information and resources typical of a workplace. This should include:</w:t>
            </w:r>
          </w:p>
          <w:p w:rsidR="00000000" w:rsidRPr="00651C5E" w:rsidP="00651C5E">
            <w:pPr>
              <w:pStyle w:val="ListBullet"/>
            </w:pPr>
            <w:r w:rsidRPr="00651C5E">
              <w:t>OHS policy and work procedures and instructions.</w:t>
            </w:r>
          </w:p>
          <w:p w:rsidR="00000000" w:rsidRPr="00651C5E" w:rsidP="00651C5E">
            <w:pPr>
              <w:pStyle w:val="ListBullet"/>
            </w:pPr>
            <w:r w:rsidRPr="00651C5E">
              <w:t>Suitable work environment, facilities, equipment and materials to undertake actual work as prescribed in this unit.</w:t>
            </w:r>
          </w:p>
          <w:p w:rsidR="00000000" w:rsidRPr="00651C5E" w:rsidP="00651C5E">
            <w:pPr>
              <w:pStyle w:val="BodyText"/>
            </w:pPr>
            <w:r w:rsidRPr="00651C5E">
              <w:t>These should be used in the formal learning/assessment environment.</w:t>
            </w:r>
          </w:p>
          <w:p w:rsidR="00000000" w:rsidRPr="00651C5E" w:rsidP="00651C5E">
            <w:pPr>
              <w:pStyle w:val="BodyText"/>
            </w:pPr>
            <w:r w:rsidRPr="00651C5E">
              <w:t>Note:</w:t>
            </w:r>
          </w:p>
          <w:p w:rsidR="00000000" w:rsidRPr="00651C5E" w:rsidP="00651C5E">
            <w:pPr>
              <w:pStyle w:val="BodyText"/>
            </w:pPr>
            <w:r w:rsidRPr="00651C5E">
              <w:t xml:space="preserve">Where simulation </w:t>
            </w:r>
            <w:r w:rsidRPr="00651C5E">
              <w:t>is considered a suitable strategy for assessment, conditions for assessment must be authentic and as far as possible reproduce and replicate the workplace and be consistent with the approved industry simulation policy.</w:t>
            </w:r>
          </w:p>
          <w:p w:rsidR="00000000" w:rsidRPr="00651C5E" w:rsidP="00651C5E">
            <w:pPr>
              <w:pStyle w:val="BodyText"/>
            </w:pPr>
            <w:r w:rsidRPr="00651C5E">
              <w:t>The resources used for assessment sho</w:t>
            </w:r>
            <w:r w:rsidRPr="00651C5E">
              <w:t>uld reflect current industry practices in relation to developing energy sector directory services.</w:t>
            </w:r>
          </w:p>
        </w:tc>
      </w:tr>
    </w:tbl>
    <w:p w:rsidR="00000000" w:rsidRPr="00651C5E" w:rsidP="00651C5E">
      <w:pPr>
        <w:pStyle w:val="BodyText"/>
      </w:pPr>
    </w:p>
    <w:tbl>
      <w:tblPr>
        <w:tblW w:w="0" w:type="auto"/>
        <w:tblLayout w:type="fixed"/>
        <w:tblCellMar>
          <w:left w:w="62" w:type="dxa"/>
          <w:right w:w="62" w:type="dxa"/>
        </w:tblCellMar>
        <w:tblLook w:val="0000"/>
      </w:tblPr>
      <w:tblGrid>
        <w:gridCol w:w="1890"/>
        <w:gridCol w:w="6570"/>
      </w:tblGrid>
      <w:tr w:rsidTr="00FA10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9.4)</w:t>
            </w:r>
          </w:p>
        </w:tc>
      </w:tr>
      <w:tr w:rsidTr="00FA10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t>This unit shall be assessed by methods given in Volume 1, Part 3 ‘Assessment Guidelines’.</w:t>
            </w:r>
          </w:p>
          <w:p w:rsidR="00000000" w:rsidRPr="00651C5E" w:rsidP="00651C5E">
            <w:pPr>
              <w:pStyle w:val="BodyText"/>
            </w:pPr>
            <w:r w:rsidRPr="00651C5E">
              <w:t xml:space="preserve">Note: </w:t>
            </w:r>
            <w:r w:rsidRPr="00651C5E">
              <w:br/>
            </w:r>
            <w:r w:rsidRPr="00651C5E">
              <w:t>Competent performance with inherent safe working practices is expected in the Industry to which this unit applies. This requires assessment in a structured environment which is primarily intended for learning/assessment and incorporates all necessary equip</w:t>
            </w:r>
            <w:r w:rsidRPr="00651C5E">
              <w:t>ment and facilities for learners to develop and demonstrate the essential knowledge and skills described in this unit.</w:t>
            </w:r>
          </w:p>
        </w:tc>
      </w:tr>
    </w:tbl>
    <w:p w:rsidR="00000000" w:rsidRPr="00651C5E" w:rsidP="00651C5E">
      <w:pPr>
        <w:pStyle w:val="BodyText"/>
      </w:pPr>
    </w:p>
    <w:tbl>
      <w:tblPr>
        <w:tblW w:w="0" w:type="auto"/>
        <w:tblLayout w:type="fixed"/>
        <w:tblCellMar>
          <w:left w:w="62" w:type="dxa"/>
          <w:right w:w="62" w:type="dxa"/>
        </w:tblCellMar>
        <w:tblLook w:val="0000"/>
      </w:tblPr>
      <w:tblGrid>
        <w:gridCol w:w="1890"/>
        <w:gridCol w:w="6570"/>
      </w:tblGrid>
      <w:tr w:rsidTr="00FA10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9.5)</w:t>
            </w:r>
          </w:p>
        </w:tc>
      </w:tr>
      <w:tr w:rsidTr="00FA106D">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t>There are no concurrent assessment recommendations for this unit.</w:t>
            </w:r>
          </w:p>
        </w:tc>
      </w:tr>
    </w:tbl>
    <w:p w:rsidR="00000000" w:rsidRPr="00651C5E" w:rsidP="00651C5E">
      <w:pPr>
        <w:pStyle w:val="BodyText"/>
      </w:pPr>
    </w:p>
    <w:p w:rsidR="00000000" w:rsidRPr="00651C5E" w:rsidP="00651C5E">
      <w:pPr>
        <w:pStyle w:val="AllowPageBreak"/>
      </w:pPr>
    </w:p>
    <w:p w:rsidR="00000000" w:rsidRPr="00651C5E" w:rsidP="00651C5E">
      <w:pPr>
        <w:pStyle w:val="Heading1"/>
      </w:pPr>
      <w:bookmarkStart w:id="11" w:name="O_416894"/>
      <w:bookmarkEnd w:id="11"/>
      <w:r w:rsidRPr="00651C5E">
        <w:t>Range Statement</w:t>
      </w:r>
    </w:p>
    <w:tbl>
      <w:tblPr>
        <w:tblW w:w="0" w:type="auto"/>
        <w:tblLayout w:type="fixed"/>
        <w:tblCellMar>
          <w:left w:w="62" w:type="dxa"/>
          <w:right w:w="62" w:type="dxa"/>
        </w:tblCellMar>
        <w:tblLook w:val="0000"/>
      </w:tblPr>
      <w:tblGrid>
        <w:gridCol w:w="8460"/>
      </w:tblGrid>
      <w:tr w:rsidTr="00FA106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RANGE STATEMENT</w:t>
            </w:r>
          </w:p>
        </w:tc>
      </w:tr>
      <w:tr w:rsidTr="00FA10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10)</w:t>
            </w:r>
            <w:r w:rsidRPr="00651C5E">
              <w:t xml:space="preserve"> This relates to the unit as a whole providing the range of contexts and conditions to which the performance criteria apply. It allows for different work environments and situations that will affect perfo</w:t>
            </w:r>
            <w:r w:rsidRPr="00651C5E">
              <w:t>rmance.</w:t>
            </w:r>
          </w:p>
          <w:p w:rsidR="00000000" w:rsidRPr="00651C5E" w:rsidP="00651C5E">
            <w:pPr>
              <w:pStyle w:val="BodyText"/>
            </w:pPr>
            <w:r w:rsidRPr="00651C5E">
              <w:t>This unit shall be demonstrated in relation developing and managing energy sector directory services for a network that is to provide centralised management and security, centralised authentication, information security and single sign on for netwo</w:t>
            </w:r>
            <w:r w:rsidRPr="00651C5E">
              <w:t>rk users, and standardised access to application data.</w:t>
            </w:r>
          </w:p>
          <w:p w:rsidR="00000000" w:rsidRPr="00651C5E" w:rsidP="00651C5E">
            <w:pPr>
              <w:pStyle w:val="BodyText"/>
            </w:pPr>
            <w:r w:rsidRPr="00651C5E">
              <w:t>Generic terms used throughout this Vocational Standard shall be regarded as part of the Range Statement in which competency is demonstrated. The definition of these and other terms that apply are given</w:t>
            </w:r>
            <w:r w:rsidRPr="00651C5E">
              <w:t xml:space="preserve"> in Volume 2, Part 2.1.</w:t>
            </w:r>
          </w:p>
        </w:tc>
      </w:tr>
    </w:tbl>
    <w:p w:rsidR="00000000" w:rsidRPr="00651C5E" w:rsidP="00651C5E">
      <w:pPr>
        <w:pStyle w:val="BodyText"/>
      </w:pPr>
    </w:p>
    <w:p w:rsidR="00000000" w:rsidRPr="00651C5E" w:rsidP="00651C5E">
      <w:pPr>
        <w:pStyle w:val="AllowPageBreak"/>
      </w:pPr>
    </w:p>
    <w:p w:rsidR="00000000" w:rsidRPr="00651C5E" w:rsidP="00651C5E">
      <w:pPr>
        <w:pStyle w:val="Heading1"/>
      </w:pPr>
      <w:bookmarkStart w:id="12" w:name="O_416897"/>
      <w:bookmarkEnd w:id="12"/>
      <w:r w:rsidRPr="00651C5E">
        <w:t>Unit Sector(s)</w:t>
      </w:r>
    </w:p>
    <w:p w:rsidR="00000000" w:rsidRPr="00651C5E" w:rsidP="00651C5E">
      <w:pPr>
        <w:pStyle w:val="BodyText"/>
      </w:pPr>
      <w:r w:rsidRPr="00651C5E">
        <w:t>Not applicable.</w:t>
      </w:r>
    </w:p>
    <w:p w:rsidR="00000000" w:rsidRPr="00651C5E" w:rsidP="00651C5E">
      <w:pPr>
        <w:pStyle w:val="AllowPageBreak"/>
      </w:pPr>
    </w:p>
    <w:p w:rsidR="00000000" w:rsidRPr="00651C5E" w:rsidP="00651C5E">
      <w:pPr>
        <w:pStyle w:val="Heading1"/>
      </w:pPr>
      <w:bookmarkStart w:id="13" w:name="O_416886"/>
      <w:bookmarkEnd w:id="13"/>
      <w:r w:rsidRPr="00651C5E">
        <w:t>Competency Field</w:t>
      </w:r>
    </w:p>
    <w:tbl>
      <w:tblPr>
        <w:tblW w:w="0" w:type="auto"/>
        <w:tblLayout w:type="fixed"/>
        <w:tblCellMar>
          <w:left w:w="62" w:type="dxa"/>
          <w:right w:w="62" w:type="dxa"/>
        </w:tblCellMar>
        <w:tblLook w:val="0000"/>
      </w:tblPr>
      <w:tblGrid>
        <w:gridCol w:w="2700"/>
        <w:gridCol w:w="5760"/>
      </w:tblGrid>
      <w:tr w:rsidTr="00FA10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51C5E">
            <w:pPr>
              <w:pStyle w:val="BodyText"/>
              <w:rPr>
                <w:lang w:val="en-NZ"/>
              </w:rPr>
            </w:pPr>
            <w:r w:rsidRPr="00651C5E">
              <w:rPr>
                <w:rStyle w:val="SpecialBold"/>
              </w:rPr>
              <w:t xml:space="preserve">11) </w:t>
            </w:r>
          </w:p>
        </w:tc>
      </w:tr>
      <w:tr w:rsidTr="00FA10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51C5E" w:rsidP="00651C5E">
            <w:pPr>
              <w:pStyle w:val="BodyText"/>
            </w:pPr>
            <w:r w:rsidRPr="00651C5E">
              <w:t>Computer Systems</w:t>
            </w:r>
          </w:p>
        </w:tc>
      </w:tr>
    </w:tbl>
    <w:p w:rsidR="00000000" w:rsidRPr="00651C5E" w:rsidP="00651C5E">
      <w:pPr>
        <w:pStyle w:val="BodyText"/>
      </w:pPr>
    </w:p>
    <w:p w:rsidR="00000000" w:rsidRPr="00651C5E" w:rsidP="00651C5E"/>
    <w:sectPr w:rsidSect="00651C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106D" w:rsidP="00FA10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06D" w:rsidP="00651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A106D" w:rsidP="00651C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A106D" w:rsidP="00651C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106D" w:rsidP="00FA10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06D" w:rsidP="00651C5E">
    <w:pPr>
      <w:pStyle w:val="Header"/>
      <w:framePr w:wrap="around"/>
    </w:pPr>
    <w:r>
      <w:fldChar w:fldCharType="begin"/>
    </w:r>
    <w:r>
      <w:instrText xml:space="preserve"> TITLE   \* MERGEFORMAT </w:instrText>
    </w:r>
    <w:r>
      <w:fldChar w:fldCharType="separate"/>
    </w:r>
    <w:r>
      <w:t>UEENEED147A Develop energy sector directory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106D" w:rsidP="00651C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F08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C23A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E4C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C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1C5E"/>
    <w:pPr>
      <w:spacing w:before="360" w:after="60"/>
      <w:outlineLvl w:val="0"/>
    </w:pPr>
    <w:rPr>
      <w:sz w:val="32"/>
    </w:rPr>
  </w:style>
  <w:style w:type="paragraph" w:styleId="Heading2">
    <w:name w:val="heading 2"/>
    <w:basedOn w:val="HeadingBase"/>
    <w:next w:val="BodyText"/>
    <w:link w:val="Heading2Char"/>
    <w:qFormat/>
    <w:rsid w:val="00651C5E"/>
    <w:pPr>
      <w:keepLines/>
      <w:spacing w:before="240" w:after="120"/>
      <w:outlineLvl w:val="1"/>
    </w:pPr>
    <w:rPr>
      <w:sz w:val="28"/>
      <w:szCs w:val="40"/>
    </w:rPr>
  </w:style>
  <w:style w:type="paragraph" w:styleId="Heading3">
    <w:name w:val="heading 3"/>
    <w:basedOn w:val="HeadingBase"/>
    <w:next w:val="BodyText"/>
    <w:link w:val="Heading3Char"/>
    <w:qFormat/>
    <w:rsid w:val="00651C5E"/>
    <w:pPr>
      <w:spacing w:before="180" w:after="120"/>
      <w:outlineLvl w:val="2"/>
    </w:pPr>
    <w:rPr>
      <w:spacing w:val="-10"/>
      <w:kern w:val="32"/>
    </w:rPr>
  </w:style>
  <w:style w:type="paragraph" w:styleId="Heading4">
    <w:name w:val="heading 4"/>
    <w:basedOn w:val="HeadingBase"/>
    <w:next w:val="BodyText"/>
    <w:link w:val="Heading4Char"/>
    <w:qFormat/>
    <w:rsid w:val="00651C5E"/>
    <w:pPr>
      <w:spacing w:before="160" w:after="120"/>
      <w:outlineLvl w:val="3"/>
    </w:pPr>
    <w:rPr>
      <w:sz w:val="22"/>
    </w:rPr>
  </w:style>
  <w:style w:type="paragraph" w:styleId="Heading5">
    <w:name w:val="heading 5"/>
    <w:basedOn w:val="HeadingBase"/>
    <w:next w:val="Normal"/>
    <w:link w:val="Heading5Char"/>
    <w:qFormat/>
    <w:rsid w:val="00651C5E"/>
    <w:pPr>
      <w:spacing w:before="80"/>
      <w:outlineLvl w:val="4"/>
    </w:pPr>
    <w:rPr>
      <w:color w:val="918585"/>
      <w:sz w:val="20"/>
    </w:rPr>
  </w:style>
  <w:style w:type="paragraph" w:styleId="Heading6">
    <w:name w:val="heading 6"/>
    <w:basedOn w:val="HeadingBase"/>
    <w:next w:val="Normal"/>
    <w:link w:val="Heading6Char"/>
    <w:qFormat/>
    <w:rsid w:val="00651C5E"/>
    <w:pPr>
      <w:spacing w:before="60"/>
      <w:outlineLvl w:val="5"/>
    </w:pPr>
    <w:rPr>
      <w:color w:val="918585"/>
      <w:sz w:val="20"/>
    </w:rPr>
  </w:style>
  <w:style w:type="paragraph" w:styleId="Heading7">
    <w:name w:val="heading 7"/>
    <w:basedOn w:val="Normal"/>
    <w:next w:val="Normal"/>
    <w:link w:val="Heading7Char"/>
    <w:qFormat/>
    <w:rsid w:val="00651C5E"/>
    <w:pPr>
      <w:ind w:left="720"/>
      <w:outlineLvl w:val="6"/>
    </w:pPr>
    <w:rPr>
      <w:i/>
    </w:rPr>
  </w:style>
  <w:style w:type="paragraph" w:styleId="Heading8">
    <w:name w:val="heading 8"/>
    <w:basedOn w:val="Normal"/>
    <w:next w:val="Normal"/>
    <w:link w:val="Heading8Char"/>
    <w:qFormat/>
    <w:rsid w:val="00651C5E"/>
    <w:pPr>
      <w:ind w:left="720"/>
      <w:outlineLvl w:val="7"/>
    </w:pPr>
    <w:rPr>
      <w:i/>
    </w:rPr>
  </w:style>
  <w:style w:type="paragraph" w:styleId="Heading9">
    <w:name w:val="heading 9"/>
    <w:basedOn w:val="Normal"/>
    <w:next w:val="Normal"/>
    <w:link w:val="Heading9Char"/>
    <w:qFormat/>
    <w:rsid w:val="00651C5E"/>
    <w:pPr>
      <w:ind w:left="720"/>
      <w:outlineLvl w:val="8"/>
    </w:pPr>
    <w:rPr>
      <w:i/>
    </w:rPr>
  </w:style>
  <w:style w:type="character" w:default="1" w:styleId="DefaultParagraphFont">
    <w:name w:val="Default Paragraph Font"/>
    <w:uiPriority w:val="1"/>
    <w:unhideWhenUsed/>
    <w:rsid w:val="00651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C5E"/>
  </w:style>
  <w:style w:type="character" w:customStyle="1" w:styleId="Heading1Char">
    <w:name w:val="Heading 1 Char"/>
    <w:basedOn w:val="DefaultParagraphFont"/>
    <w:link w:val="Heading1"/>
    <w:rsid w:val="00651C5E"/>
    <w:rPr>
      <w:rFonts w:ascii="Times New Roman" w:eastAsia="Times New Roman" w:hAnsi="Times New Roman" w:cs="Times New Roman"/>
      <w:b/>
      <w:sz w:val="32"/>
      <w:szCs w:val="20"/>
      <w:lang w:eastAsia="en-US"/>
    </w:rPr>
  </w:style>
  <w:style w:type="paragraph" w:styleId="BodyText">
    <w:name w:val="Body Text"/>
    <w:basedOn w:val="Normal"/>
    <w:link w:val="BodyTextChar"/>
    <w:rsid w:val="00651C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1C5E"/>
    <w:rPr>
      <w:rFonts w:ascii="Times New Roman" w:eastAsia="Times New Roman" w:hAnsi="Times New Roman" w:cs="Times New Roman"/>
      <w:sz w:val="24"/>
      <w:lang w:val="en-US" w:eastAsia="en-US"/>
    </w:rPr>
  </w:style>
  <w:style w:type="paragraph" w:styleId="Footer">
    <w:name w:val="footer"/>
    <w:basedOn w:val="Normal"/>
    <w:link w:val="FooterChar"/>
    <w:rsid w:val="00651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C5E"/>
    <w:rPr>
      <w:rFonts w:ascii="Times New Roman" w:eastAsia="Times New Roman" w:hAnsi="Times New Roman" w:cs="Times New Roman"/>
      <w:sz w:val="16"/>
      <w:lang w:val="en-US" w:eastAsia="en-US"/>
    </w:rPr>
  </w:style>
  <w:style w:type="paragraph" w:styleId="ListBullet">
    <w:name w:val="List Bullet"/>
    <w:basedOn w:val="List"/>
    <w:rsid w:val="00651C5E"/>
    <w:pPr>
      <w:numPr>
        <w:numId w:val="13"/>
      </w:numPr>
      <w:tabs>
        <w:tab w:val="clear" w:pos="340"/>
      </w:tabs>
      <w:spacing w:before="40" w:after="40"/>
    </w:pPr>
  </w:style>
  <w:style w:type="character" w:customStyle="1" w:styleId="SpecialBold">
    <w:name w:val="Special Bold"/>
    <w:basedOn w:val="DefaultParagraphFont"/>
    <w:rsid w:val="00651C5E"/>
    <w:rPr>
      <w:b/>
      <w:spacing w:val="0"/>
    </w:rPr>
  </w:style>
  <w:style w:type="paragraph" w:styleId="ListBullet2">
    <w:name w:val="List Bullet 2"/>
    <w:basedOn w:val="List2"/>
    <w:rsid w:val="00651C5E"/>
    <w:pPr>
      <w:numPr>
        <w:numId w:val="14"/>
      </w:numPr>
      <w:tabs>
        <w:tab w:val="clear" w:pos="680"/>
      </w:tabs>
    </w:pPr>
  </w:style>
  <w:style w:type="paragraph" w:styleId="Header">
    <w:name w:val="header"/>
    <w:basedOn w:val="Normal"/>
    <w:link w:val="HeaderChar"/>
    <w:rsid w:val="00651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C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1C5E"/>
    <w:pPr>
      <w:spacing w:before="240" w:after="120"/>
      <w:outlineLvl w:val="0"/>
    </w:pPr>
    <w:rPr>
      <w:rFonts w:ascii="Times New Roman" w:hAnsi="Times New Roman"/>
      <w:b/>
      <w:sz w:val="28"/>
    </w:rPr>
  </w:style>
  <w:style w:type="paragraph" w:customStyle="1" w:styleId="AllowPageBreak">
    <w:name w:val="AllowPageBreak"/>
    <w:rsid w:val="00651C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1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C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1C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1C5E"/>
    <w:rPr>
      <w:rFonts w:ascii="Courier New" w:eastAsia="Times New Roman" w:hAnsi="Courier New" w:cs="Times New Roman"/>
      <w:i/>
      <w:szCs w:val="20"/>
      <w:lang w:val="en-US" w:eastAsia="en-US"/>
    </w:rPr>
  </w:style>
  <w:style w:type="paragraph" w:customStyle="1" w:styleId="HeadingBase">
    <w:name w:val="Heading Base"/>
    <w:rsid w:val="00651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C5E"/>
    <w:pPr>
      <w:tabs>
        <w:tab w:val="right" w:leader="dot" w:pos="9072"/>
      </w:tabs>
      <w:ind w:left="567"/>
    </w:pPr>
    <w:rPr>
      <w:szCs w:val="22"/>
    </w:rPr>
  </w:style>
  <w:style w:type="paragraph" w:customStyle="1" w:styleId="TOCBase">
    <w:name w:val="TOC Base"/>
    <w:rsid w:val="00651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C5E"/>
    <w:pPr>
      <w:tabs>
        <w:tab w:val="right" w:leader="dot" w:pos="9072"/>
      </w:tabs>
      <w:spacing w:before="40" w:after="40"/>
      <w:ind w:left="284"/>
    </w:pPr>
    <w:rPr>
      <w:rFonts w:ascii="Times New Roman" w:hAnsi="Times New Roman"/>
    </w:rPr>
  </w:style>
  <w:style w:type="paragraph" w:styleId="TOC1">
    <w:name w:val="toc 1"/>
    <w:basedOn w:val="TOCBase"/>
    <w:next w:val="Normal"/>
    <w:rsid w:val="00651C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1C5E"/>
    <w:pPr>
      <w:spacing w:before="5040"/>
      <w:jc w:val="center"/>
    </w:pPr>
    <w:rPr>
      <w:sz w:val="48"/>
      <w:szCs w:val="72"/>
      <w:lang w:val="en-US"/>
    </w:rPr>
  </w:style>
  <w:style w:type="character" w:customStyle="1" w:styleId="TitleChar">
    <w:name w:val="Title Char"/>
    <w:basedOn w:val="DefaultParagraphFont"/>
    <w:link w:val="Title"/>
    <w:rsid w:val="00651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C5E"/>
    <w:pPr>
      <w:tabs>
        <w:tab w:val="left" w:pos="3600"/>
        <w:tab w:val="left" w:pos="3958"/>
      </w:tabs>
    </w:pPr>
  </w:style>
  <w:style w:type="paragraph" w:styleId="List">
    <w:name w:val="List"/>
    <w:basedOn w:val="BodyText"/>
    <w:next w:val="BodyText"/>
    <w:rsid w:val="00651C5E"/>
    <w:pPr>
      <w:tabs>
        <w:tab w:val="left" w:pos="340"/>
      </w:tabs>
      <w:spacing w:before="60" w:after="60"/>
      <w:ind w:left="340" w:hanging="340"/>
    </w:pPr>
  </w:style>
  <w:style w:type="paragraph" w:customStyle="1" w:styleId="Note">
    <w:name w:val="Note"/>
    <w:basedOn w:val="BodyText"/>
    <w:rsid w:val="00651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C5E"/>
    <w:pPr>
      <w:framePr w:wrap="auto" w:hAnchor="text" w:y="6049"/>
    </w:pPr>
    <w:rPr>
      <w:color w:val="000000"/>
      <w:sz w:val="40"/>
    </w:rPr>
  </w:style>
  <w:style w:type="paragraph" w:customStyle="1" w:styleId="TOCTitle">
    <w:name w:val="TOCTitle"/>
    <w:basedOn w:val="Heading1"/>
    <w:rsid w:val="00651C5E"/>
    <w:pPr>
      <w:spacing w:after="240"/>
      <w:jc w:val="center"/>
      <w:outlineLvl w:val="9"/>
    </w:pPr>
    <w:rPr>
      <w:caps/>
    </w:rPr>
  </w:style>
  <w:style w:type="paragraph" w:customStyle="1" w:styleId="Version">
    <w:name w:val="Version"/>
    <w:rsid w:val="00651C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1C5E"/>
    <w:pPr>
      <w:keepNext w:val="0"/>
      <w:tabs>
        <w:tab w:val="right" w:pos="4176"/>
      </w:tabs>
      <w:ind w:left="198" w:hanging="198"/>
    </w:pPr>
    <w:rPr>
      <w:rFonts w:ascii="Garamond" w:hAnsi="Garamond"/>
    </w:rPr>
  </w:style>
  <w:style w:type="paragraph" w:styleId="IndexHeading">
    <w:name w:val="index heading"/>
    <w:basedOn w:val="Normal"/>
    <w:next w:val="Index1"/>
    <w:semiHidden/>
    <w:rsid w:val="00651C5E"/>
    <w:pPr>
      <w:spacing w:before="120" w:after="120"/>
    </w:pPr>
    <w:rPr>
      <w:rFonts w:ascii="Arial" w:hAnsi="Arial"/>
      <w:b/>
      <w:color w:val="918585"/>
      <w:sz w:val="24"/>
    </w:rPr>
  </w:style>
  <w:style w:type="paragraph" w:customStyle="1" w:styleId="Chapter">
    <w:name w:val="Chapter"/>
    <w:basedOn w:val="Normal"/>
    <w:rsid w:val="00651C5E"/>
    <w:pPr>
      <w:spacing w:before="240"/>
    </w:pPr>
    <w:rPr>
      <w:rFonts w:ascii="Times New Roman" w:hAnsi="Times New Roman"/>
      <w:smallCaps/>
      <w:spacing w:val="80"/>
      <w:sz w:val="28"/>
    </w:rPr>
  </w:style>
  <w:style w:type="paragraph" w:customStyle="1" w:styleId="InChapter">
    <w:name w:val="InChapter"/>
    <w:basedOn w:val="Heading3"/>
    <w:rsid w:val="00651C5E"/>
    <w:pPr>
      <w:spacing w:after="240"/>
      <w:outlineLvl w:val="9"/>
    </w:pPr>
    <w:rPr>
      <w:noProof/>
    </w:rPr>
  </w:style>
  <w:style w:type="paragraph" w:styleId="Index2">
    <w:name w:val="index 2"/>
    <w:basedOn w:val="Normal"/>
    <w:next w:val="Normal"/>
    <w:semiHidden/>
    <w:rsid w:val="00651C5E"/>
    <w:pPr>
      <w:tabs>
        <w:tab w:val="right" w:pos="4176"/>
      </w:tabs>
      <w:ind w:left="568" w:hanging="284"/>
    </w:pPr>
    <w:rPr>
      <w:rFonts w:ascii="Garamond" w:hAnsi="Garamond"/>
    </w:rPr>
  </w:style>
  <w:style w:type="paragraph" w:customStyle="1" w:styleId="Byline">
    <w:name w:val="Byline"/>
    <w:rsid w:val="00651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C5E"/>
    <w:pPr>
      <w:tabs>
        <w:tab w:val="clear" w:pos="3600"/>
        <w:tab w:val="clear" w:pos="3958"/>
      </w:tabs>
      <w:jc w:val="right"/>
    </w:pPr>
  </w:style>
  <w:style w:type="character" w:styleId="Emphasis">
    <w:name w:val="Emphasis"/>
    <w:basedOn w:val="DefaultParagraphFont"/>
    <w:qFormat/>
    <w:rsid w:val="00651C5E"/>
    <w:rPr>
      <w:i/>
    </w:rPr>
  </w:style>
  <w:style w:type="paragraph" w:styleId="Caption">
    <w:name w:val="caption"/>
    <w:basedOn w:val="BodyText"/>
    <w:next w:val="Normal"/>
    <w:qFormat/>
    <w:rsid w:val="00651C5E"/>
    <w:pPr>
      <w:framePr w:w="2268" w:hSpace="181" w:vSpace="181" w:wrap="around" w:vAnchor="text" w:hAnchor="page" w:x="1135" w:y="285" w:anchorLock="1"/>
    </w:pPr>
    <w:rPr>
      <w:i/>
    </w:rPr>
  </w:style>
  <w:style w:type="paragraph" w:customStyle="1" w:styleId="MiniTOCTitle">
    <w:name w:val="MiniTOCTitle"/>
    <w:basedOn w:val="Heading4"/>
    <w:rsid w:val="00651C5E"/>
    <w:pPr>
      <w:spacing w:before="240"/>
      <w:outlineLvl w:val="9"/>
    </w:pPr>
    <w:rPr>
      <w:noProof/>
      <w:sz w:val="24"/>
    </w:rPr>
  </w:style>
  <w:style w:type="paragraph" w:customStyle="1" w:styleId="MiniTOCItem">
    <w:name w:val="MiniTOCItem"/>
    <w:basedOn w:val="ListBullet"/>
    <w:rsid w:val="00651C5E"/>
    <w:pPr>
      <w:numPr>
        <w:numId w:val="0"/>
      </w:numPr>
      <w:tabs>
        <w:tab w:val="right" w:leader="dot" w:pos="6521"/>
      </w:tabs>
      <w:spacing w:before="0" w:after="0"/>
    </w:pPr>
  </w:style>
  <w:style w:type="paragraph" w:customStyle="1" w:styleId="TOFTitle">
    <w:name w:val="TOFTitle"/>
    <w:basedOn w:val="TOCTitle"/>
    <w:rsid w:val="00651C5E"/>
  </w:style>
  <w:style w:type="paragraph" w:styleId="TableofFigures">
    <w:name w:val="table of figures"/>
    <w:basedOn w:val="Normal"/>
    <w:next w:val="Normal"/>
    <w:semiHidden/>
    <w:rsid w:val="00651C5E"/>
    <w:pPr>
      <w:tabs>
        <w:tab w:val="right" w:leader="dot" w:pos="9072"/>
      </w:tabs>
      <w:ind w:left="970" w:hanging="403"/>
    </w:pPr>
    <w:rPr>
      <w:rFonts w:ascii="Times New Roman" w:hAnsi="Times New Roman"/>
      <w:b/>
    </w:rPr>
  </w:style>
  <w:style w:type="paragraph" w:styleId="ListNumber">
    <w:name w:val="List Number"/>
    <w:basedOn w:val="List"/>
    <w:rsid w:val="00651C5E"/>
    <w:pPr>
      <w:numPr>
        <w:numId w:val="11"/>
      </w:numPr>
    </w:pPr>
  </w:style>
  <w:style w:type="character" w:customStyle="1" w:styleId="WingdingSymbols">
    <w:name w:val="Wingding Symbols"/>
    <w:rsid w:val="00651C5E"/>
    <w:rPr>
      <w:rFonts w:ascii="Wingdings" w:hAnsi="Wingdings"/>
    </w:rPr>
  </w:style>
  <w:style w:type="paragraph" w:customStyle="1" w:styleId="TableHeading">
    <w:name w:val="Table Heading"/>
    <w:basedOn w:val="HeadingBase"/>
    <w:rsid w:val="00651C5E"/>
    <w:pPr>
      <w:keepLines/>
      <w:pBdr>
        <w:bottom w:val="single" w:sz="6" w:space="1" w:color="918585"/>
      </w:pBdr>
      <w:spacing w:before="240"/>
    </w:pPr>
  </w:style>
  <w:style w:type="character" w:customStyle="1" w:styleId="HotSpot">
    <w:name w:val="HotSpot"/>
    <w:rsid w:val="00651C5E"/>
    <w:rPr>
      <w:color w:val="0033CC"/>
      <w:u w:val="none"/>
    </w:rPr>
  </w:style>
  <w:style w:type="paragraph" w:customStyle="1" w:styleId="BodyTextRight">
    <w:name w:val="Body Text Right"/>
    <w:basedOn w:val="BodyText"/>
    <w:rsid w:val="00651C5E"/>
    <w:pPr>
      <w:spacing w:before="0" w:after="0"/>
      <w:jc w:val="right"/>
    </w:pPr>
  </w:style>
  <w:style w:type="paragraph" w:styleId="Index3">
    <w:name w:val="index 3"/>
    <w:basedOn w:val="ListNumber2"/>
    <w:next w:val="Normal"/>
    <w:semiHidden/>
    <w:rsid w:val="00651C5E"/>
    <w:pPr>
      <w:numPr>
        <w:numId w:val="0"/>
      </w:numPr>
      <w:tabs>
        <w:tab w:val="right" w:leader="dot" w:pos="4176"/>
      </w:tabs>
    </w:pPr>
  </w:style>
  <w:style w:type="paragraph" w:styleId="ListNumber2">
    <w:name w:val="List Number 2"/>
    <w:basedOn w:val="List2"/>
    <w:rsid w:val="00651C5E"/>
    <w:pPr>
      <w:numPr>
        <w:numId w:val="10"/>
      </w:numPr>
      <w:tabs>
        <w:tab w:val="clear" w:pos="1060"/>
      </w:tabs>
    </w:pPr>
  </w:style>
  <w:style w:type="paragraph" w:customStyle="1" w:styleId="MarginNote">
    <w:name w:val="Margin Note"/>
    <w:basedOn w:val="BodyText"/>
    <w:rsid w:val="00651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C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1C5E"/>
    <w:rPr>
      <w:sz w:val="32"/>
    </w:rPr>
  </w:style>
  <w:style w:type="paragraph" w:customStyle="1" w:styleId="HeadingProcedure">
    <w:name w:val="Heading Procedure"/>
    <w:basedOn w:val="HeadingBase"/>
    <w:next w:val="Normal"/>
    <w:rsid w:val="00651C5E"/>
    <w:pPr>
      <w:tabs>
        <w:tab w:val="left" w:pos="0"/>
      </w:tabs>
      <w:spacing w:before="120" w:after="60"/>
    </w:pPr>
    <w:rPr>
      <w:i/>
      <w:color w:val="918585"/>
      <w:sz w:val="22"/>
    </w:rPr>
  </w:style>
  <w:style w:type="paragraph" w:customStyle="1" w:styleId="TableBodyText">
    <w:name w:val="Table Body Text"/>
    <w:basedOn w:val="BodyText"/>
    <w:rsid w:val="00651C5E"/>
    <w:pPr>
      <w:spacing w:before="60" w:after="60"/>
    </w:pPr>
  </w:style>
  <w:style w:type="paragraph" w:styleId="ListContinue">
    <w:name w:val="List Continue"/>
    <w:basedOn w:val="List"/>
    <w:rsid w:val="00651C5E"/>
    <w:pPr>
      <w:ind w:firstLine="0"/>
    </w:pPr>
  </w:style>
  <w:style w:type="paragraph" w:customStyle="1" w:styleId="ListNote">
    <w:name w:val="List Note"/>
    <w:basedOn w:val="List"/>
    <w:rsid w:val="00651C5E"/>
    <w:pPr>
      <w:pBdr>
        <w:top w:val="single" w:sz="6" w:space="2" w:color="918585"/>
        <w:bottom w:val="single" w:sz="6" w:space="2" w:color="918585"/>
      </w:pBdr>
      <w:tabs>
        <w:tab w:val="left" w:pos="1021"/>
      </w:tabs>
      <w:ind w:firstLine="0"/>
    </w:pPr>
  </w:style>
  <w:style w:type="paragraph" w:customStyle="1" w:styleId="Warning">
    <w:name w:val="Warning"/>
    <w:basedOn w:val="BodyText"/>
    <w:rsid w:val="00651C5E"/>
    <w:pPr>
      <w:shd w:val="clear" w:color="auto" w:fill="D9D9D9"/>
      <w:tabs>
        <w:tab w:val="left" w:pos="992"/>
      </w:tabs>
      <w:ind w:left="119" w:right="119"/>
    </w:pPr>
    <w:rPr>
      <w:sz w:val="20"/>
    </w:rPr>
  </w:style>
  <w:style w:type="paragraph" w:customStyle="1" w:styleId="MarginIcons">
    <w:name w:val="Margin Icons"/>
    <w:basedOn w:val="BodyText"/>
    <w:rsid w:val="00651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C5E"/>
    <w:rPr>
      <w:rFonts w:ascii="Courier New" w:hAnsi="Courier New"/>
    </w:rPr>
  </w:style>
  <w:style w:type="paragraph" w:customStyle="1" w:styleId="NoteBullet">
    <w:name w:val="Note Bullet"/>
    <w:basedOn w:val="Note"/>
    <w:rsid w:val="00651C5E"/>
    <w:pPr>
      <w:tabs>
        <w:tab w:val="clear" w:pos="680"/>
      </w:tabs>
      <w:spacing w:before="60" w:after="60"/>
    </w:pPr>
  </w:style>
  <w:style w:type="paragraph" w:customStyle="1" w:styleId="SubHeading2">
    <w:name w:val="SubHeading2"/>
    <w:basedOn w:val="HeadingBase"/>
    <w:rsid w:val="00651C5E"/>
    <w:pPr>
      <w:spacing w:before="240" w:after="60"/>
    </w:pPr>
    <w:rPr>
      <w:sz w:val="20"/>
    </w:rPr>
  </w:style>
  <w:style w:type="paragraph" w:customStyle="1" w:styleId="SubHeading1">
    <w:name w:val="SubHeading1"/>
    <w:basedOn w:val="HeadingBase"/>
    <w:rsid w:val="00651C5E"/>
    <w:pPr>
      <w:spacing w:before="240" w:after="60"/>
    </w:pPr>
    <w:rPr>
      <w:color w:val="918585"/>
      <w:sz w:val="22"/>
    </w:rPr>
  </w:style>
  <w:style w:type="paragraph" w:customStyle="1" w:styleId="SideHeading">
    <w:name w:val="Side Heading"/>
    <w:basedOn w:val="HeadingBase"/>
    <w:rsid w:val="00651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C5E"/>
    <w:pPr>
      <w:numPr>
        <w:numId w:val="12"/>
      </w:numPr>
    </w:pPr>
  </w:style>
  <w:style w:type="paragraph" w:styleId="PlainText">
    <w:name w:val="Plain Text"/>
    <w:basedOn w:val="Normal"/>
    <w:link w:val="PlainTextChar"/>
    <w:rsid w:val="00651C5E"/>
    <w:rPr>
      <w:sz w:val="20"/>
    </w:rPr>
  </w:style>
  <w:style w:type="character" w:customStyle="1" w:styleId="PlainTextChar">
    <w:name w:val="Plain Text Char"/>
    <w:basedOn w:val="DefaultParagraphFont"/>
    <w:link w:val="PlainText"/>
    <w:rsid w:val="00651C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1C5E"/>
    <w:rPr>
      <w:b/>
      <w:smallCaps/>
    </w:rPr>
  </w:style>
  <w:style w:type="paragraph" w:customStyle="1" w:styleId="TableListNumber">
    <w:name w:val="Table List Number"/>
    <w:basedOn w:val="ListNumber"/>
    <w:rsid w:val="00651C5E"/>
    <w:pPr>
      <w:numPr>
        <w:numId w:val="0"/>
      </w:numPr>
    </w:pPr>
  </w:style>
  <w:style w:type="paragraph" w:styleId="TOC4">
    <w:name w:val="toc 4"/>
    <w:basedOn w:val="TOCBase"/>
    <w:next w:val="Normal"/>
    <w:semiHidden/>
    <w:rsid w:val="00651C5E"/>
    <w:pPr>
      <w:tabs>
        <w:tab w:val="right" w:leader="dot" w:pos="9071"/>
      </w:tabs>
      <w:ind w:left="1701"/>
    </w:pPr>
  </w:style>
  <w:style w:type="paragraph" w:customStyle="1" w:styleId="ListAlpha">
    <w:name w:val="List Alpha"/>
    <w:basedOn w:val="List"/>
    <w:rsid w:val="00651C5E"/>
    <w:pPr>
      <w:numPr>
        <w:numId w:val="9"/>
      </w:numPr>
    </w:pPr>
  </w:style>
  <w:style w:type="paragraph" w:customStyle="1" w:styleId="ListAlpha2">
    <w:name w:val="List Alpha 2"/>
    <w:basedOn w:val="List2"/>
    <w:rsid w:val="00651C5E"/>
    <w:pPr>
      <w:numPr>
        <w:numId w:val="8"/>
      </w:numPr>
    </w:pPr>
  </w:style>
  <w:style w:type="paragraph" w:styleId="List2">
    <w:name w:val="List 2"/>
    <w:basedOn w:val="BodyText"/>
    <w:rsid w:val="00651C5E"/>
    <w:pPr>
      <w:tabs>
        <w:tab w:val="left" w:pos="680"/>
      </w:tabs>
      <w:spacing w:before="60" w:after="60"/>
      <w:ind w:left="680" w:hanging="340"/>
    </w:pPr>
  </w:style>
  <w:style w:type="paragraph" w:styleId="List3">
    <w:name w:val="List 3"/>
    <w:basedOn w:val="BodyText"/>
    <w:rsid w:val="00651C5E"/>
    <w:pPr>
      <w:tabs>
        <w:tab w:val="left" w:pos="1021"/>
      </w:tabs>
      <w:spacing w:before="60" w:after="60"/>
      <w:ind w:left="1020" w:hanging="340"/>
    </w:pPr>
  </w:style>
  <w:style w:type="paragraph" w:styleId="List4">
    <w:name w:val="List 4"/>
    <w:basedOn w:val="BodyText"/>
    <w:rsid w:val="00651C5E"/>
    <w:pPr>
      <w:tabs>
        <w:tab w:val="left" w:pos="1361"/>
      </w:tabs>
      <w:spacing w:before="60" w:after="60"/>
      <w:ind w:left="1361" w:hanging="340"/>
    </w:pPr>
  </w:style>
  <w:style w:type="paragraph" w:styleId="List5">
    <w:name w:val="List 5"/>
    <w:basedOn w:val="BodyText"/>
    <w:rsid w:val="00651C5E"/>
    <w:pPr>
      <w:tabs>
        <w:tab w:val="left" w:pos="1701"/>
      </w:tabs>
      <w:spacing w:before="60" w:after="60"/>
      <w:ind w:left="1701" w:hanging="340"/>
    </w:pPr>
  </w:style>
  <w:style w:type="paragraph" w:styleId="ListBullet3">
    <w:name w:val="List Bullet 3"/>
    <w:basedOn w:val="List3"/>
    <w:rsid w:val="00651C5E"/>
    <w:pPr>
      <w:numPr>
        <w:numId w:val="15"/>
      </w:numPr>
      <w:tabs>
        <w:tab w:val="clear" w:pos="1021"/>
      </w:tabs>
      <w:ind w:left="1037" w:hanging="357"/>
    </w:pPr>
  </w:style>
  <w:style w:type="paragraph" w:styleId="ListBullet4">
    <w:name w:val="List Bullet 4"/>
    <w:basedOn w:val="List4"/>
    <w:rsid w:val="00651C5E"/>
    <w:pPr>
      <w:numPr>
        <w:numId w:val="3"/>
      </w:numPr>
    </w:pPr>
  </w:style>
  <w:style w:type="paragraph" w:styleId="ListBullet5">
    <w:name w:val="List Bullet 5"/>
    <w:basedOn w:val="List5"/>
    <w:rsid w:val="00651C5E"/>
    <w:pPr>
      <w:numPr>
        <w:numId w:val="4"/>
      </w:numPr>
    </w:pPr>
  </w:style>
  <w:style w:type="paragraph" w:styleId="ListContinue2">
    <w:name w:val="List Continue 2"/>
    <w:basedOn w:val="List2"/>
    <w:rsid w:val="00651C5E"/>
    <w:pPr>
      <w:ind w:firstLine="0"/>
    </w:pPr>
  </w:style>
  <w:style w:type="paragraph" w:styleId="ListContinue3">
    <w:name w:val="List Continue 3"/>
    <w:basedOn w:val="List3"/>
    <w:rsid w:val="00651C5E"/>
    <w:pPr>
      <w:ind w:left="1021" w:firstLine="0"/>
    </w:pPr>
  </w:style>
  <w:style w:type="paragraph" w:styleId="ListContinue4">
    <w:name w:val="List Continue 4"/>
    <w:basedOn w:val="List4"/>
    <w:rsid w:val="00651C5E"/>
    <w:pPr>
      <w:ind w:firstLine="0"/>
    </w:pPr>
  </w:style>
  <w:style w:type="paragraph" w:styleId="ListContinue5">
    <w:name w:val="List Continue 5"/>
    <w:basedOn w:val="List5"/>
    <w:rsid w:val="00651C5E"/>
    <w:pPr>
      <w:ind w:firstLine="0"/>
    </w:pPr>
  </w:style>
  <w:style w:type="paragraph" w:styleId="ListNumber3">
    <w:name w:val="List Number 3"/>
    <w:basedOn w:val="List3"/>
    <w:rsid w:val="00651C5E"/>
    <w:pPr>
      <w:numPr>
        <w:numId w:val="5"/>
      </w:numPr>
    </w:pPr>
  </w:style>
  <w:style w:type="paragraph" w:styleId="ListNumber4">
    <w:name w:val="List Number 4"/>
    <w:basedOn w:val="List4"/>
    <w:rsid w:val="00651C5E"/>
    <w:pPr>
      <w:numPr>
        <w:numId w:val="6"/>
      </w:numPr>
    </w:pPr>
  </w:style>
  <w:style w:type="paragraph" w:styleId="ListNumber5">
    <w:name w:val="List Number 5"/>
    <w:basedOn w:val="List5"/>
    <w:rsid w:val="00651C5E"/>
    <w:pPr>
      <w:numPr>
        <w:numId w:val="7"/>
      </w:numPr>
    </w:pPr>
  </w:style>
  <w:style w:type="paragraph" w:styleId="BlockText">
    <w:name w:val="Block Text"/>
    <w:basedOn w:val="Normal"/>
    <w:rsid w:val="00651C5E"/>
    <w:pPr>
      <w:spacing w:after="120"/>
      <w:ind w:left="1440" w:right="1440"/>
    </w:pPr>
  </w:style>
  <w:style w:type="character" w:customStyle="1" w:styleId="Subscript">
    <w:name w:val="Subscript"/>
    <w:basedOn w:val="DefaultParagraphFont"/>
    <w:rsid w:val="00651C5E"/>
    <w:rPr>
      <w:sz w:val="16"/>
      <w:vertAlign w:val="subscript"/>
    </w:rPr>
  </w:style>
  <w:style w:type="character" w:customStyle="1" w:styleId="Superscript">
    <w:name w:val="Superscript"/>
    <w:basedOn w:val="DefaultParagraphFont"/>
    <w:rsid w:val="00651C5E"/>
    <w:rPr>
      <w:sz w:val="16"/>
      <w:vertAlign w:val="superscript"/>
    </w:rPr>
  </w:style>
  <w:style w:type="character" w:customStyle="1" w:styleId="Symbols">
    <w:name w:val="Symbols"/>
    <w:basedOn w:val="DefaultParagraphFont"/>
    <w:rsid w:val="00651C5E"/>
    <w:rPr>
      <w:rFonts w:ascii="Symbol" w:hAnsi="Symbol"/>
    </w:rPr>
  </w:style>
  <w:style w:type="character" w:customStyle="1" w:styleId="MenuOptions">
    <w:name w:val="Menu Options"/>
    <w:basedOn w:val="DefaultParagraphFont"/>
    <w:rsid w:val="00651C5E"/>
    <w:rPr>
      <w:rFonts w:ascii="Arial Narrow" w:hAnsi="Arial Narrow"/>
      <w:smallCaps/>
    </w:rPr>
  </w:style>
  <w:style w:type="character" w:customStyle="1" w:styleId="Buttons">
    <w:name w:val="Buttons"/>
    <w:basedOn w:val="DefaultParagraphFont"/>
    <w:rsid w:val="00651C5E"/>
    <w:rPr>
      <w:b/>
    </w:rPr>
  </w:style>
  <w:style w:type="character" w:customStyle="1" w:styleId="Underlined">
    <w:name w:val="Underlined"/>
    <w:basedOn w:val="DefaultParagraphFont"/>
    <w:rsid w:val="00651C5E"/>
    <w:rPr>
      <w:u w:val="single"/>
    </w:rPr>
  </w:style>
  <w:style w:type="paragraph" w:customStyle="1" w:styleId="TableBodyTextRight">
    <w:name w:val="Table Body Text Right"/>
    <w:basedOn w:val="TableBodyText"/>
    <w:rsid w:val="00651C5E"/>
    <w:pPr>
      <w:widowControl w:val="0"/>
      <w:autoSpaceDE w:val="0"/>
      <w:autoSpaceDN w:val="0"/>
      <w:adjustRightInd w:val="0"/>
      <w:jc w:val="right"/>
    </w:pPr>
    <w:rPr>
      <w:rFonts w:cs="Arial"/>
      <w:szCs w:val="18"/>
    </w:rPr>
  </w:style>
  <w:style w:type="paragraph" w:customStyle="1" w:styleId="CopyrightText">
    <w:name w:val="Copyright Text"/>
    <w:basedOn w:val="BodyText"/>
    <w:rsid w:val="00651C5E"/>
    <w:rPr>
      <w:sz w:val="18"/>
    </w:rPr>
  </w:style>
  <w:style w:type="paragraph" w:customStyle="1" w:styleId="BodySmallRight">
    <w:name w:val="Body Small Right"/>
    <w:basedOn w:val="BodyTextRight"/>
    <w:rsid w:val="00651C5E"/>
    <w:rPr>
      <w:sz w:val="18"/>
      <w:szCs w:val="18"/>
    </w:rPr>
  </w:style>
  <w:style w:type="paragraph" w:customStyle="1" w:styleId="MarginEdition">
    <w:name w:val="Margin Edition"/>
    <w:basedOn w:val="MarginNote"/>
    <w:rsid w:val="00651C5E"/>
    <w:pPr>
      <w:spacing w:before="0" w:after="0"/>
    </w:pPr>
    <w:rPr>
      <w:rFonts w:ascii="Times New Roman" w:hAnsi="Times New Roman"/>
      <w:color w:val="999999"/>
    </w:rPr>
  </w:style>
  <w:style w:type="paragraph" w:customStyle="1" w:styleId="Spacer">
    <w:name w:val="Spacer"/>
    <w:basedOn w:val="Normal"/>
    <w:rsid w:val="00651C5E"/>
    <w:rPr>
      <w:sz w:val="2"/>
      <w:szCs w:val="2"/>
    </w:rPr>
  </w:style>
  <w:style w:type="character" w:customStyle="1" w:styleId="Small">
    <w:name w:val="Small"/>
    <w:basedOn w:val="DefaultParagraphFont"/>
    <w:rsid w:val="00651C5E"/>
    <w:rPr>
      <w:sz w:val="16"/>
    </w:rPr>
  </w:style>
  <w:style w:type="paragraph" w:customStyle="1" w:styleId="WideTable">
    <w:name w:val="Wide Table"/>
    <w:basedOn w:val="Normal"/>
    <w:rsid w:val="00651C5E"/>
    <w:pPr>
      <w:ind w:left="-1418"/>
    </w:pPr>
    <w:rPr>
      <w:sz w:val="2"/>
      <w:szCs w:val="2"/>
    </w:rPr>
  </w:style>
  <w:style w:type="character" w:styleId="PageNumber">
    <w:name w:val="page number"/>
    <w:basedOn w:val="DefaultParagraphFont"/>
    <w:rsid w:val="00651C5E"/>
  </w:style>
  <w:style w:type="paragraph" w:styleId="Quote">
    <w:name w:val="Quote"/>
    <w:basedOn w:val="Heading1"/>
    <w:link w:val="QuoteChar"/>
    <w:qFormat/>
    <w:rsid w:val="00651C5E"/>
    <w:rPr>
      <w:b w:val="0"/>
      <w:sz w:val="72"/>
      <w:szCs w:val="72"/>
      <w:lang w:val="en-NZ"/>
    </w:rPr>
  </w:style>
  <w:style w:type="character" w:customStyle="1" w:styleId="QuoteChar">
    <w:name w:val="Quote Char"/>
    <w:basedOn w:val="DefaultParagraphFont"/>
    <w:link w:val="Quote"/>
    <w:rsid w:val="00651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C5E"/>
    <w:pPr>
      <w:pageBreakBefore/>
    </w:pPr>
  </w:style>
  <w:style w:type="paragraph" w:customStyle="1" w:styleId="Border">
    <w:name w:val="Border"/>
    <w:basedOn w:val="Normal"/>
    <w:qFormat/>
    <w:rsid w:val="00651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C5E"/>
    <w:rPr>
      <w:b/>
      <w:bCs/>
      <w:i/>
      <w:iCs/>
      <w:color w:val="auto"/>
    </w:rPr>
  </w:style>
  <w:style w:type="paragraph" w:styleId="IntenseQuote">
    <w:name w:val="Intense Quote"/>
    <w:basedOn w:val="Normal"/>
    <w:next w:val="Normal"/>
    <w:link w:val="IntenseQuoteChar"/>
    <w:uiPriority w:val="30"/>
    <w:qFormat/>
    <w:rsid w:val="00651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C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1C5E"/>
    <w:rPr>
      <w:smallCaps/>
      <w:color w:val="auto"/>
      <w:u w:val="single"/>
    </w:rPr>
  </w:style>
  <w:style w:type="character" w:styleId="IntenseReference">
    <w:name w:val="Intense Reference"/>
    <w:basedOn w:val="DefaultParagraphFont"/>
    <w:uiPriority w:val="32"/>
    <w:qFormat/>
    <w:rsid w:val="00651C5E"/>
    <w:rPr>
      <w:b/>
      <w:bCs/>
      <w:smallCaps/>
      <w:color w:val="auto"/>
      <w:spacing w:val="5"/>
      <w:u w:val="single"/>
    </w:rPr>
  </w:style>
  <w:style w:type="paragraph" w:customStyle="1" w:styleId="2ColumnHeading">
    <w:name w:val="2Column Heading"/>
    <w:basedOn w:val="BodyText"/>
    <w:qFormat/>
    <w:rsid w:val="00651C5E"/>
    <w:pPr>
      <w:spacing w:after="60"/>
      <w:ind w:left="-2268"/>
    </w:pPr>
    <w:rPr>
      <w:b/>
    </w:rPr>
  </w:style>
  <w:style w:type="paragraph" w:customStyle="1" w:styleId="Heading1TOC">
    <w:name w:val="Heading1 TOC"/>
    <w:basedOn w:val="Normal"/>
    <w:qFormat/>
    <w:rsid w:val="00651C5E"/>
    <w:pPr>
      <w:spacing w:before="240" w:after="120"/>
    </w:pPr>
    <w:rPr>
      <w:rFonts w:ascii="Times New Roman" w:hAnsi="Times New Roman"/>
      <w:b/>
      <w:sz w:val="32"/>
    </w:rPr>
  </w:style>
  <w:style w:type="paragraph" w:customStyle="1" w:styleId="Heading2TOC">
    <w:name w:val="Heading2 TOC"/>
    <w:basedOn w:val="Normal"/>
    <w:qFormat/>
    <w:rsid w:val="00651C5E"/>
    <w:pPr>
      <w:spacing w:before="240" w:after="60"/>
    </w:pPr>
    <w:rPr>
      <w:rFonts w:ascii="Times New Roman" w:hAnsi="Times New Roman"/>
      <w:b/>
      <w:sz w:val="28"/>
    </w:rPr>
  </w:style>
  <w:style w:type="character" w:customStyle="1" w:styleId="Underline">
    <w:name w:val="Underline"/>
    <w:basedOn w:val="DefaultParagraphFont"/>
    <w:qFormat/>
    <w:rsid w:val="00651C5E"/>
    <w:rPr>
      <w:u w:val="single"/>
    </w:rPr>
  </w:style>
  <w:style w:type="character" w:customStyle="1" w:styleId="BoldandItalics">
    <w:name w:val="Bold and Italics"/>
    <w:qFormat/>
    <w:rsid w:val="00651C5E"/>
    <w:rPr>
      <w:b/>
      <w:i/>
      <w:u w:val="none"/>
    </w:rPr>
  </w:style>
  <w:style w:type="paragraph" w:styleId="BalloonText">
    <w:name w:val="Balloon Text"/>
    <w:basedOn w:val="Normal"/>
    <w:link w:val="BalloonTextChar"/>
    <w:rsid w:val="00651C5E"/>
    <w:rPr>
      <w:rFonts w:ascii="Tahoma" w:hAnsi="Tahoma" w:cs="Tahoma"/>
      <w:sz w:val="16"/>
      <w:szCs w:val="16"/>
    </w:rPr>
  </w:style>
  <w:style w:type="character" w:customStyle="1" w:styleId="BalloonTextChar">
    <w:name w:val="Balloon Text Char"/>
    <w:basedOn w:val="DefaultParagraphFont"/>
    <w:link w:val="BalloonText"/>
    <w:rsid w:val="00651C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1C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1C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2003</Words>
  <Characters>12472</Characters>
  <Application>Microsoft Office Word</Application>
  <DocSecurity>0</DocSecurity>
  <Lines>474</Lines>
  <Paragraphs>197</Paragraphs>
  <ScaleCrop>false</ScaleCrop>
  <Company>Author-it Software Corporation Ltd.</Company>
  <LinksUpToDate>false</LinksUpToDate>
  <CharactersWithSpaces>14340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UEENEED147A Develop energy sector directory services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2012-05-26T10:47:00Z</dcterms:created>
  <dcterms:modified xsi:type="dcterms:W3CDTF">2012-05-26T10:47:00Z</dcterms:modified>
</cp:coreProperties>
</file>