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CD7" w:rsidP="00A34CD7">
      <w:pPr>
        <w:pStyle w:val="Title"/>
      </w:pPr>
      <w:r>
        <w:fldChar w:fldCharType="begin"/>
      </w:r>
      <w:r>
        <w:instrText xml:space="preserve"> TITLE   \* MERGEFORMAT </w:instrText>
      </w:r>
      <w:r>
        <w:fldChar w:fldCharType="separate"/>
      </w:r>
      <w:r>
        <w:t>UEENEED123A Design and implement wireless LANs/WANs for internetworking systems</w:t>
      </w:r>
      <w:r>
        <w:fldChar w:fldCharType="end"/>
      </w:r>
    </w:p>
    <w:p w:rsidR="00A34CD7" w:rsidP="00A34CD7">
      <w:pPr>
        <w:pStyle w:val="Version"/>
        <w:sectPr w:rsidSect="00B74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BDD" w:rsidP="00B74BDD">
      <w:pPr>
        <w:pStyle w:val="SuperHeading"/>
      </w:pPr>
      <w:r w:rsidRPr="00B74BDD">
        <w:t>UEENEED123A Design and implement wireless LANs/WANs for internetworking systems</w:t>
      </w:r>
    </w:p>
    <w:p w:rsidR="00000000" w:rsidRPr="00B74BDD" w:rsidP="00B74BDD">
      <w:pPr>
        <w:pStyle w:val="Heading1"/>
      </w:pPr>
      <w:bookmarkStart w:id="1" w:name="O_416687"/>
      <w:bookmarkEnd w:id="1"/>
      <w:r w:rsidRPr="00B74BDD">
        <w:t>Modification History</w:t>
      </w:r>
    </w:p>
    <w:p w:rsidR="00000000" w:rsidRPr="00B74BDD" w:rsidP="00B74BDD">
      <w:pPr>
        <w:pStyle w:val="BodyText"/>
      </w:pPr>
      <w:r w:rsidRPr="00B74BDD">
        <w:t>Not applicable.</w:t>
      </w:r>
    </w:p>
    <w:p w:rsidR="00000000" w:rsidRPr="00B74BDD" w:rsidP="00B74BDD">
      <w:pPr>
        <w:pStyle w:val="AllowPageBreak"/>
      </w:pPr>
    </w:p>
    <w:p w:rsidR="00000000" w:rsidRPr="00B74BDD" w:rsidP="00B74BDD">
      <w:pPr>
        <w:pStyle w:val="Heading1"/>
      </w:pPr>
      <w:bookmarkStart w:id="2" w:name="O_416685"/>
      <w:bookmarkEnd w:id="2"/>
      <w:r w:rsidRPr="00B74BDD">
        <w:t>Unit Descriptor</w:t>
      </w:r>
    </w:p>
    <w:tbl>
      <w:tblPr>
        <w:tblW w:w="0" w:type="auto"/>
        <w:tblLayout w:type="fixed"/>
        <w:tblCellMar>
          <w:left w:w="62" w:type="dxa"/>
          <w:right w:w="62" w:type="dxa"/>
        </w:tblCellMar>
        <w:tblLook w:val="0000"/>
      </w:tblPr>
      <w:tblGrid>
        <w:gridCol w:w="2700"/>
        <w:gridCol w:w="5760"/>
      </w:tblGrid>
      <w:tr w:rsidTr="00A34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1)</w:t>
            </w:r>
            <w:r w:rsidRPr="00B74BDD">
              <w:t xml:space="preserve"> </w:t>
            </w:r>
            <w:r w:rsidRPr="00B74BDD">
              <w:rPr>
                <w:rStyle w:val="SpecialBold"/>
              </w:rPr>
              <w:t>Scope:</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4BD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1.1) Descriptor</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This competency standard unit covers the design, implementation and performance monitoring of internetworking systems. It encompasses safe working practice, evaluating customer requirements, applying sound design principles, complying with regulation and s</w:t>
            </w:r>
            <w:r w:rsidRPr="00B74BDD">
              <w:t>tandards, incorporation and advanced wireless LANs technologies and documentation of design and performance monitoring.</w:t>
            </w:r>
          </w:p>
          <w:p w:rsidR="00000000" w:rsidRPr="00B74BDD" w:rsidP="00B74BDD">
            <w:pPr>
              <w:pStyle w:val="BodyText"/>
            </w:pPr>
            <w:r w:rsidRPr="00B74BDD">
              <w:t xml:space="preserve">Note: </w:t>
            </w:r>
            <w:r w:rsidRPr="00B74BDD">
              <w:br/>
              <w:t>This unit applies to all aspects of Electrotechnology - engineering applications only.  For general competencies related Informat</w:t>
            </w:r>
            <w:r w:rsidRPr="00B74BDD">
              <w:t>ion Technologies refer to the latest endorsed IT Training Package.</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3" w:name="O_416674"/>
      <w:bookmarkEnd w:id="3"/>
      <w:r w:rsidRPr="00B74BDD">
        <w:t>Application of the Unit</w:t>
      </w:r>
    </w:p>
    <w:tbl>
      <w:tblPr>
        <w:tblW w:w="0" w:type="auto"/>
        <w:tblLayout w:type="fixed"/>
        <w:tblCellMar>
          <w:left w:w="62" w:type="dxa"/>
          <w:right w:w="62" w:type="dxa"/>
        </w:tblCellMar>
        <w:tblLook w:val="0000"/>
      </w:tblPr>
      <w:tblGrid>
        <w:gridCol w:w="2672"/>
        <w:gridCol w:w="5699"/>
      </w:tblGrid>
      <w:tr w:rsidTr="00A34CD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2)</w:t>
            </w:r>
          </w:p>
        </w:tc>
      </w:tr>
      <w:tr w:rsidTr="00A34CD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This competency standard unit is intended to apply to any recognised development program that leads to the acquisition of a formal award at AQF level 5 or higher.</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4" w:name="O_416681"/>
      <w:bookmarkEnd w:id="4"/>
      <w:r w:rsidRPr="00B74BDD">
        <w:t>Licensing/Regulatory Information</w:t>
      </w:r>
    </w:p>
    <w:tbl>
      <w:tblPr>
        <w:tblW w:w="0" w:type="auto"/>
        <w:tblLayout w:type="fixed"/>
        <w:tblCellMar>
          <w:left w:w="62" w:type="dxa"/>
          <w:right w:w="62" w:type="dxa"/>
        </w:tblCellMar>
        <w:tblLook w:val="0000"/>
      </w:tblPr>
      <w:tblGrid>
        <w:gridCol w:w="2700"/>
        <w:gridCol w:w="5760"/>
      </w:tblGrid>
      <w:tr w:rsidTr="00A34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 xml:space="preserve">3) </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 xml:space="preserve">The skills and knowledge described in this unit do not </w:t>
            </w:r>
            <w:r w:rsidRPr="00B74BDD">
              <w:t>require a licence to practice in the workplace. However, practice in this unit is subject to regulations directly related to occupational health and safety and where applicable contracts of training su</w:t>
            </w:r>
            <w:r w:rsidRPr="00B74BDD">
              <w:t>ch as apprenticeships and the like.</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5" w:name="O_416682"/>
      <w:bookmarkEnd w:id="5"/>
      <w:r w:rsidRPr="00B74BDD">
        <w:t>Pre-Requisites</w:t>
      </w:r>
    </w:p>
    <w:tbl>
      <w:tblPr>
        <w:tblW w:w="0" w:type="auto"/>
        <w:tblLayout w:type="fixed"/>
        <w:tblCellMar>
          <w:left w:w="62" w:type="dxa"/>
          <w:right w:w="62" w:type="dxa"/>
        </w:tblCellMar>
        <w:tblLook w:val="0000"/>
      </w:tblPr>
      <w:tblGrid>
        <w:gridCol w:w="2700"/>
        <w:gridCol w:w="1440"/>
        <w:gridCol w:w="4320"/>
      </w:tblGrid>
      <w:tr w:rsidTr="00A34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 xml:space="preserve">4) </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4.1)</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Granting competency in this unit shall be made only after competency in the following unit(s) has/have been confirmed.</w:t>
            </w:r>
          </w:p>
        </w:tc>
      </w:tr>
      <w:tr w:rsidTr="00A34CD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UEENEEE101A</w:t>
            </w:r>
          </w:p>
        </w:tc>
        <w:tc>
          <w:tcPr>
            <w:tcW w:w="432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Apply Occupational Health Safety regulations, codes and practices in the workplace</w:t>
            </w:r>
          </w:p>
        </w:tc>
      </w:tr>
    </w:tbl>
    <w:p w:rsidR="00000000" w:rsidRPr="00B74BDD" w:rsidP="00B74BD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34CD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 xml:space="preserve">4.2) </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Participants are best equipped to achieve this unit if they have reading, writing and numeracy skills indicated by the following scales. Description of each scale is given in Volume 2, Part 3 “Literacy and Numeracy”</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Reading</w:t>
            </w:r>
          </w:p>
        </w:tc>
        <w:tc>
          <w:tcPr>
            <w:tcW w:w="81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5</w:t>
            </w:r>
          </w:p>
        </w:tc>
        <w:tc>
          <w:tcPr>
            <w:tcW w:w="99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Writing</w:t>
            </w: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5</w:t>
            </w:r>
          </w:p>
        </w:tc>
        <w:tc>
          <w:tcPr>
            <w:tcW w:w="12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Numeracy</w:t>
            </w:r>
          </w:p>
        </w:tc>
        <w:tc>
          <w:tcPr>
            <w:tcW w:w="72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5</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6" w:name="O_416678"/>
      <w:bookmarkEnd w:id="6"/>
      <w:r w:rsidRPr="00B74BDD">
        <w:t>Employability Skills Information</w:t>
      </w:r>
    </w:p>
    <w:tbl>
      <w:tblPr>
        <w:tblW w:w="0" w:type="auto"/>
        <w:tblLayout w:type="fixed"/>
        <w:tblCellMar>
          <w:left w:w="62" w:type="dxa"/>
          <w:right w:w="62" w:type="dxa"/>
        </w:tblCellMar>
        <w:tblLook w:val="0000"/>
      </w:tblPr>
      <w:tblGrid>
        <w:gridCol w:w="2700"/>
        <w:gridCol w:w="5760"/>
      </w:tblGrid>
      <w:tr w:rsidTr="00A34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 xml:space="preserve">5) </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The required outcomes described in this unit of competency contain applicable facets of Employability Skills. The Employability Skills Summary of the qualification in which this u</w:t>
            </w:r>
            <w:r w:rsidRPr="00B74BDD">
              <w:t>nit of competency is packaged will assist in identifying Employability Skill requirements.</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7" w:name="O_416677"/>
      <w:bookmarkEnd w:id="7"/>
      <w:r w:rsidRPr="00B74BDD">
        <w:t>Elements and Performance Criteria Pre-Content</w:t>
      </w:r>
    </w:p>
    <w:tbl>
      <w:tblPr>
        <w:tblW w:w="0" w:type="auto"/>
        <w:tblLayout w:type="fixed"/>
        <w:tblCellMar>
          <w:left w:w="62" w:type="dxa"/>
          <w:right w:w="62" w:type="dxa"/>
        </w:tblCellMar>
        <w:tblLook w:val="0000"/>
      </w:tblPr>
      <w:tblGrid>
        <w:gridCol w:w="2700"/>
        <w:gridCol w:w="5760"/>
      </w:tblGrid>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6)</w:t>
            </w:r>
            <w:r w:rsidRPr="00B74BD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Performance Criteria describe the required performance needed to demonstrate achievement of the element. Assessment of performance is to be consistent with the Evidence Guide.</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8" w:name="O_416676"/>
      <w:bookmarkEnd w:id="8"/>
      <w:r w:rsidRPr="00B74BD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34CD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PERFORMANCE CRITER</w:t>
            </w:r>
            <w:r w:rsidRPr="00B74BDD">
              <w:rPr>
                <w:rStyle w:val="SpecialBold"/>
              </w:rPr>
              <w:t>IA</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1</w:t>
            </w:r>
          </w:p>
        </w:tc>
        <w:tc>
          <w:tcPr>
            <w:tcW w:w="2296"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1.1</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OHS processes and procedures for a given work area are obtained and understood.</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1.2</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Established OHS risk control measures and procedures in preparation for the work are followed.</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1.3</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Design brief for the advanced wireless LANs technologies is developed and documented in consultations with person(s) of higher authority.</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1.4</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Work team/group is arranged of appropriately competent persons in accordance wi</w:t>
            </w:r>
            <w:r w:rsidRPr="00B74BDD">
              <w:t>th skills required to meet work outcomes and organisation’s established procedures.</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1.5</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Activities are planned to meet scheduled timelines in consultation with others involved on the work.</w:t>
            </w:r>
          </w:p>
        </w:tc>
      </w:tr>
      <w:tr w:rsidTr="00A34CD7">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1.6</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 xml:space="preserve">Strategies are implemented to ensure network development </w:t>
            </w:r>
            <w:r w:rsidRPr="00B74BDD">
              <w:t>is carried out efficiently.</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w:t>
            </w:r>
          </w:p>
        </w:tc>
        <w:tc>
          <w:tcPr>
            <w:tcW w:w="2296"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2.1</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Internetworking system is designed to comply with design brief and consideration of economical and appropriately effective design solutions.</w:t>
            </w:r>
          </w:p>
        </w:tc>
      </w:tr>
      <w:tr w:rsidTr="00A34CD7">
        <w:tblPrEx>
          <w:tblW w:w="0" w:type="auto"/>
          <w:tblLayout w:type="fixed"/>
          <w:tblCellMar>
            <w:left w:w="62" w:type="dxa"/>
            <w:right w:w="62" w:type="dxa"/>
          </w:tblCellMar>
          <w:tblLook w:val="0000"/>
        </w:tblPrEx>
        <w:trPr>
          <w:trHeight w:val="51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2.2</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Advanced wireless LANs technologies are included in the internetworking system design. (See Note 1)</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2.3</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Internetworking system design includes specification of required media that is compliant with industry standards.</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2.4</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Internetworking system design is documented in accordance with organisation’s policies and procedures.</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2.5</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Internetworking system design is presented and discussed with person(s) of higher authority.</w:t>
            </w:r>
          </w:p>
        </w:tc>
      </w:tr>
      <w:tr w:rsidTr="00A34CD7">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2.6</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Alterations to the internetworking system design resulting from the presentation/discussion are negotiated with person(s) of higher authority within the constraints of organisation’s policy.</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2.7</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Final internetworking system design is documented and appr</w:t>
            </w:r>
            <w:r w:rsidRPr="00B74BDD">
              <w:t>oval obtained from person(s) of higher authority.</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w:t>
            </w:r>
          </w:p>
        </w:tc>
        <w:tc>
          <w:tcPr>
            <w:tcW w:w="2296"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3.1</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Activities are planned to meet scheduled timelines in consultation with others involved on the work.</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3.2</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Appropriate development tools and software are selected based on specified requirements and performance standard.</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3.3</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Knowledge of internetworking arrangements and protocols is applied to installing, configuring and testing advance wireless LANs technol</w:t>
            </w:r>
            <w:r w:rsidRPr="00B74BDD">
              <w:t>ogies.</w:t>
            </w:r>
          </w:p>
        </w:tc>
      </w:tr>
      <w:tr w:rsidTr="00A34CD7">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3.4</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System malfunctions and performance issues are identified during testing and rectified using logical techniques drawing knowledge of internetworking arrangements and protocol. (See Note 2)</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3.5</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Approaches to issues/problems are analysed to provide most effective solutions.</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3.6</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Quality of work is monitored against personal performance agreement and/or established organizational or professional standards.</w:t>
            </w:r>
          </w:p>
        </w:tc>
      </w:tr>
      <w:tr w:rsidTr="00A34CD7">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3.7</w:t>
            </w:r>
          </w:p>
        </w:tc>
        <w:tc>
          <w:tcPr>
            <w:tcW w:w="48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Final internetworking system desi</w:t>
            </w:r>
            <w:r w:rsidRPr="00B74BDD">
              <w:t>gn and implementation are documented in accordance organisation’s established procedures.</w:t>
            </w:r>
          </w:p>
        </w:tc>
      </w:tr>
      <w:tr w:rsidTr="00A34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Note.</w:t>
            </w:r>
          </w:p>
          <w:p w:rsidR="00000000" w:rsidRPr="00B74BDD" w:rsidP="00B74BDD">
            <w:pPr>
              <w:pStyle w:val="BodyText"/>
            </w:pPr>
            <w:r w:rsidRPr="00B74BDD">
              <w:t>1. Wireless LAN technologies may include compliance with IEEE 802.11 standards, and frequency and channel usage, in-building and building-to-building WLANs and devices and appropriate antennas that meet mobility and throughput specifications, hardware set-</w:t>
            </w:r>
            <w:r w:rsidRPr="00B74BDD">
              <w:t>up and software configuration of wireless products including security using WEP, WPA, and 802.1x protocols.</w:t>
            </w:r>
          </w:p>
          <w:p w:rsidR="00000000" w:rsidRPr="00B74BDD" w:rsidP="00B74BDD">
            <w:pPr>
              <w:pStyle w:val="BodyText"/>
            </w:pPr>
            <w:r w:rsidRPr="00B74BDD">
              <w:t>2. Performance issues may include using event logging, command-line utilities, and diagnostic tools</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9" w:name="O_416684"/>
      <w:bookmarkEnd w:id="9"/>
      <w:r w:rsidRPr="00B74BDD">
        <w:t>Required Skills and Knowledg</w:t>
      </w:r>
      <w:r w:rsidRPr="00B74BDD">
        <w:t>e</w:t>
      </w:r>
    </w:p>
    <w:tbl>
      <w:tblPr>
        <w:tblW w:w="0" w:type="auto"/>
        <w:tblLayout w:type="fixed"/>
        <w:tblCellMar>
          <w:left w:w="62" w:type="dxa"/>
          <w:right w:w="62" w:type="dxa"/>
        </w:tblCellMar>
        <w:tblLook w:val="0000"/>
      </w:tblPr>
      <w:tblGrid>
        <w:gridCol w:w="8460"/>
      </w:tblGrid>
      <w:tr w:rsidTr="00A34C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REQUIRED SKILLS AND KNOWLEDGE</w:t>
            </w:r>
          </w:p>
        </w:tc>
      </w:tr>
      <w:tr w:rsidTr="00A34CD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 xml:space="preserve">8) </w:t>
            </w:r>
            <w:r w:rsidRPr="00B74BDD">
              <w:t>This describes the essential skills and knowledge and their level, required for this unit.</w:t>
            </w:r>
          </w:p>
          <w:p w:rsidR="00000000" w:rsidRPr="00B74BDD" w:rsidP="00B74BDD">
            <w:pPr>
              <w:pStyle w:val="BodyText"/>
            </w:pPr>
            <w:r w:rsidRPr="00B74BDD">
              <w:t>Evidence shall show that knowledge has been acquired of safe w</w:t>
            </w:r>
            <w:r w:rsidRPr="00B74BDD">
              <w:t>orking practices and designing and implementing internetworking systems - wireless LANs/WANs.</w:t>
            </w:r>
          </w:p>
          <w:p w:rsidR="00000000" w:rsidRPr="00B74BDD" w:rsidP="00B74BDD">
            <w:pPr>
              <w:pStyle w:val="BodyText"/>
            </w:pPr>
            <w:r w:rsidRPr="00B74BDD">
              <w:t>All knowledge and skills detailed in this unit should be contextualised to current industry practices and technologies.</w:t>
            </w:r>
          </w:p>
          <w:p w:rsidR="00000000" w:rsidRPr="00B74BDD" w:rsidP="00B74BDD">
            <w:pPr>
              <w:pStyle w:val="BodyText"/>
            </w:pPr>
            <w:r w:rsidRPr="00B74BDD">
              <w:rPr>
                <w:rStyle w:val="SpecialBold"/>
              </w:rPr>
              <w:t>KS01-ED123A</w:t>
            </w:r>
            <w:r w:rsidRPr="00B74BDD">
              <w:rPr>
                <w:rStyle w:val="SpecialBold"/>
              </w:rPr>
              <w:tab/>
              <w:t xml:space="preserve">              Fundamentals of </w:t>
            </w:r>
            <w:r w:rsidRPr="00B74BDD">
              <w:rPr>
                <w:rStyle w:val="SpecialBold"/>
              </w:rPr>
              <w:t>wireless security</w:t>
            </w:r>
          </w:p>
          <w:p w:rsidR="00000000" w:rsidRPr="00B74BDD" w:rsidP="00B74BDD">
            <w:pPr>
              <w:pStyle w:val="BodyText"/>
            </w:pPr>
            <w:r w:rsidRPr="00B74BDD">
              <w:t>Evidence shall show an understanding of fundamentals of wireless security to an extent indicated by the following aspects:</w:t>
            </w:r>
          </w:p>
          <w:p w:rsidR="00000000" w:rsidRPr="00B74BDD" w:rsidP="00B74BDD">
            <w:pPr>
              <w:pStyle w:val="BodyText"/>
            </w:pPr>
            <w:r w:rsidRPr="00B74BDD">
              <w:t>T1</w:t>
            </w:r>
            <w:r w:rsidRPr="00B74BDD">
              <w:tab/>
              <w:t xml:space="preserve">Wireless Standards </w:t>
            </w:r>
            <w:r w:rsidRPr="00B74BDD">
              <w:tab/>
            </w:r>
          </w:p>
          <w:p w:rsidR="00000000" w:rsidRPr="00B74BDD" w:rsidP="00B74BDD">
            <w:pPr>
              <w:pStyle w:val="BodyText"/>
            </w:pPr>
            <w:r w:rsidRPr="00B74BDD">
              <w:t>T2</w:t>
            </w:r>
            <w:r w:rsidRPr="00B74BDD">
              <w:tab/>
              <w:t>Wireless radio technologies</w:t>
            </w:r>
          </w:p>
          <w:p w:rsidR="00000000" w:rsidRPr="00B74BDD" w:rsidP="00B74BDD">
            <w:pPr>
              <w:pStyle w:val="BodyText"/>
            </w:pPr>
            <w:r w:rsidRPr="00B74BDD">
              <w:t>T3</w:t>
            </w:r>
            <w:r w:rsidRPr="00B74BDD">
              <w:tab/>
              <w:t>Wireless topologies</w:t>
            </w:r>
          </w:p>
          <w:p w:rsidR="00000000" w:rsidRPr="00B74BDD" w:rsidP="00B74BDD">
            <w:pPr>
              <w:pStyle w:val="BodyText"/>
            </w:pPr>
            <w:r w:rsidRPr="00B74BDD">
              <w:t>T4</w:t>
            </w:r>
            <w:r w:rsidRPr="00B74BDD">
              <w:tab/>
              <w:t>Network Interface Cards (NICs)</w:t>
            </w:r>
          </w:p>
          <w:p w:rsidR="00000000" w:rsidRPr="00B74BDD" w:rsidP="00B74BDD">
            <w:pPr>
              <w:pStyle w:val="BodyText"/>
            </w:pPr>
            <w:r w:rsidRPr="00B74BDD">
              <w:t>T5</w:t>
            </w:r>
            <w:r w:rsidRPr="00B74BDD">
              <w:tab/>
            </w:r>
            <w:r w:rsidRPr="00B74BDD">
              <w:t>Access points</w:t>
            </w:r>
          </w:p>
          <w:p w:rsidR="00000000" w:rsidRPr="00B74BDD" w:rsidP="00B74BDD">
            <w:pPr>
              <w:pStyle w:val="BodyText"/>
            </w:pPr>
            <w:r w:rsidRPr="00B74BDD">
              <w:t>T6</w:t>
            </w:r>
            <w:r w:rsidRPr="00B74BDD">
              <w:tab/>
              <w:t>Wireless Bridges and routers</w:t>
            </w:r>
          </w:p>
          <w:p w:rsidR="00000000" w:rsidRPr="00B74BDD" w:rsidP="00B74BDD">
            <w:pPr>
              <w:pStyle w:val="BodyText"/>
            </w:pPr>
            <w:r w:rsidRPr="00B74BDD">
              <w:t>T7</w:t>
            </w:r>
            <w:r w:rsidRPr="00B74BDD">
              <w:tab/>
              <w:t>Antennas</w:t>
            </w:r>
          </w:p>
          <w:p w:rsidR="00000000" w:rsidRPr="00B74BDD" w:rsidP="00B74BDD">
            <w:pPr>
              <w:pStyle w:val="BodyText"/>
            </w:pPr>
            <w:r w:rsidRPr="00B74BDD">
              <w:t>T8</w:t>
            </w:r>
            <w:r w:rsidRPr="00B74BDD">
              <w:tab/>
              <w:t>Security</w:t>
            </w:r>
          </w:p>
          <w:p w:rsidR="00000000" w:rsidRPr="00B74BDD" w:rsidP="00B74BDD">
            <w:pPr>
              <w:pStyle w:val="BodyText"/>
            </w:pPr>
            <w:r w:rsidRPr="00B74BDD">
              <w:t>T9</w:t>
            </w:r>
            <w:r w:rsidRPr="00B74BDD">
              <w:tab/>
              <w:t>Application design and site survey preparation</w:t>
            </w:r>
          </w:p>
          <w:p w:rsidR="00000000" w:rsidRPr="00B74BDD" w:rsidP="00B74BDD">
            <w:pPr>
              <w:pStyle w:val="BodyText"/>
            </w:pPr>
            <w:r w:rsidRPr="00B74BDD">
              <w:t>T10</w:t>
            </w:r>
            <w:r w:rsidRPr="00B74BDD">
              <w:tab/>
              <w:t>Troubleshooting, management, monitoring and diagnostics</w:t>
            </w:r>
          </w:p>
          <w:p w:rsidR="00000000" w:rsidRPr="00B74BDD" w:rsidP="00B74BDD">
            <w:pPr>
              <w:pStyle w:val="BodyText"/>
            </w:pPr>
            <w:r w:rsidRPr="00B74BDD">
              <w:t>T11</w:t>
            </w:r>
            <w:r w:rsidRPr="00B74BDD">
              <w:tab/>
              <w:t>802.11 authentication and encryption methods</w:t>
            </w:r>
          </w:p>
          <w:p w:rsidR="00000000" w:rsidRPr="00B74BDD" w:rsidP="00B74BDD">
            <w:pPr>
              <w:pStyle w:val="BodyText"/>
            </w:pPr>
            <w:r w:rsidRPr="00B74BDD">
              <w:t>T12</w:t>
            </w:r>
            <w:r w:rsidRPr="00B74BDD">
              <w:tab/>
              <w:t>Wireless roaming</w:t>
            </w:r>
          </w:p>
          <w:p w:rsidR="00000000" w:rsidRPr="00B74BDD" w:rsidP="00B74BDD">
            <w:pPr>
              <w:pStyle w:val="BodyText"/>
            </w:pPr>
            <w:r w:rsidRPr="00B74BDD">
              <w:t>T13</w:t>
            </w:r>
            <w:r w:rsidRPr="00B74BDD">
              <w:tab/>
              <w:t>Wi</w:t>
            </w:r>
            <w:r w:rsidRPr="00B74BDD">
              <w:t>reless LAN network management software tools</w:t>
            </w:r>
          </w:p>
          <w:p w:rsidR="00000000" w:rsidRPr="00B74BDD" w:rsidP="00B74BDD">
            <w:pPr>
              <w:pStyle w:val="BodyText"/>
            </w:pPr>
            <w:r w:rsidRPr="00B74BDD">
              <w:t>T14</w:t>
            </w:r>
            <w:r w:rsidRPr="00B74BDD">
              <w:tab/>
              <w:t>Frequency interference</w:t>
            </w:r>
          </w:p>
          <w:p w:rsidR="00000000" w:rsidRPr="00B74BDD" w:rsidP="00B74BDD">
            <w:pPr>
              <w:pStyle w:val="BodyText"/>
            </w:pPr>
            <w:r w:rsidRPr="00B74BDD">
              <w:t>T15</w:t>
            </w:r>
            <w:r w:rsidRPr="00B74BDD">
              <w:tab/>
              <w:t>Emerging technologies</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10" w:name="O_416679"/>
      <w:bookmarkEnd w:id="10"/>
      <w:r w:rsidRPr="00B74BDD">
        <w:t>Evidence Guide</w:t>
      </w:r>
    </w:p>
    <w:tbl>
      <w:tblPr>
        <w:tblW w:w="0" w:type="auto"/>
        <w:tblLayout w:type="fixed"/>
        <w:tblCellMar>
          <w:left w:w="62" w:type="dxa"/>
          <w:right w:w="62" w:type="dxa"/>
        </w:tblCellMar>
        <w:tblLook w:val="0000"/>
      </w:tblPr>
      <w:tblGrid>
        <w:gridCol w:w="8460"/>
      </w:tblGrid>
      <w:tr w:rsidTr="00A34C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EVIDENCE GUIDE</w:t>
            </w:r>
          </w:p>
        </w:tc>
      </w:tr>
      <w:tr w:rsidTr="00A34CD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9)</w:t>
            </w:r>
            <w:r w:rsidRPr="00B74BDD">
              <w:t xml:space="preserve"> This provides essential advice for assessment of the unit of competency and must be read in conjunction </w:t>
            </w:r>
            <w:r w:rsidRPr="00B74BDD">
              <w:t>with the performance criteria and the range statement of the unit of competency and the Training Package Assessment Guidelines.</w:t>
            </w:r>
          </w:p>
          <w:p w:rsidR="00000000" w:rsidRPr="00B74BDD" w:rsidP="00B74BDD">
            <w:pPr>
              <w:pStyle w:val="BodyText"/>
            </w:pPr>
            <w:r w:rsidRPr="00B74BDD">
              <w:t xml:space="preserve">The Evidence Guide forms an integral part of this Competency Standard Unit and shall be used in conjunction with all components </w:t>
            </w:r>
            <w:r w:rsidRPr="00B74BDD">
              <w:t>parts of this unit and, performed in accordance with the Assessment Guidelines of this Training Package.</w:t>
            </w:r>
          </w:p>
        </w:tc>
      </w:tr>
    </w:tbl>
    <w:p w:rsidR="00000000" w:rsidRPr="00B74BDD" w:rsidP="00B74BDD">
      <w:pPr>
        <w:pStyle w:val="BodyText"/>
      </w:pPr>
    </w:p>
    <w:tbl>
      <w:tblPr>
        <w:tblW w:w="0" w:type="auto"/>
        <w:tblLayout w:type="fixed"/>
        <w:tblCellMar>
          <w:left w:w="62" w:type="dxa"/>
          <w:right w:w="62" w:type="dxa"/>
        </w:tblCellMar>
        <w:tblLook w:val="0000"/>
      </w:tblPr>
      <w:tblGrid>
        <w:gridCol w:w="1890"/>
        <w:gridCol w:w="6570"/>
      </w:tblGrid>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9.1)</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Longitudinal competency development approaches to assessment, such as Profiling, require data to be reliably gathered in a form that can be consistently interpreted over time. This approach is best utilised in Apprenticeship programs and reduces assessment</w:t>
            </w:r>
            <w:r w:rsidRPr="00B74BD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74BDD">
              <w:t>tency in a realistically simulated work environment. It is recognised that, in some circumstances, assessment in part or full can occur outside the workplace. However, it must be in accord with Industry and, Regulatory policy in this regard.</w:t>
            </w:r>
          </w:p>
          <w:p w:rsidR="00000000" w:rsidRPr="00B74BDD" w:rsidP="00B74BDD">
            <w:pPr>
              <w:pStyle w:val="BodyText"/>
            </w:pPr>
            <w:r w:rsidRPr="00B74BDD">
              <w:t>Methods chosen</w:t>
            </w:r>
            <w:r w:rsidRPr="00B74BD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74BDD">
              <w:t>equired and the critical nature of the competencies being assessed.</w:t>
            </w:r>
          </w:p>
          <w:p w:rsidR="00000000" w:rsidRPr="00B74BDD" w:rsidP="00B74BDD">
            <w:pPr>
              <w:pStyle w:val="BodyText"/>
            </w:pPr>
            <w:r w:rsidRPr="00B74BDD">
              <w:t>The critical safety nature of working with electricity, electrical equipment, gas or any other hazardous substance/material carries risk in deeming a person competent. Hence, sources of ev</w:t>
            </w:r>
            <w:r w:rsidRPr="00B74BDD">
              <w:t>idence need to be ‘rich’ in nature so as to minimise error in judgment.</w:t>
            </w:r>
          </w:p>
          <w:p w:rsidR="00000000" w:rsidRPr="00B74BDD" w:rsidP="00B74BDD">
            <w:pPr>
              <w:pStyle w:val="BodyText"/>
            </w:pPr>
            <w:r w:rsidRPr="00B74BDD">
              <w:t>Activities associated with normal every day work have a bearing on the decision as to how much and how detailed the data gathered will contribute to its ‘richness’. Some skills are mor</w:t>
            </w:r>
            <w:r w:rsidRPr="00B74BDD">
              <w:t>e critical to safety and operational requirements while the same skills may be more or less frequently practiced. These points are raised for the assessors to consider when choosing an assessment method and developing assessment instruments. Sample assessm</w:t>
            </w:r>
            <w:r w:rsidRPr="00B74BDD">
              <w:t>ent instruments are included for Assessors in the Assessment Guidelines of this Training Package.</w:t>
            </w:r>
          </w:p>
        </w:tc>
      </w:tr>
    </w:tbl>
    <w:p w:rsidR="00000000" w:rsidRPr="00B74BDD" w:rsidP="00B74BDD">
      <w:pPr>
        <w:pStyle w:val="BodyText"/>
      </w:pPr>
    </w:p>
    <w:tbl>
      <w:tblPr>
        <w:tblW w:w="0" w:type="auto"/>
        <w:tblLayout w:type="fixed"/>
        <w:tblCellMar>
          <w:left w:w="62" w:type="dxa"/>
          <w:right w:w="62" w:type="dxa"/>
        </w:tblCellMar>
        <w:tblLook w:val="0000"/>
      </w:tblPr>
      <w:tblGrid>
        <w:gridCol w:w="1890"/>
        <w:gridCol w:w="1530"/>
        <w:gridCol w:w="5040"/>
      </w:tblGrid>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9.2)</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Before the critical aspects of evidence are considered all prerequisite</w:t>
            </w:r>
            <w:r w:rsidRPr="00B74BDD">
              <w:t>s shall be met.</w:t>
            </w:r>
          </w:p>
          <w:p w:rsidR="00000000" w:rsidRPr="00B74BDD" w:rsidP="00B74BDD">
            <w:pPr>
              <w:pStyle w:val="BodyText"/>
            </w:pPr>
            <w:r w:rsidRPr="00B74BDD">
              <w:t>Evidence for competence in this unit shall be considered holistically.  Each element and associated performance criteria shall be demonstrated on at least two occasions in accordance with the “Assessment Guidelines – UEE11”.  Evidence shall</w:t>
            </w:r>
            <w:r w:rsidRPr="00B74BDD">
              <w:t xml:space="preserve"> also comprise:</w:t>
            </w:r>
          </w:p>
          <w:p w:rsidR="00000000" w:rsidRPr="00B74BDD" w:rsidP="00B74BDD">
            <w:pPr>
              <w:pStyle w:val="ListBullet"/>
            </w:pPr>
            <w:r w:rsidRPr="00B74BDD">
              <w:t>A representative body of work performance demonstrated within the timeframes typically expected of the discipline, work function and industrial environment. In particular this shall incorporate evidence that shows a candidate is able to:</w:t>
            </w:r>
          </w:p>
          <w:p w:rsidR="00000000" w:rsidRPr="00B74BDD" w:rsidP="00B74BDD">
            <w:pPr>
              <w:pStyle w:val="ListBullet2"/>
            </w:pPr>
            <w:r w:rsidRPr="00B74BDD">
              <w:t>Implement Occupational Health and Safety workplace procedures and practices including the use of risk control measures as specified in the performance criteria and range; and</w:t>
            </w:r>
          </w:p>
          <w:p w:rsidR="00000000" w:rsidRPr="00B74BDD" w:rsidP="00B74BDD">
            <w:pPr>
              <w:pStyle w:val="ListBullet2"/>
            </w:pPr>
            <w:r w:rsidRPr="00B74BDD">
              <w:t>Apply sustainable energy principles and practices as specified in the performance</w:t>
            </w:r>
            <w:r w:rsidRPr="00B74BDD">
              <w:t xml:space="preserve"> criteria and range; and</w:t>
            </w:r>
          </w:p>
          <w:p w:rsidR="00000000" w:rsidRPr="00B74BDD" w:rsidP="00B74BDD">
            <w:pPr>
              <w:pStyle w:val="ListBullet2"/>
            </w:pPr>
            <w:r w:rsidRPr="00B74BDD">
              <w:t>Demonstrate an understanding of the essential knowledge and associated skills as described in this unit.  It may be required by some jurisdictions that RTOs provide a percentile graded result for the purpose of regulatory or licens</w:t>
            </w:r>
            <w:r w:rsidRPr="00B74BDD">
              <w:t>ing requirements.   ; and</w:t>
            </w:r>
          </w:p>
          <w:p w:rsidR="00000000" w:rsidRPr="00B74BDD" w:rsidP="00B74BDD">
            <w:pPr>
              <w:pStyle w:val="ListBullet2"/>
            </w:pPr>
            <w:r w:rsidRPr="00B74BDD">
              <w:t>Demonstrate an appropriate level of skills enabling employment; and</w:t>
            </w:r>
          </w:p>
          <w:p w:rsidR="00000000" w:rsidRPr="00B74BDD" w:rsidP="00B74BDD">
            <w:pPr>
              <w:pStyle w:val="ListBullet2"/>
            </w:pPr>
            <w:r w:rsidRPr="00B74BDD">
              <w:t>Conduct work observing the relevant Anti Discrimination legislation, regulations, polices and workplace procedures; and</w:t>
            </w:r>
          </w:p>
          <w:p w:rsidR="00000000" w:rsidRPr="00B74BDD" w:rsidP="00B74BDD">
            <w:pPr>
              <w:pStyle w:val="ListBullet"/>
            </w:pPr>
            <w:r w:rsidRPr="00B74BDD">
              <w:t>Demonstrated consistent performance acros</w:t>
            </w:r>
            <w:r w:rsidRPr="00B74BDD">
              <w:t>s a representative range of contexts from the prescribed items below:</w:t>
            </w:r>
          </w:p>
          <w:p w:rsidR="00000000" w:rsidP="00B74BDD">
            <w:pPr>
              <w:pStyle w:val="ListBullet2"/>
              <w:rPr>
                <w:lang w:val="en-NZ"/>
              </w:rPr>
            </w:pPr>
            <w:r w:rsidRPr="00B74BDD">
              <w:t>Design and implement internetworking systems – wireless LANs and WANs as described in 8) and including:</w:t>
            </w:r>
          </w:p>
        </w:tc>
      </w:tr>
      <w:tr w:rsidTr="00A34CD7">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A</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Developing a design brief for advance wireless LAN technologies in an internetworking system design brief.</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B</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Planning work activities including requirements for work team/group.</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C</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Designing internetworking system based on economic and effective solutions that meet with design brief requirements.</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 xml:space="preserve">Detail technologies and media specifications used in the design of advanced wireless LANs technologies. </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E</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Documenting and presenting</w:t>
            </w:r>
            <w:r w:rsidRPr="00B74BDD">
              <w:t xml:space="preserve"> design for approval.</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F</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Implementing internetworking system design.</w:t>
            </w:r>
          </w:p>
        </w:tc>
      </w:tr>
      <w:tr w:rsidTr="00A34CD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G</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Identifying and rectifying system malfunctions.</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H</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Documenting internetworking installation and configuration activities.</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I</w:t>
            </w:r>
          </w:p>
        </w:tc>
        <w:tc>
          <w:tcPr>
            <w:tcW w:w="504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Dealing with unplanned events by drawing on essential knowledge and skills to provide appropriate solutions incorporated in the holistic assessment with the above listed items.</w:t>
            </w:r>
          </w:p>
        </w:tc>
      </w:tr>
    </w:tbl>
    <w:p w:rsidR="00000000" w:rsidRPr="00B74BDD" w:rsidP="00B74BDD">
      <w:pPr>
        <w:pStyle w:val="BodyText"/>
      </w:pPr>
    </w:p>
    <w:tbl>
      <w:tblPr>
        <w:tblW w:w="0" w:type="auto"/>
        <w:tblLayout w:type="fixed"/>
        <w:tblCellMar>
          <w:left w:w="62" w:type="dxa"/>
          <w:right w:w="62" w:type="dxa"/>
        </w:tblCellMar>
        <w:tblLook w:val="0000"/>
      </w:tblPr>
      <w:tblGrid>
        <w:gridCol w:w="1890"/>
        <w:gridCol w:w="6570"/>
      </w:tblGrid>
      <w:tr w:rsidTr="00A34CD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9.3)</w:t>
            </w:r>
          </w:p>
        </w:tc>
      </w:tr>
      <w:tr w:rsidTr="00A34CD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This unit should be assessed as it relates to normal work practice using procedures, information and resources typical of a workplace. This should include:</w:t>
            </w:r>
          </w:p>
          <w:p w:rsidR="00000000" w:rsidRPr="00B74BDD" w:rsidP="00B74BDD">
            <w:pPr>
              <w:pStyle w:val="ListBullet"/>
            </w:pPr>
            <w:r w:rsidRPr="00B74BDD">
              <w:t>OHS policy and work procedures and instructions.</w:t>
            </w:r>
          </w:p>
          <w:p w:rsidR="00000000" w:rsidRPr="00B74BDD" w:rsidP="00B74BDD">
            <w:pPr>
              <w:pStyle w:val="ListBullet"/>
            </w:pPr>
            <w:r w:rsidRPr="00B74BDD">
              <w:t>Suitable work environment, facilities, equipment a</w:t>
            </w:r>
            <w:r w:rsidRPr="00B74BDD">
              <w:t>nd materials to undertake actual work as prescribed by this competency standard unit.</w:t>
            </w:r>
          </w:p>
          <w:p w:rsidR="00000000" w:rsidRPr="00B74BDD" w:rsidP="00B74BDD">
            <w:pPr>
              <w:pStyle w:val="BodyText"/>
            </w:pPr>
            <w:r w:rsidRPr="00B74BDD">
              <w:t>Resources required to assess this unit are listed above in context of assessment’, which should also be used in the formal learning/assessment environment.</w:t>
            </w:r>
          </w:p>
          <w:p w:rsidR="00000000" w:rsidRPr="00B74BDD" w:rsidP="00B74BDD">
            <w:pPr>
              <w:pStyle w:val="BodyText"/>
            </w:pPr>
            <w:r w:rsidRPr="00B74BDD">
              <w:t>Note:</w:t>
            </w:r>
          </w:p>
          <w:p w:rsidR="00000000" w:rsidRPr="00B74BDD" w:rsidP="00B74BDD">
            <w:pPr>
              <w:pStyle w:val="BodyText"/>
            </w:pPr>
            <w:r w:rsidRPr="00B74BDD">
              <w:t>Where si</w:t>
            </w:r>
            <w:r w:rsidRPr="00B74BDD">
              <w:t>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B74BDD" w:rsidP="00B74BDD">
            <w:pPr>
              <w:pStyle w:val="BodyText"/>
            </w:pPr>
            <w:r w:rsidRPr="00B74BDD">
              <w:t>In additi</w:t>
            </w:r>
            <w:r w:rsidRPr="00B74BDD">
              <w:t>on to the resources listed above in context of and specific resources for assessment, evidence should show demonstrated competency in designing and implementing internetworking systems – wireless LANs/WANs.</w:t>
            </w:r>
          </w:p>
        </w:tc>
      </w:tr>
    </w:tbl>
    <w:p w:rsidR="00000000" w:rsidRPr="00B74BDD" w:rsidP="00B74BDD">
      <w:pPr>
        <w:pStyle w:val="BodyText"/>
      </w:pPr>
    </w:p>
    <w:tbl>
      <w:tblPr>
        <w:tblW w:w="0" w:type="auto"/>
        <w:tblLayout w:type="fixed"/>
        <w:tblCellMar>
          <w:left w:w="62" w:type="dxa"/>
          <w:right w:w="62" w:type="dxa"/>
        </w:tblCellMar>
        <w:tblLook w:val="0000"/>
      </w:tblPr>
      <w:tblGrid>
        <w:gridCol w:w="1890"/>
        <w:gridCol w:w="6570"/>
      </w:tblGrid>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9.4)</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This competency standard unit shall be assessed by methods given in Volume 1, Part 3 "Assessment Guidelines".</w:t>
            </w:r>
          </w:p>
          <w:p w:rsidR="00000000" w:rsidRPr="00B74BDD" w:rsidP="00B74BDD">
            <w:pPr>
              <w:pStyle w:val="BodyText"/>
            </w:pPr>
            <w:r w:rsidRPr="00B74BDD">
              <w:t xml:space="preserve">Note: </w:t>
            </w:r>
            <w:r w:rsidRPr="00B74BDD">
              <w:br/>
              <w:t>Competent performance with inherent safe working practices is expected in the Industry to which this competency standard unit applies. This</w:t>
            </w:r>
            <w:r w:rsidRPr="00B74BDD">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B74BDD">
              <w:t>ate the essential knowledge and skills described in this unit.</w:t>
            </w:r>
          </w:p>
        </w:tc>
      </w:tr>
    </w:tbl>
    <w:p w:rsidR="00000000" w:rsidRPr="00B74BDD" w:rsidP="00B74BDD">
      <w:pPr>
        <w:pStyle w:val="BodyText"/>
      </w:pPr>
    </w:p>
    <w:tbl>
      <w:tblPr>
        <w:tblW w:w="0" w:type="auto"/>
        <w:tblLayout w:type="fixed"/>
        <w:tblCellMar>
          <w:left w:w="62" w:type="dxa"/>
          <w:right w:w="62" w:type="dxa"/>
        </w:tblCellMar>
        <w:tblLook w:val="0000"/>
      </w:tblPr>
      <w:tblGrid>
        <w:gridCol w:w="1890"/>
        <w:gridCol w:w="1530"/>
        <w:gridCol w:w="5040"/>
      </w:tblGrid>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9.5)</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For optimisation of training and assessment effort, competency development in this unit may be arranged concurrently with unit:</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UEENEED118A</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Design and implement internetworking systems</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UEENEED119A</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Design and implement internetworking systems — advance routing</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UEENEED120A</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Design and implement internetworking systems — remote access</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UEENEED121A</w:t>
            </w:r>
          </w:p>
        </w:tc>
        <w:tc>
          <w:tcPr>
            <w:tcW w:w="504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Design and implement internetworking systems — multi-layer switching</w:t>
            </w:r>
          </w:p>
        </w:tc>
      </w:tr>
      <w:tr w:rsidTr="00A34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t>UEENEED122A</w:t>
            </w:r>
          </w:p>
        </w:tc>
        <w:tc>
          <w:tcPr>
            <w:tcW w:w="504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Design and implement internetworking systems — security</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11" w:name="O_416683"/>
      <w:bookmarkEnd w:id="11"/>
      <w:r w:rsidRPr="00B74BDD">
        <w:t>Range Statement</w:t>
      </w:r>
    </w:p>
    <w:tbl>
      <w:tblPr>
        <w:tblW w:w="0" w:type="auto"/>
        <w:tblLayout w:type="fixed"/>
        <w:tblCellMar>
          <w:left w:w="62" w:type="dxa"/>
          <w:right w:w="62" w:type="dxa"/>
        </w:tblCellMar>
        <w:tblLook w:val="0000"/>
      </w:tblPr>
      <w:tblGrid>
        <w:gridCol w:w="8460"/>
      </w:tblGrid>
      <w:tr w:rsidTr="00A34C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RANGE STATEMENT</w:t>
            </w:r>
          </w:p>
        </w:tc>
      </w:tr>
      <w:tr w:rsidTr="00A34CD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10)</w:t>
            </w:r>
            <w:r w:rsidRPr="00B74BDD">
              <w:t xml:space="preserve"> This relates to the unit of competency as a whole providing t</w:t>
            </w:r>
            <w:r w:rsidRPr="00B74BDD">
              <w:t>he range of contexts and conditions to which the performance criteria apply. It allows for different work environments and situations that will affect performance.</w:t>
            </w:r>
          </w:p>
          <w:p w:rsidR="00000000" w:rsidRPr="00B74BDD" w:rsidP="00B74BDD">
            <w:pPr>
              <w:pStyle w:val="BodyText"/>
            </w:pPr>
            <w:r w:rsidRPr="00B74BDD">
              <w:t>This competency standard unit shall be demonstrated in relation to designing and implementin</w:t>
            </w:r>
            <w:r w:rsidRPr="00B74BDD">
              <w:t>g internetworking systems - wireless LANs/WANs between two Local Area Networks (LANs) to form a Wide Area Network (WAN) or a LAN and the Internet.</w:t>
            </w:r>
          </w:p>
          <w:p w:rsidR="00000000" w:rsidRPr="00B74BDD" w:rsidP="00B74BDD">
            <w:pPr>
              <w:pStyle w:val="BodyText"/>
            </w:pPr>
            <w:r w:rsidRPr="00B74BDD">
              <w:t>Generic terms are used throughout this Vocational Standard shall be regarded as part of the Range of Variables in which competency is demonstrated. The definition of these and other terms that apply are given in Volume 2, Part 2.1.</w:t>
            </w:r>
          </w:p>
        </w:tc>
      </w:tr>
    </w:tbl>
    <w:p w:rsidR="00000000" w:rsidRPr="00B74BDD" w:rsidP="00B74BDD">
      <w:pPr>
        <w:pStyle w:val="BodyText"/>
      </w:pPr>
    </w:p>
    <w:p w:rsidR="00000000" w:rsidRPr="00B74BDD" w:rsidP="00B74BDD">
      <w:pPr>
        <w:pStyle w:val="AllowPageBreak"/>
      </w:pPr>
    </w:p>
    <w:p w:rsidR="00000000" w:rsidRPr="00B74BDD" w:rsidP="00B74BDD">
      <w:pPr>
        <w:pStyle w:val="Heading1"/>
      </w:pPr>
      <w:bookmarkStart w:id="12" w:name="O_416686"/>
      <w:bookmarkEnd w:id="12"/>
      <w:r w:rsidRPr="00B74BDD">
        <w:t xml:space="preserve">Unit </w:t>
      </w:r>
      <w:r w:rsidRPr="00B74BDD">
        <w:t>Sector(s)</w:t>
      </w:r>
    </w:p>
    <w:p w:rsidR="00000000" w:rsidRPr="00B74BDD" w:rsidP="00B74BDD">
      <w:pPr>
        <w:pStyle w:val="BodyText"/>
      </w:pPr>
      <w:r w:rsidRPr="00B74BDD">
        <w:t>Not applicable.</w:t>
      </w:r>
    </w:p>
    <w:p w:rsidR="00000000" w:rsidRPr="00B74BDD" w:rsidP="00B74BDD">
      <w:pPr>
        <w:pStyle w:val="AllowPageBreak"/>
      </w:pPr>
    </w:p>
    <w:p w:rsidR="00000000" w:rsidRPr="00B74BDD" w:rsidP="00B74BDD">
      <w:pPr>
        <w:pStyle w:val="Heading1"/>
      </w:pPr>
      <w:bookmarkStart w:id="13" w:name="O_416675"/>
      <w:bookmarkEnd w:id="13"/>
      <w:r w:rsidRPr="00B74BDD">
        <w:t>Competency Field</w:t>
      </w:r>
    </w:p>
    <w:tbl>
      <w:tblPr>
        <w:tblW w:w="0" w:type="auto"/>
        <w:tblLayout w:type="fixed"/>
        <w:tblCellMar>
          <w:left w:w="62" w:type="dxa"/>
          <w:right w:w="62" w:type="dxa"/>
        </w:tblCellMar>
        <w:tblLook w:val="0000"/>
      </w:tblPr>
      <w:tblGrid>
        <w:gridCol w:w="2700"/>
        <w:gridCol w:w="5760"/>
      </w:tblGrid>
      <w:tr w:rsidTr="00A34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4BDD">
            <w:pPr>
              <w:pStyle w:val="BodyText"/>
              <w:rPr>
                <w:lang w:val="en-NZ"/>
              </w:rPr>
            </w:pPr>
            <w:r w:rsidRPr="00B74BDD">
              <w:rPr>
                <w:rStyle w:val="SpecialBold"/>
              </w:rPr>
              <w:t xml:space="preserve">11) </w:t>
            </w:r>
          </w:p>
        </w:tc>
      </w:tr>
      <w:tr w:rsidTr="00A34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BDD" w:rsidP="00B74BDD">
            <w:pPr>
              <w:pStyle w:val="BodyText"/>
            </w:pPr>
            <w:r w:rsidRPr="00B74BDD">
              <w:t>Computer Systems</w:t>
            </w:r>
          </w:p>
        </w:tc>
      </w:tr>
    </w:tbl>
    <w:p w:rsidR="00000000" w:rsidRPr="00B74BDD" w:rsidP="00B74BDD">
      <w:pPr>
        <w:pStyle w:val="BodyText"/>
      </w:pPr>
    </w:p>
    <w:p w:rsidR="00000000" w:rsidRPr="00B74BDD" w:rsidP="00B74BDD"/>
    <w:sectPr w:rsidSect="00B74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DD" w:rsidRPr="00A34CD7" w:rsidP="00A34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D7" w:rsidP="00B74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4CD7" w:rsidP="00B74B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34CD7" w:rsidP="00B74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DD" w:rsidRPr="00A34CD7" w:rsidP="00A34C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D7" w:rsidRPr="002D2AF8" w:rsidP="00B74BDD">
    <w:pPr>
      <w:pStyle w:val="Header"/>
      <w:framePr w:wrap="around"/>
    </w:pPr>
    <w:r>
      <w:fldChar w:fldCharType="begin"/>
    </w:r>
    <w:r>
      <w:instrText xml:space="preserve"> TITLE   \* MERGEFORMAT </w:instrText>
    </w:r>
    <w:r>
      <w:fldChar w:fldCharType="separate"/>
    </w:r>
    <w:r>
      <w:t>UEENEED123A Design and implement wireless LANs/WANs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34CD7" w:rsidP="00B74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A1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20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AE4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BDD"/>
    <w:pPr>
      <w:spacing w:before="360" w:after="60"/>
      <w:outlineLvl w:val="0"/>
    </w:pPr>
    <w:rPr>
      <w:sz w:val="32"/>
    </w:rPr>
  </w:style>
  <w:style w:type="paragraph" w:styleId="Heading2">
    <w:name w:val="heading 2"/>
    <w:basedOn w:val="HeadingBase"/>
    <w:next w:val="BodyText"/>
    <w:link w:val="Heading2Char"/>
    <w:qFormat/>
    <w:rsid w:val="00B74BDD"/>
    <w:pPr>
      <w:keepLines/>
      <w:spacing w:before="240" w:after="120"/>
      <w:outlineLvl w:val="1"/>
    </w:pPr>
    <w:rPr>
      <w:sz w:val="28"/>
      <w:szCs w:val="40"/>
    </w:rPr>
  </w:style>
  <w:style w:type="paragraph" w:styleId="Heading3">
    <w:name w:val="heading 3"/>
    <w:basedOn w:val="HeadingBase"/>
    <w:next w:val="BodyText"/>
    <w:link w:val="Heading3Char"/>
    <w:qFormat/>
    <w:rsid w:val="00B74BDD"/>
    <w:pPr>
      <w:spacing w:before="180" w:after="120"/>
      <w:outlineLvl w:val="2"/>
    </w:pPr>
    <w:rPr>
      <w:spacing w:val="-10"/>
      <w:kern w:val="32"/>
    </w:rPr>
  </w:style>
  <w:style w:type="paragraph" w:styleId="Heading4">
    <w:name w:val="heading 4"/>
    <w:basedOn w:val="HeadingBase"/>
    <w:next w:val="BodyText"/>
    <w:link w:val="Heading4Char"/>
    <w:qFormat/>
    <w:rsid w:val="00B74BDD"/>
    <w:pPr>
      <w:spacing w:before="160" w:after="120"/>
      <w:outlineLvl w:val="3"/>
    </w:pPr>
    <w:rPr>
      <w:sz w:val="22"/>
    </w:rPr>
  </w:style>
  <w:style w:type="paragraph" w:styleId="Heading5">
    <w:name w:val="heading 5"/>
    <w:basedOn w:val="HeadingBase"/>
    <w:next w:val="Normal"/>
    <w:link w:val="Heading5Char"/>
    <w:qFormat/>
    <w:rsid w:val="00B74BDD"/>
    <w:pPr>
      <w:spacing w:before="80"/>
      <w:outlineLvl w:val="4"/>
    </w:pPr>
    <w:rPr>
      <w:color w:val="918585"/>
      <w:sz w:val="20"/>
    </w:rPr>
  </w:style>
  <w:style w:type="paragraph" w:styleId="Heading6">
    <w:name w:val="heading 6"/>
    <w:basedOn w:val="HeadingBase"/>
    <w:next w:val="Normal"/>
    <w:link w:val="Heading6Char"/>
    <w:qFormat/>
    <w:rsid w:val="00B74BDD"/>
    <w:pPr>
      <w:spacing w:before="60"/>
      <w:outlineLvl w:val="5"/>
    </w:pPr>
    <w:rPr>
      <w:color w:val="918585"/>
      <w:sz w:val="20"/>
    </w:rPr>
  </w:style>
  <w:style w:type="paragraph" w:styleId="Heading7">
    <w:name w:val="heading 7"/>
    <w:basedOn w:val="Normal"/>
    <w:next w:val="Normal"/>
    <w:link w:val="Heading7Char"/>
    <w:qFormat/>
    <w:rsid w:val="00B74BDD"/>
    <w:pPr>
      <w:ind w:left="720"/>
      <w:outlineLvl w:val="6"/>
    </w:pPr>
    <w:rPr>
      <w:i/>
    </w:rPr>
  </w:style>
  <w:style w:type="paragraph" w:styleId="Heading8">
    <w:name w:val="heading 8"/>
    <w:basedOn w:val="Normal"/>
    <w:next w:val="Normal"/>
    <w:link w:val="Heading8Char"/>
    <w:qFormat/>
    <w:rsid w:val="00B74BDD"/>
    <w:pPr>
      <w:ind w:left="720"/>
      <w:outlineLvl w:val="7"/>
    </w:pPr>
    <w:rPr>
      <w:i/>
    </w:rPr>
  </w:style>
  <w:style w:type="paragraph" w:styleId="Heading9">
    <w:name w:val="heading 9"/>
    <w:basedOn w:val="Normal"/>
    <w:next w:val="Normal"/>
    <w:link w:val="Heading9Char"/>
    <w:qFormat/>
    <w:rsid w:val="00B74BDD"/>
    <w:pPr>
      <w:ind w:left="720"/>
      <w:outlineLvl w:val="8"/>
    </w:pPr>
    <w:rPr>
      <w:i/>
    </w:rPr>
  </w:style>
  <w:style w:type="character" w:default="1" w:styleId="DefaultParagraphFont">
    <w:name w:val="Default Paragraph Font"/>
    <w:uiPriority w:val="1"/>
    <w:unhideWhenUsed/>
    <w:rsid w:val="00B74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BDD"/>
  </w:style>
  <w:style w:type="character" w:customStyle="1" w:styleId="Heading1Char">
    <w:name w:val="Heading 1 Char"/>
    <w:basedOn w:val="DefaultParagraphFont"/>
    <w:link w:val="Heading1"/>
    <w:rsid w:val="00B74BDD"/>
    <w:rPr>
      <w:rFonts w:ascii="Times New Roman" w:eastAsia="Times New Roman" w:hAnsi="Times New Roman" w:cs="Times New Roman"/>
      <w:b/>
      <w:sz w:val="32"/>
      <w:szCs w:val="20"/>
      <w:lang w:eastAsia="en-US"/>
    </w:rPr>
  </w:style>
  <w:style w:type="paragraph" w:styleId="BodyText">
    <w:name w:val="Body Text"/>
    <w:basedOn w:val="Normal"/>
    <w:link w:val="BodyTextChar"/>
    <w:rsid w:val="00B74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BDD"/>
    <w:rPr>
      <w:rFonts w:ascii="Times New Roman" w:eastAsia="Times New Roman" w:hAnsi="Times New Roman" w:cs="Times New Roman"/>
      <w:sz w:val="24"/>
      <w:lang w:eastAsia="en-US"/>
    </w:rPr>
  </w:style>
  <w:style w:type="paragraph" w:styleId="ListBullet">
    <w:name w:val="List Bullet"/>
    <w:basedOn w:val="List"/>
    <w:rsid w:val="00B74BDD"/>
    <w:pPr>
      <w:numPr>
        <w:numId w:val="13"/>
      </w:numPr>
      <w:tabs>
        <w:tab w:val="clear" w:pos="340"/>
      </w:tabs>
      <w:spacing w:before="40" w:after="40"/>
    </w:pPr>
  </w:style>
  <w:style w:type="character" w:customStyle="1" w:styleId="SpecialBold">
    <w:name w:val="Special Bold"/>
    <w:basedOn w:val="DefaultParagraphFont"/>
    <w:rsid w:val="00B74BDD"/>
    <w:rPr>
      <w:b/>
      <w:spacing w:val="0"/>
    </w:rPr>
  </w:style>
  <w:style w:type="paragraph" w:styleId="ListBullet2">
    <w:name w:val="List Bullet 2"/>
    <w:basedOn w:val="List2"/>
    <w:rsid w:val="00B74BDD"/>
    <w:pPr>
      <w:numPr>
        <w:numId w:val="14"/>
      </w:numPr>
      <w:tabs>
        <w:tab w:val="clear" w:pos="680"/>
      </w:tabs>
    </w:pPr>
  </w:style>
  <w:style w:type="paragraph" w:customStyle="1" w:styleId="SuperHeading">
    <w:name w:val="SuperHeading"/>
    <w:basedOn w:val="Normal"/>
    <w:rsid w:val="00B74BDD"/>
    <w:pPr>
      <w:spacing w:before="240" w:after="120"/>
      <w:outlineLvl w:val="0"/>
    </w:pPr>
    <w:rPr>
      <w:rFonts w:ascii="Times New Roman" w:hAnsi="Times New Roman"/>
      <w:b/>
      <w:sz w:val="32"/>
    </w:rPr>
  </w:style>
  <w:style w:type="paragraph" w:customStyle="1" w:styleId="AllowPageBreak">
    <w:name w:val="AllowPageBreak"/>
    <w:rsid w:val="00B74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BDD"/>
    <w:rPr>
      <w:rFonts w:ascii="Courier New" w:eastAsia="Times New Roman" w:hAnsi="Courier New" w:cs="Times New Roman"/>
      <w:i/>
      <w:szCs w:val="20"/>
      <w:lang w:eastAsia="en-US"/>
    </w:rPr>
  </w:style>
  <w:style w:type="paragraph" w:customStyle="1" w:styleId="HeadingBase">
    <w:name w:val="Heading Base"/>
    <w:rsid w:val="00B74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BDD"/>
    <w:pPr>
      <w:tabs>
        <w:tab w:val="right" w:leader="dot" w:pos="9072"/>
      </w:tabs>
      <w:ind w:left="567"/>
    </w:pPr>
    <w:rPr>
      <w:szCs w:val="22"/>
    </w:rPr>
  </w:style>
  <w:style w:type="paragraph" w:customStyle="1" w:styleId="TOCBase">
    <w:name w:val="TOC Base"/>
    <w:rsid w:val="00B74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BDD"/>
    <w:pPr>
      <w:tabs>
        <w:tab w:val="right" w:leader="dot" w:pos="9072"/>
      </w:tabs>
      <w:spacing w:before="40" w:after="40"/>
      <w:ind w:left="284"/>
    </w:pPr>
    <w:rPr>
      <w:rFonts w:ascii="Times New Roman" w:hAnsi="Times New Roman"/>
    </w:rPr>
  </w:style>
  <w:style w:type="paragraph" w:styleId="TOC1">
    <w:name w:val="toc 1"/>
    <w:basedOn w:val="TOCBase"/>
    <w:next w:val="Normal"/>
    <w:rsid w:val="00B74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BDD"/>
    <w:rPr>
      <w:rFonts w:ascii="Times New Roman" w:eastAsia="Times New Roman" w:hAnsi="Times New Roman" w:cs="Times New Roman"/>
      <w:sz w:val="16"/>
      <w:lang w:eastAsia="en-US"/>
    </w:rPr>
  </w:style>
  <w:style w:type="paragraph" w:styleId="Title">
    <w:name w:val="Title"/>
    <w:basedOn w:val="HeadingBase"/>
    <w:link w:val="TitleChar"/>
    <w:qFormat/>
    <w:rsid w:val="00B74BDD"/>
    <w:pPr>
      <w:spacing w:before="5040"/>
      <w:jc w:val="center"/>
    </w:pPr>
    <w:rPr>
      <w:sz w:val="48"/>
      <w:szCs w:val="72"/>
      <w:lang w:val="en-US"/>
    </w:rPr>
  </w:style>
  <w:style w:type="character" w:customStyle="1" w:styleId="TitleChar">
    <w:name w:val="Title Char"/>
    <w:basedOn w:val="DefaultParagraphFont"/>
    <w:link w:val="Title"/>
    <w:rsid w:val="00B74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BDD"/>
    <w:pPr>
      <w:tabs>
        <w:tab w:val="left" w:pos="3600"/>
        <w:tab w:val="left" w:pos="3958"/>
      </w:tabs>
    </w:pPr>
  </w:style>
  <w:style w:type="paragraph" w:styleId="List">
    <w:name w:val="List"/>
    <w:basedOn w:val="BodyText"/>
    <w:next w:val="BodyText"/>
    <w:rsid w:val="00B74BDD"/>
    <w:pPr>
      <w:tabs>
        <w:tab w:val="left" w:pos="340"/>
      </w:tabs>
      <w:spacing w:before="60" w:after="60"/>
      <w:ind w:left="340" w:hanging="340"/>
    </w:pPr>
  </w:style>
  <w:style w:type="paragraph" w:customStyle="1" w:styleId="Note">
    <w:name w:val="Note"/>
    <w:basedOn w:val="BodyText"/>
    <w:rsid w:val="00B74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BDD"/>
    <w:pPr>
      <w:framePr w:wrap="auto" w:hAnchor="text" w:y="6049"/>
    </w:pPr>
    <w:rPr>
      <w:color w:val="000000"/>
      <w:sz w:val="40"/>
    </w:rPr>
  </w:style>
  <w:style w:type="paragraph" w:customStyle="1" w:styleId="TOCTitle">
    <w:name w:val="TOCTitle"/>
    <w:basedOn w:val="Heading1"/>
    <w:rsid w:val="00B74BDD"/>
    <w:pPr>
      <w:spacing w:after="240"/>
      <w:jc w:val="center"/>
      <w:outlineLvl w:val="9"/>
    </w:pPr>
    <w:rPr>
      <w:caps/>
    </w:rPr>
  </w:style>
  <w:style w:type="paragraph" w:customStyle="1" w:styleId="Version">
    <w:name w:val="Version"/>
    <w:rsid w:val="00B74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BDD"/>
    <w:pPr>
      <w:keepNext w:val="0"/>
      <w:tabs>
        <w:tab w:val="right" w:pos="4176"/>
      </w:tabs>
      <w:ind w:left="198" w:hanging="198"/>
    </w:pPr>
    <w:rPr>
      <w:rFonts w:ascii="Garamond" w:hAnsi="Garamond"/>
    </w:rPr>
  </w:style>
  <w:style w:type="paragraph" w:styleId="IndexHeading">
    <w:name w:val="index heading"/>
    <w:basedOn w:val="Normal"/>
    <w:next w:val="Index1"/>
    <w:semiHidden/>
    <w:rsid w:val="00B74BDD"/>
    <w:pPr>
      <w:spacing w:before="120" w:after="120"/>
    </w:pPr>
    <w:rPr>
      <w:rFonts w:ascii="Arial" w:hAnsi="Arial"/>
      <w:b/>
      <w:color w:val="918585"/>
      <w:sz w:val="24"/>
    </w:rPr>
  </w:style>
  <w:style w:type="paragraph" w:styleId="Header">
    <w:name w:val="header"/>
    <w:basedOn w:val="Normal"/>
    <w:link w:val="HeaderChar"/>
    <w:rsid w:val="00B74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BDD"/>
    <w:rPr>
      <w:rFonts w:ascii="Times New Roman" w:eastAsia="Times New Roman" w:hAnsi="Times New Roman" w:cs="Times New Roman"/>
      <w:sz w:val="16"/>
      <w:szCs w:val="20"/>
      <w:lang w:val="en-GB" w:eastAsia="en-US"/>
    </w:rPr>
  </w:style>
  <w:style w:type="paragraph" w:customStyle="1" w:styleId="Chapter">
    <w:name w:val="Chapter"/>
    <w:basedOn w:val="Normal"/>
    <w:rsid w:val="00B74BDD"/>
    <w:pPr>
      <w:spacing w:before="240"/>
    </w:pPr>
    <w:rPr>
      <w:rFonts w:ascii="Times New Roman" w:hAnsi="Times New Roman"/>
      <w:smallCaps/>
      <w:spacing w:val="80"/>
      <w:sz w:val="28"/>
    </w:rPr>
  </w:style>
  <w:style w:type="paragraph" w:customStyle="1" w:styleId="InChapter">
    <w:name w:val="InChapter"/>
    <w:basedOn w:val="Heading3"/>
    <w:rsid w:val="00B74BDD"/>
    <w:pPr>
      <w:spacing w:after="240"/>
      <w:outlineLvl w:val="9"/>
    </w:pPr>
    <w:rPr>
      <w:noProof/>
    </w:rPr>
  </w:style>
  <w:style w:type="paragraph" w:styleId="Index2">
    <w:name w:val="index 2"/>
    <w:basedOn w:val="Normal"/>
    <w:next w:val="Normal"/>
    <w:semiHidden/>
    <w:rsid w:val="00B74BDD"/>
    <w:pPr>
      <w:tabs>
        <w:tab w:val="right" w:pos="4176"/>
      </w:tabs>
      <w:ind w:left="568" w:hanging="284"/>
    </w:pPr>
    <w:rPr>
      <w:rFonts w:ascii="Garamond" w:hAnsi="Garamond"/>
    </w:rPr>
  </w:style>
  <w:style w:type="paragraph" w:customStyle="1" w:styleId="Byline">
    <w:name w:val="Byline"/>
    <w:rsid w:val="00B74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BDD"/>
    <w:pPr>
      <w:tabs>
        <w:tab w:val="clear" w:pos="3600"/>
        <w:tab w:val="clear" w:pos="3958"/>
      </w:tabs>
      <w:jc w:val="right"/>
    </w:pPr>
  </w:style>
  <w:style w:type="character" w:styleId="Emphasis">
    <w:name w:val="Emphasis"/>
    <w:basedOn w:val="DefaultParagraphFont"/>
    <w:qFormat/>
    <w:rsid w:val="00B74BDD"/>
    <w:rPr>
      <w:i/>
    </w:rPr>
  </w:style>
  <w:style w:type="paragraph" w:styleId="Caption">
    <w:name w:val="caption"/>
    <w:basedOn w:val="BodyText"/>
    <w:next w:val="Normal"/>
    <w:qFormat/>
    <w:rsid w:val="00B74BDD"/>
    <w:pPr>
      <w:framePr w:w="2268" w:hSpace="181" w:vSpace="181" w:wrap="around" w:vAnchor="text" w:hAnchor="page" w:x="1135" w:y="285" w:anchorLock="1"/>
    </w:pPr>
    <w:rPr>
      <w:i/>
    </w:rPr>
  </w:style>
  <w:style w:type="paragraph" w:customStyle="1" w:styleId="MiniTOCTitle">
    <w:name w:val="MiniTOCTitle"/>
    <w:basedOn w:val="Heading4"/>
    <w:rsid w:val="00B74BDD"/>
    <w:pPr>
      <w:spacing w:before="240"/>
      <w:outlineLvl w:val="9"/>
    </w:pPr>
    <w:rPr>
      <w:noProof/>
      <w:sz w:val="24"/>
    </w:rPr>
  </w:style>
  <w:style w:type="paragraph" w:customStyle="1" w:styleId="MiniTOCItem">
    <w:name w:val="MiniTOCItem"/>
    <w:basedOn w:val="ListBullet"/>
    <w:rsid w:val="00B74BDD"/>
    <w:pPr>
      <w:numPr>
        <w:numId w:val="0"/>
      </w:numPr>
      <w:tabs>
        <w:tab w:val="right" w:leader="dot" w:pos="6521"/>
      </w:tabs>
      <w:spacing w:before="0" w:after="0"/>
    </w:pPr>
  </w:style>
  <w:style w:type="paragraph" w:customStyle="1" w:styleId="TOFTitle">
    <w:name w:val="TOFTitle"/>
    <w:basedOn w:val="TOCTitle"/>
    <w:rsid w:val="00B74BDD"/>
  </w:style>
  <w:style w:type="paragraph" w:styleId="TableofFigures">
    <w:name w:val="table of figures"/>
    <w:basedOn w:val="Normal"/>
    <w:next w:val="Normal"/>
    <w:semiHidden/>
    <w:rsid w:val="00B74BDD"/>
    <w:pPr>
      <w:tabs>
        <w:tab w:val="right" w:leader="dot" w:pos="9072"/>
      </w:tabs>
      <w:ind w:left="970" w:hanging="403"/>
    </w:pPr>
    <w:rPr>
      <w:rFonts w:ascii="Times New Roman" w:hAnsi="Times New Roman"/>
      <w:b/>
    </w:rPr>
  </w:style>
  <w:style w:type="paragraph" w:styleId="ListNumber">
    <w:name w:val="List Number"/>
    <w:basedOn w:val="List"/>
    <w:rsid w:val="00B74BDD"/>
    <w:pPr>
      <w:numPr>
        <w:numId w:val="11"/>
      </w:numPr>
    </w:pPr>
  </w:style>
  <w:style w:type="character" w:customStyle="1" w:styleId="WingdingSymbols">
    <w:name w:val="Wingding Symbols"/>
    <w:rsid w:val="00B74BDD"/>
    <w:rPr>
      <w:rFonts w:ascii="Wingdings" w:hAnsi="Wingdings"/>
    </w:rPr>
  </w:style>
  <w:style w:type="paragraph" w:customStyle="1" w:styleId="TableHeading">
    <w:name w:val="Table Heading"/>
    <w:basedOn w:val="HeadingBase"/>
    <w:rsid w:val="00B74BDD"/>
    <w:pPr>
      <w:keepLines/>
      <w:pBdr>
        <w:bottom w:val="single" w:sz="6" w:space="1" w:color="918585"/>
      </w:pBdr>
      <w:spacing w:before="240"/>
    </w:pPr>
  </w:style>
  <w:style w:type="character" w:customStyle="1" w:styleId="HotSpot">
    <w:name w:val="HotSpot"/>
    <w:rsid w:val="00B74BDD"/>
    <w:rPr>
      <w:color w:val="0033CC"/>
      <w:u w:val="none"/>
    </w:rPr>
  </w:style>
  <w:style w:type="paragraph" w:customStyle="1" w:styleId="BodyTextRight">
    <w:name w:val="Body Text Right"/>
    <w:basedOn w:val="BodyText"/>
    <w:rsid w:val="00B74BDD"/>
    <w:pPr>
      <w:spacing w:before="0" w:after="0"/>
      <w:jc w:val="right"/>
    </w:pPr>
  </w:style>
  <w:style w:type="paragraph" w:styleId="Index3">
    <w:name w:val="index 3"/>
    <w:basedOn w:val="ListNumber2"/>
    <w:next w:val="Normal"/>
    <w:semiHidden/>
    <w:rsid w:val="00B74BDD"/>
    <w:pPr>
      <w:numPr>
        <w:numId w:val="0"/>
      </w:numPr>
      <w:tabs>
        <w:tab w:val="right" w:leader="dot" w:pos="4176"/>
      </w:tabs>
    </w:pPr>
  </w:style>
  <w:style w:type="paragraph" w:styleId="ListNumber2">
    <w:name w:val="List Number 2"/>
    <w:basedOn w:val="List2"/>
    <w:rsid w:val="00B74BDD"/>
    <w:pPr>
      <w:numPr>
        <w:numId w:val="10"/>
      </w:numPr>
      <w:tabs>
        <w:tab w:val="clear" w:pos="1060"/>
      </w:tabs>
    </w:pPr>
  </w:style>
  <w:style w:type="paragraph" w:customStyle="1" w:styleId="MarginNote">
    <w:name w:val="Margin Note"/>
    <w:basedOn w:val="BodyText"/>
    <w:rsid w:val="00B74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BDD"/>
    <w:rPr>
      <w:sz w:val="32"/>
    </w:rPr>
  </w:style>
  <w:style w:type="paragraph" w:customStyle="1" w:styleId="HeadingProcedure">
    <w:name w:val="Heading Procedure"/>
    <w:basedOn w:val="HeadingBase"/>
    <w:next w:val="Normal"/>
    <w:rsid w:val="00B74BDD"/>
    <w:pPr>
      <w:tabs>
        <w:tab w:val="left" w:pos="0"/>
      </w:tabs>
      <w:spacing w:before="120" w:after="60"/>
    </w:pPr>
    <w:rPr>
      <w:i/>
      <w:color w:val="918585"/>
      <w:sz w:val="22"/>
    </w:rPr>
  </w:style>
  <w:style w:type="paragraph" w:customStyle="1" w:styleId="TableBodyText">
    <w:name w:val="Table Body Text"/>
    <w:basedOn w:val="BodyText"/>
    <w:rsid w:val="00B74BDD"/>
    <w:pPr>
      <w:spacing w:before="60" w:after="60"/>
    </w:pPr>
  </w:style>
  <w:style w:type="paragraph" w:styleId="ListContinue">
    <w:name w:val="List Continue"/>
    <w:basedOn w:val="List"/>
    <w:rsid w:val="00B74BDD"/>
    <w:pPr>
      <w:ind w:firstLine="0"/>
    </w:pPr>
  </w:style>
  <w:style w:type="paragraph" w:customStyle="1" w:styleId="ListNote">
    <w:name w:val="List Note"/>
    <w:basedOn w:val="List"/>
    <w:rsid w:val="00B74BDD"/>
    <w:pPr>
      <w:pBdr>
        <w:top w:val="single" w:sz="6" w:space="2" w:color="918585"/>
        <w:bottom w:val="single" w:sz="6" w:space="2" w:color="918585"/>
      </w:pBdr>
      <w:tabs>
        <w:tab w:val="left" w:pos="1021"/>
      </w:tabs>
      <w:ind w:firstLine="0"/>
    </w:pPr>
  </w:style>
  <w:style w:type="paragraph" w:customStyle="1" w:styleId="Warning">
    <w:name w:val="Warning"/>
    <w:basedOn w:val="BodyText"/>
    <w:rsid w:val="00B74BDD"/>
    <w:pPr>
      <w:shd w:val="clear" w:color="auto" w:fill="D9D9D9"/>
      <w:tabs>
        <w:tab w:val="left" w:pos="992"/>
      </w:tabs>
      <w:ind w:left="119" w:right="119"/>
    </w:pPr>
    <w:rPr>
      <w:sz w:val="20"/>
    </w:rPr>
  </w:style>
  <w:style w:type="paragraph" w:customStyle="1" w:styleId="MarginIcons">
    <w:name w:val="Margin Icons"/>
    <w:basedOn w:val="BodyText"/>
    <w:rsid w:val="00B74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BDD"/>
    <w:rPr>
      <w:rFonts w:ascii="Courier New" w:hAnsi="Courier New"/>
    </w:rPr>
  </w:style>
  <w:style w:type="paragraph" w:customStyle="1" w:styleId="NoteBullet">
    <w:name w:val="Note Bullet"/>
    <w:basedOn w:val="Note"/>
    <w:rsid w:val="00B74BDD"/>
    <w:pPr>
      <w:tabs>
        <w:tab w:val="clear" w:pos="680"/>
      </w:tabs>
      <w:spacing w:before="60" w:after="60"/>
    </w:pPr>
  </w:style>
  <w:style w:type="paragraph" w:customStyle="1" w:styleId="SubHeading2">
    <w:name w:val="SubHeading2"/>
    <w:basedOn w:val="HeadingBase"/>
    <w:rsid w:val="00B74BDD"/>
    <w:pPr>
      <w:spacing w:before="240" w:after="60"/>
    </w:pPr>
    <w:rPr>
      <w:sz w:val="20"/>
    </w:rPr>
  </w:style>
  <w:style w:type="paragraph" w:customStyle="1" w:styleId="SubHeading1">
    <w:name w:val="SubHeading1"/>
    <w:basedOn w:val="HeadingBase"/>
    <w:rsid w:val="00B74BDD"/>
    <w:pPr>
      <w:spacing w:before="240" w:after="60"/>
    </w:pPr>
    <w:rPr>
      <w:color w:val="918585"/>
      <w:sz w:val="22"/>
    </w:rPr>
  </w:style>
  <w:style w:type="paragraph" w:customStyle="1" w:styleId="SideHeading">
    <w:name w:val="Side Heading"/>
    <w:basedOn w:val="HeadingBase"/>
    <w:rsid w:val="00B74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BDD"/>
    <w:pPr>
      <w:numPr>
        <w:numId w:val="12"/>
      </w:numPr>
    </w:pPr>
  </w:style>
  <w:style w:type="paragraph" w:styleId="PlainText">
    <w:name w:val="Plain Text"/>
    <w:basedOn w:val="Normal"/>
    <w:link w:val="PlainTextChar"/>
    <w:rsid w:val="00B74BDD"/>
    <w:rPr>
      <w:sz w:val="20"/>
    </w:rPr>
  </w:style>
  <w:style w:type="character" w:customStyle="1" w:styleId="PlainTextChar">
    <w:name w:val="Plain Text Char"/>
    <w:basedOn w:val="DefaultParagraphFont"/>
    <w:link w:val="PlainText"/>
    <w:rsid w:val="00B74BDD"/>
    <w:rPr>
      <w:rFonts w:ascii="Courier New" w:eastAsia="Times New Roman" w:hAnsi="Courier New" w:cs="Times New Roman"/>
      <w:sz w:val="20"/>
      <w:szCs w:val="20"/>
      <w:lang w:eastAsia="en-US"/>
    </w:rPr>
  </w:style>
  <w:style w:type="character" w:customStyle="1" w:styleId="MenuOption">
    <w:name w:val="Menu Option"/>
    <w:basedOn w:val="DefaultParagraphFont"/>
    <w:rsid w:val="00B74BDD"/>
    <w:rPr>
      <w:b/>
      <w:smallCaps/>
    </w:rPr>
  </w:style>
  <w:style w:type="paragraph" w:customStyle="1" w:styleId="TableListNumber">
    <w:name w:val="Table List Number"/>
    <w:basedOn w:val="ListNumber"/>
    <w:rsid w:val="00B74BDD"/>
    <w:pPr>
      <w:numPr>
        <w:numId w:val="0"/>
      </w:numPr>
    </w:pPr>
  </w:style>
  <w:style w:type="paragraph" w:styleId="TOC4">
    <w:name w:val="toc 4"/>
    <w:basedOn w:val="TOCBase"/>
    <w:next w:val="Normal"/>
    <w:semiHidden/>
    <w:rsid w:val="00B74BDD"/>
    <w:pPr>
      <w:tabs>
        <w:tab w:val="right" w:leader="dot" w:pos="9071"/>
      </w:tabs>
      <w:ind w:left="1701"/>
    </w:pPr>
  </w:style>
  <w:style w:type="paragraph" w:customStyle="1" w:styleId="ListAlpha">
    <w:name w:val="List Alpha"/>
    <w:basedOn w:val="List"/>
    <w:rsid w:val="00B74BDD"/>
    <w:pPr>
      <w:numPr>
        <w:numId w:val="9"/>
      </w:numPr>
    </w:pPr>
  </w:style>
  <w:style w:type="paragraph" w:customStyle="1" w:styleId="ListAlpha2">
    <w:name w:val="List Alpha 2"/>
    <w:basedOn w:val="List2"/>
    <w:rsid w:val="00B74BDD"/>
    <w:pPr>
      <w:numPr>
        <w:numId w:val="8"/>
      </w:numPr>
    </w:pPr>
  </w:style>
  <w:style w:type="paragraph" w:styleId="List2">
    <w:name w:val="List 2"/>
    <w:basedOn w:val="BodyText"/>
    <w:rsid w:val="00B74BDD"/>
    <w:pPr>
      <w:tabs>
        <w:tab w:val="left" w:pos="680"/>
      </w:tabs>
      <w:spacing w:before="60" w:after="60"/>
      <w:ind w:left="680" w:hanging="340"/>
    </w:pPr>
  </w:style>
  <w:style w:type="paragraph" w:styleId="List3">
    <w:name w:val="List 3"/>
    <w:basedOn w:val="BodyText"/>
    <w:rsid w:val="00B74BDD"/>
    <w:pPr>
      <w:tabs>
        <w:tab w:val="left" w:pos="1021"/>
      </w:tabs>
      <w:spacing w:before="60" w:after="60"/>
      <w:ind w:left="1020" w:hanging="340"/>
    </w:pPr>
  </w:style>
  <w:style w:type="paragraph" w:styleId="List4">
    <w:name w:val="List 4"/>
    <w:basedOn w:val="BodyText"/>
    <w:rsid w:val="00B74BDD"/>
    <w:pPr>
      <w:tabs>
        <w:tab w:val="left" w:pos="1361"/>
      </w:tabs>
      <w:spacing w:before="60" w:after="60"/>
      <w:ind w:left="1361" w:hanging="340"/>
    </w:pPr>
  </w:style>
  <w:style w:type="paragraph" w:styleId="List5">
    <w:name w:val="List 5"/>
    <w:basedOn w:val="BodyText"/>
    <w:rsid w:val="00B74BDD"/>
    <w:pPr>
      <w:tabs>
        <w:tab w:val="left" w:pos="1701"/>
      </w:tabs>
      <w:spacing w:before="60" w:after="60"/>
      <w:ind w:left="1701" w:hanging="340"/>
    </w:pPr>
  </w:style>
  <w:style w:type="paragraph" w:styleId="ListBullet3">
    <w:name w:val="List Bullet 3"/>
    <w:basedOn w:val="List3"/>
    <w:rsid w:val="00B74BDD"/>
    <w:pPr>
      <w:numPr>
        <w:numId w:val="15"/>
      </w:numPr>
      <w:tabs>
        <w:tab w:val="clear" w:pos="1021"/>
      </w:tabs>
      <w:ind w:left="1037" w:hanging="357"/>
    </w:pPr>
  </w:style>
  <w:style w:type="paragraph" w:styleId="ListBullet4">
    <w:name w:val="List Bullet 4"/>
    <w:basedOn w:val="List4"/>
    <w:rsid w:val="00B74BDD"/>
    <w:pPr>
      <w:numPr>
        <w:numId w:val="3"/>
      </w:numPr>
    </w:pPr>
  </w:style>
  <w:style w:type="paragraph" w:styleId="ListBullet5">
    <w:name w:val="List Bullet 5"/>
    <w:basedOn w:val="List5"/>
    <w:rsid w:val="00B74BDD"/>
    <w:pPr>
      <w:numPr>
        <w:numId w:val="4"/>
      </w:numPr>
    </w:pPr>
  </w:style>
  <w:style w:type="paragraph" w:styleId="ListContinue2">
    <w:name w:val="List Continue 2"/>
    <w:basedOn w:val="List2"/>
    <w:rsid w:val="00B74BDD"/>
    <w:pPr>
      <w:ind w:firstLine="0"/>
    </w:pPr>
  </w:style>
  <w:style w:type="paragraph" w:styleId="ListContinue3">
    <w:name w:val="List Continue 3"/>
    <w:basedOn w:val="List3"/>
    <w:rsid w:val="00B74BDD"/>
    <w:pPr>
      <w:ind w:left="1021" w:firstLine="0"/>
    </w:pPr>
  </w:style>
  <w:style w:type="paragraph" w:styleId="ListContinue4">
    <w:name w:val="List Continue 4"/>
    <w:basedOn w:val="List4"/>
    <w:rsid w:val="00B74BDD"/>
    <w:pPr>
      <w:ind w:firstLine="0"/>
    </w:pPr>
  </w:style>
  <w:style w:type="paragraph" w:styleId="ListContinue5">
    <w:name w:val="List Continue 5"/>
    <w:basedOn w:val="List5"/>
    <w:rsid w:val="00B74BDD"/>
    <w:pPr>
      <w:ind w:firstLine="0"/>
    </w:pPr>
  </w:style>
  <w:style w:type="paragraph" w:styleId="ListNumber3">
    <w:name w:val="List Number 3"/>
    <w:basedOn w:val="List3"/>
    <w:rsid w:val="00B74BDD"/>
    <w:pPr>
      <w:numPr>
        <w:numId w:val="5"/>
      </w:numPr>
    </w:pPr>
  </w:style>
  <w:style w:type="paragraph" w:styleId="ListNumber4">
    <w:name w:val="List Number 4"/>
    <w:basedOn w:val="List4"/>
    <w:rsid w:val="00B74BDD"/>
    <w:pPr>
      <w:numPr>
        <w:numId w:val="6"/>
      </w:numPr>
    </w:pPr>
  </w:style>
  <w:style w:type="paragraph" w:styleId="ListNumber5">
    <w:name w:val="List Number 5"/>
    <w:basedOn w:val="List5"/>
    <w:rsid w:val="00B74BDD"/>
    <w:pPr>
      <w:numPr>
        <w:numId w:val="7"/>
      </w:numPr>
    </w:pPr>
  </w:style>
  <w:style w:type="paragraph" w:styleId="BlockText">
    <w:name w:val="Block Text"/>
    <w:basedOn w:val="Normal"/>
    <w:rsid w:val="00B74BDD"/>
    <w:pPr>
      <w:spacing w:after="120"/>
      <w:ind w:left="1440" w:right="1440"/>
    </w:pPr>
  </w:style>
  <w:style w:type="character" w:customStyle="1" w:styleId="Subscript">
    <w:name w:val="Subscript"/>
    <w:basedOn w:val="DefaultParagraphFont"/>
    <w:rsid w:val="00B74BDD"/>
    <w:rPr>
      <w:sz w:val="16"/>
      <w:vertAlign w:val="subscript"/>
    </w:rPr>
  </w:style>
  <w:style w:type="character" w:customStyle="1" w:styleId="Superscript">
    <w:name w:val="Superscript"/>
    <w:basedOn w:val="DefaultParagraphFont"/>
    <w:rsid w:val="00B74BDD"/>
    <w:rPr>
      <w:sz w:val="16"/>
      <w:vertAlign w:val="superscript"/>
    </w:rPr>
  </w:style>
  <w:style w:type="character" w:customStyle="1" w:styleId="Symbols">
    <w:name w:val="Symbols"/>
    <w:basedOn w:val="DefaultParagraphFont"/>
    <w:rsid w:val="00B74BDD"/>
    <w:rPr>
      <w:rFonts w:ascii="Symbol" w:hAnsi="Symbol"/>
    </w:rPr>
  </w:style>
  <w:style w:type="character" w:customStyle="1" w:styleId="MenuOptions">
    <w:name w:val="Menu Options"/>
    <w:basedOn w:val="DefaultParagraphFont"/>
    <w:rsid w:val="00B74BDD"/>
    <w:rPr>
      <w:rFonts w:ascii="Arial Narrow" w:hAnsi="Arial Narrow"/>
      <w:smallCaps/>
    </w:rPr>
  </w:style>
  <w:style w:type="character" w:customStyle="1" w:styleId="Buttons">
    <w:name w:val="Buttons"/>
    <w:basedOn w:val="DefaultParagraphFont"/>
    <w:rsid w:val="00B74BDD"/>
    <w:rPr>
      <w:b/>
    </w:rPr>
  </w:style>
  <w:style w:type="character" w:customStyle="1" w:styleId="Underlined">
    <w:name w:val="Underlined"/>
    <w:basedOn w:val="DefaultParagraphFont"/>
    <w:rsid w:val="00B74BDD"/>
    <w:rPr>
      <w:u w:val="single"/>
    </w:rPr>
  </w:style>
  <w:style w:type="paragraph" w:customStyle="1" w:styleId="TableBodyTextRight">
    <w:name w:val="Table Body Text Right"/>
    <w:basedOn w:val="TableBodyText"/>
    <w:rsid w:val="00B74BDD"/>
    <w:pPr>
      <w:widowControl w:val="0"/>
      <w:autoSpaceDE w:val="0"/>
      <w:autoSpaceDN w:val="0"/>
      <w:adjustRightInd w:val="0"/>
      <w:jc w:val="right"/>
    </w:pPr>
    <w:rPr>
      <w:rFonts w:cs="Arial"/>
      <w:szCs w:val="18"/>
    </w:rPr>
  </w:style>
  <w:style w:type="paragraph" w:customStyle="1" w:styleId="CopyrightText">
    <w:name w:val="Copyright Text"/>
    <w:basedOn w:val="BodyText"/>
    <w:rsid w:val="00B74BDD"/>
    <w:rPr>
      <w:sz w:val="18"/>
    </w:rPr>
  </w:style>
  <w:style w:type="paragraph" w:customStyle="1" w:styleId="BodySmallRight">
    <w:name w:val="Body Small Right"/>
    <w:basedOn w:val="BodyTextRight"/>
    <w:rsid w:val="00B74BDD"/>
    <w:rPr>
      <w:sz w:val="18"/>
      <w:szCs w:val="18"/>
    </w:rPr>
  </w:style>
  <w:style w:type="paragraph" w:customStyle="1" w:styleId="MarginEdition">
    <w:name w:val="Margin Edition"/>
    <w:basedOn w:val="MarginNote"/>
    <w:rsid w:val="00B74BDD"/>
    <w:pPr>
      <w:spacing w:before="0" w:after="0"/>
    </w:pPr>
    <w:rPr>
      <w:rFonts w:ascii="Times New Roman" w:hAnsi="Times New Roman"/>
      <w:color w:val="999999"/>
    </w:rPr>
  </w:style>
  <w:style w:type="paragraph" w:customStyle="1" w:styleId="Spacer">
    <w:name w:val="Spacer"/>
    <w:basedOn w:val="Normal"/>
    <w:rsid w:val="00B74BDD"/>
    <w:rPr>
      <w:sz w:val="2"/>
      <w:szCs w:val="2"/>
    </w:rPr>
  </w:style>
  <w:style w:type="character" w:customStyle="1" w:styleId="Small">
    <w:name w:val="Small"/>
    <w:basedOn w:val="DefaultParagraphFont"/>
    <w:rsid w:val="00B74BDD"/>
    <w:rPr>
      <w:sz w:val="16"/>
    </w:rPr>
  </w:style>
  <w:style w:type="paragraph" w:customStyle="1" w:styleId="WideTable">
    <w:name w:val="Wide Table"/>
    <w:basedOn w:val="Normal"/>
    <w:rsid w:val="00B74BDD"/>
    <w:pPr>
      <w:ind w:left="-1418"/>
    </w:pPr>
    <w:rPr>
      <w:sz w:val="2"/>
      <w:szCs w:val="2"/>
    </w:rPr>
  </w:style>
  <w:style w:type="character" w:styleId="PageNumber">
    <w:name w:val="page number"/>
    <w:basedOn w:val="DefaultParagraphFont"/>
    <w:rsid w:val="00B74BDD"/>
  </w:style>
  <w:style w:type="paragraph" w:styleId="Quote">
    <w:name w:val="Quote"/>
    <w:basedOn w:val="Heading1"/>
    <w:link w:val="QuoteChar"/>
    <w:qFormat/>
    <w:rsid w:val="00B74BDD"/>
    <w:rPr>
      <w:b w:val="0"/>
      <w:sz w:val="72"/>
      <w:szCs w:val="72"/>
      <w:lang w:val="en-NZ"/>
    </w:rPr>
  </w:style>
  <w:style w:type="character" w:customStyle="1" w:styleId="QuoteChar">
    <w:name w:val="Quote Char"/>
    <w:basedOn w:val="DefaultParagraphFont"/>
    <w:link w:val="Quote"/>
    <w:rsid w:val="00B74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BDD"/>
    <w:pPr>
      <w:pageBreakBefore/>
    </w:pPr>
  </w:style>
  <w:style w:type="paragraph" w:customStyle="1" w:styleId="Border">
    <w:name w:val="Border"/>
    <w:basedOn w:val="Normal"/>
    <w:qFormat/>
    <w:rsid w:val="00B74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BDD"/>
    <w:rPr>
      <w:b/>
      <w:bCs/>
      <w:i/>
      <w:iCs/>
      <w:color w:val="auto"/>
    </w:rPr>
  </w:style>
  <w:style w:type="paragraph" w:styleId="IntenseQuote">
    <w:name w:val="Intense Quote"/>
    <w:basedOn w:val="Normal"/>
    <w:next w:val="Normal"/>
    <w:link w:val="IntenseQuoteChar"/>
    <w:uiPriority w:val="30"/>
    <w:qFormat/>
    <w:rsid w:val="00B74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BDD"/>
    <w:rPr>
      <w:smallCaps/>
      <w:color w:val="auto"/>
      <w:u w:val="single"/>
    </w:rPr>
  </w:style>
  <w:style w:type="character" w:styleId="IntenseReference">
    <w:name w:val="Intense Reference"/>
    <w:basedOn w:val="DefaultParagraphFont"/>
    <w:uiPriority w:val="32"/>
    <w:qFormat/>
    <w:rsid w:val="00B74BDD"/>
    <w:rPr>
      <w:b/>
      <w:bCs/>
      <w:smallCaps/>
      <w:color w:val="auto"/>
      <w:spacing w:val="5"/>
      <w:u w:val="single"/>
    </w:rPr>
  </w:style>
  <w:style w:type="paragraph" w:customStyle="1" w:styleId="2ColumnHeading">
    <w:name w:val="2Column Heading"/>
    <w:basedOn w:val="BodyText"/>
    <w:qFormat/>
    <w:rsid w:val="00B74BDD"/>
    <w:pPr>
      <w:spacing w:after="60"/>
      <w:ind w:left="-2268"/>
    </w:pPr>
    <w:rPr>
      <w:b/>
    </w:rPr>
  </w:style>
  <w:style w:type="paragraph" w:customStyle="1" w:styleId="Heading1TOC">
    <w:name w:val="Heading1 TOC"/>
    <w:basedOn w:val="Normal"/>
    <w:qFormat/>
    <w:rsid w:val="00B74BDD"/>
    <w:pPr>
      <w:spacing w:before="240" w:after="120"/>
    </w:pPr>
    <w:rPr>
      <w:rFonts w:ascii="Times New Roman" w:hAnsi="Times New Roman"/>
      <w:b/>
      <w:sz w:val="32"/>
    </w:rPr>
  </w:style>
  <w:style w:type="paragraph" w:customStyle="1" w:styleId="Heading2TOC">
    <w:name w:val="Heading2 TOC"/>
    <w:basedOn w:val="Normal"/>
    <w:qFormat/>
    <w:rsid w:val="00B74BDD"/>
    <w:pPr>
      <w:spacing w:before="240" w:after="60"/>
    </w:pPr>
    <w:rPr>
      <w:rFonts w:ascii="Times New Roman" w:hAnsi="Times New Roman"/>
      <w:b/>
      <w:sz w:val="28"/>
    </w:rPr>
  </w:style>
  <w:style w:type="character" w:customStyle="1" w:styleId="Underline">
    <w:name w:val="Underline"/>
    <w:basedOn w:val="DefaultParagraphFont"/>
    <w:qFormat/>
    <w:rsid w:val="00B74BDD"/>
    <w:rPr>
      <w:u w:val="single"/>
    </w:rPr>
  </w:style>
  <w:style w:type="character" w:customStyle="1" w:styleId="BoldandItalics">
    <w:name w:val="Bold and Italics"/>
    <w:qFormat/>
    <w:rsid w:val="00B74BDD"/>
    <w:rPr>
      <w:b/>
      <w:i/>
      <w:u w:val="none"/>
    </w:rPr>
  </w:style>
  <w:style w:type="paragraph" w:styleId="BalloonText">
    <w:name w:val="Balloon Text"/>
    <w:basedOn w:val="Normal"/>
    <w:link w:val="BalloonTextChar"/>
    <w:rsid w:val="00B74BDD"/>
    <w:rPr>
      <w:rFonts w:ascii="Tahoma" w:hAnsi="Tahoma" w:cs="Tahoma"/>
      <w:sz w:val="16"/>
      <w:szCs w:val="16"/>
    </w:rPr>
  </w:style>
  <w:style w:type="character" w:customStyle="1" w:styleId="BalloonTextChar">
    <w:name w:val="Balloon Text Char"/>
    <w:basedOn w:val="DefaultParagraphFont"/>
    <w:link w:val="BalloonText"/>
    <w:rsid w:val="00B74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BDD"/>
    <w:rPr>
      <w:b/>
      <w:color w:val="660033"/>
      <w:spacing w:val="0"/>
    </w:rPr>
  </w:style>
  <w:style w:type="paragraph" w:customStyle="1" w:styleId="Nameditemlist">
    <w:name w:val="Named item list"/>
    <w:basedOn w:val="BodyText"/>
    <w:qFormat/>
    <w:rsid w:val="00B74B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2033</Words>
  <Characters>12542</Characters>
  <Application>Microsoft Office Word</Application>
  <DocSecurity>0</DocSecurity>
  <Lines>500</Lines>
  <Paragraphs>194</Paragraphs>
  <ScaleCrop>false</ScaleCrop>
  <Company>Author-it Software Corporation Ltd.</Company>
  <LinksUpToDate>false</LinksUpToDate>
  <CharactersWithSpaces>14427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UEENEED123A Design and implement wireless LANs/WANs for internetworking systems</dc:title>
  <dc:subject>Approved</dc:subject>
  <dc:creator>E-OZ Training Standards</dc:creator>
  <cp:keywords>Release: 1</cp:keywords>
  <dc:description>Review Date: 12 April 2008</dc:description>
  <cp:lastModifiedBy>TPCMS</cp:lastModifiedBy>
  <cp:revision>3</cp:revision>
  <dcterms:created xsi:type="dcterms:W3CDTF">2013-10-25T06:04:00Z</dcterms:created>
  <dcterms:modified xsi:type="dcterms:W3CDTF">2013-10-25T06:04:00Z</dcterms:modified>
</cp:coreProperties>
</file>