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2AC" w:rsidP="004542AC">
      <w:pPr>
        <w:pStyle w:val="Title"/>
      </w:pPr>
      <w:bookmarkStart w:id="0" w:name="_GoBack"/>
      <w:bookmarkEnd w:id="0"/>
      <w:r>
        <w:fldChar w:fldCharType="begin"/>
      </w:r>
      <w:r>
        <w:instrText xml:space="preserve"> TITLE   \* MERGEFORMAT </w:instrText>
      </w:r>
      <w:r>
        <w:fldChar w:fldCharType="separate"/>
      </w:r>
      <w:r>
        <w:t>UEENEED119A Design and implement advanced routing for internetworking systems</w:t>
      </w:r>
      <w:r>
        <w:fldChar w:fldCharType="end"/>
      </w:r>
    </w:p>
    <w:p w:rsidR="004542AC" w:rsidP="004542AC">
      <w:pPr>
        <w:pStyle w:val="Version"/>
        <w:sectPr w:rsidSect="00427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2DD" w:rsidP="004272DD">
      <w:pPr>
        <w:pStyle w:val="SuperHeading"/>
      </w:pPr>
      <w:r w:rsidRPr="004272DD">
        <w:t>UEENEED119A Design and implement advanced routing for internetworking systems</w:t>
      </w:r>
    </w:p>
    <w:p w:rsidR="00000000" w:rsidRPr="004272DD" w:rsidP="004272DD">
      <w:pPr>
        <w:pStyle w:val="Heading1"/>
      </w:pPr>
      <w:bookmarkStart w:id="1" w:name="O_416597"/>
      <w:bookmarkEnd w:id="1"/>
      <w:r w:rsidRPr="004272DD">
        <w:t>Modification History</w:t>
      </w:r>
    </w:p>
    <w:p w:rsidR="00000000" w:rsidRPr="004272DD" w:rsidP="004272DD">
      <w:pPr>
        <w:pStyle w:val="BodyText"/>
      </w:pPr>
      <w:r w:rsidRPr="004272DD">
        <w:t>Not applicable.</w:t>
      </w:r>
    </w:p>
    <w:p w:rsidR="00000000" w:rsidRPr="004272DD" w:rsidP="004272DD">
      <w:pPr>
        <w:pStyle w:val="AllowPageBreak"/>
      </w:pPr>
    </w:p>
    <w:p w:rsidR="00000000" w:rsidRPr="004272DD" w:rsidP="004272DD">
      <w:pPr>
        <w:pStyle w:val="Heading1"/>
      </w:pPr>
      <w:bookmarkStart w:id="2" w:name="O_416595"/>
      <w:bookmarkEnd w:id="2"/>
      <w:r w:rsidRPr="004272DD">
        <w:t>Unit Descriptor</w:t>
      </w:r>
    </w:p>
    <w:tbl>
      <w:tblPr>
        <w:tblW w:w="0" w:type="auto"/>
        <w:tblLayout w:type="fixed"/>
        <w:tblCellMar>
          <w:left w:w="62" w:type="dxa"/>
          <w:right w:w="62" w:type="dxa"/>
        </w:tblCellMar>
        <w:tblLook w:val="0000"/>
      </w:tblPr>
      <w:tblGrid>
        <w:gridCol w:w="2700"/>
        <w:gridCol w:w="5760"/>
      </w:tblGrid>
      <w:tr w:rsidTr="004542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Un</w:t>
            </w:r>
            <w:r w:rsidRPr="004272DD">
              <w:rPr>
                <w:rStyle w:val="SpecialBold"/>
              </w:rPr>
              <w:t>it Descriptor</w:t>
            </w:r>
          </w:p>
        </w:tc>
        <w:tc>
          <w:tcPr>
            <w:tcW w:w="57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1)</w:t>
            </w:r>
            <w:r w:rsidRPr="004272DD">
              <w:t xml:space="preserve"> </w:t>
            </w:r>
            <w:r w:rsidRPr="004272DD">
              <w:rPr>
                <w:rStyle w:val="SpecialBold"/>
              </w:rPr>
              <w:t>Scope:</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72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1.1) Descriptor</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 xml:space="preserve">This unit covers the design, implementation and performance monitoring of Internetworking systems. It encompasses safe working practice, evaluating </w:t>
            </w:r>
            <w:r w:rsidRPr="004272DD">
              <w:t>customer requirements, applying sound design principles, complying with regulation and standards, incorporation and advance configuration of remote access and documentation of design and performance monitoring.</w:t>
            </w:r>
          </w:p>
          <w:p w:rsidR="00000000" w:rsidRPr="004272DD" w:rsidP="004272DD">
            <w:pPr>
              <w:pStyle w:val="BodyText"/>
            </w:pPr>
            <w:r w:rsidRPr="004272DD">
              <w:t xml:space="preserve">Note: </w:t>
            </w:r>
            <w:r w:rsidRPr="004272DD">
              <w:br/>
              <w:t>This unit applies to all aspects of El</w:t>
            </w:r>
            <w:r w:rsidRPr="004272DD">
              <w:t>ectrotechnology – engineering applications only. For general competencies related to Information Technologies refer to the latest endorsed IT Training Package.</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3" w:name="O_416584"/>
      <w:bookmarkEnd w:id="3"/>
      <w:r w:rsidRPr="004272DD">
        <w:t>Application of the Unit</w:t>
      </w:r>
    </w:p>
    <w:tbl>
      <w:tblPr>
        <w:tblW w:w="0" w:type="auto"/>
        <w:tblLayout w:type="fixed"/>
        <w:tblCellMar>
          <w:left w:w="62" w:type="dxa"/>
          <w:right w:w="62" w:type="dxa"/>
        </w:tblCellMar>
        <w:tblLook w:val="0000"/>
      </w:tblPr>
      <w:tblGrid>
        <w:gridCol w:w="2672"/>
        <w:gridCol w:w="5699"/>
      </w:tblGrid>
      <w:tr w:rsidTr="004542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2)</w:t>
            </w:r>
          </w:p>
        </w:tc>
      </w:tr>
      <w:tr w:rsidTr="004542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This unit applies to any recognised development program that leads to the acquisition of a formal award at AQF level 5 or higher.</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4" w:name="O_416591"/>
      <w:bookmarkEnd w:id="4"/>
      <w:r w:rsidRPr="004272DD">
        <w:t>Licensing/Regulatory Information</w:t>
      </w:r>
    </w:p>
    <w:tbl>
      <w:tblPr>
        <w:tblW w:w="0" w:type="auto"/>
        <w:tblLayout w:type="fixed"/>
        <w:tblCellMar>
          <w:left w:w="62" w:type="dxa"/>
          <w:right w:w="62" w:type="dxa"/>
        </w:tblCellMar>
        <w:tblLook w:val="0000"/>
      </w:tblPr>
      <w:tblGrid>
        <w:gridCol w:w="2700"/>
        <w:gridCol w:w="5760"/>
      </w:tblGrid>
      <w:tr w:rsidTr="004542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 xml:space="preserve">3) </w:t>
            </w:r>
          </w:p>
        </w:tc>
      </w:tr>
      <w:tr w:rsidTr="004542A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 xml:space="preserve">The skills and knowledge described in this unit </w:t>
            </w:r>
            <w:r w:rsidRPr="004272DD">
              <w:t xml:space="preserve">do not require a license to practice in the workplace. However, practice in this unit is subject to regulations directly </w:t>
            </w:r>
            <w:r w:rsidRPr="004272DD">
              <w:t>related to occupational health and safety and where applicable contracts of training such as apprenticeships.</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5" w:name="O_416592"/>
      <w:bookmarkEnd w:id="5"/>
      <w:r w:rsidRPr="004272DD">
        <w:t>Pre-Requisites</w:t>
      </w:r>
    </w:p>
    <w:tbl>
      <w:tblPr>
        <w:tblW w:w="0" w:type="auto"/>
        <w:tblLayout w:type="fixed"/>
        <w:tblCellMar>
          <w:left w:w="62" w:type="dxa"/>
          <w:right w:w="62" w:type="dxa"/>
        </w:tblCellMar>
        <w:tblLook w:val="0000"/>
      </w:tblPr>
      <w:tblGrid>
        <w:gridCol w:w="2700"/>
        <w:gridCol w:w="1440"/>
        <w:gridCol w:w="4320"/>
      </w:tblGrid>
      <w:tr w:rsidTr="004542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 xml:space="preserve">4) </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4.1)</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Granting competency in this unit shall be made only after competency in the following unit(s) has/have been confirmed.</w:t>
            </w:r>
          </w:p>
        </w:tc>
      </w:tr>
      <w:tr w:rsidTr="004542A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UEENEEE101A</w:t>
            </w:r>
          </w:p>
        </w:tc>
        <w:tc>
          <w:tcPr>
            <w:tcW w:w="432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Apply Occupational Health Safety regulations, codes and practices in the workplace</w:t>
            </w:r>
          </w:p>
        </w:tc>
      </w:tr>
    </w:tbl>
    <w:p w:rsidR="00000000" w:rsidRPr="004272DD" w:rsidP="004272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542A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 xml:space="preserve">4.2) </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Participants are best equipped to achieve competency in this unit if they have reading, writing and numeracy skill</w:t>
            </w:r>
            <w:r w:rsidRPr="004272DD">
              <w:t>s indicated by the following scales. Description of each scale is given in Volume 2, Part 3 ‘Literacy and Numeracy’</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Reading</w:t>
            </w:r>
          </w:p>
        </w:tc>
        <w:tc>
          <w:tcPr>
            <w:tcW w:w="81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5</w:t>
            </w:r>
          </w:p>
        </w:tc>
        <w:tc>
          <w:tcPr>
            <w:tcW w:w="99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Writing</w:t>
            </w: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5</w:t>
            </w:r>
          </w:p>
        </w:tc>
        <w:tc>
          <w:tcPr>
            <w:tcW w:w="12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Numeracy</w:t>
            </w:r>
          </w:p>
        </w:tc>
        <w:tc>
          <w:tcPr>
            <w:tcW w:w="72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5</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6" w:name="O_416588"/>
      <w:bookmarkEnd w:id="6"/>
      <w:r w:rsidRPr="004272DD">
        <w:t>Employability Skills Information</w:t>
      </w:r>
    </w:p>
    <w:tbl>
      <w:tblPr>
        <w:tblW w:w="0" w:type="auto"/>
        <w:tblLayout w:type="fixed"/>
        <w:tblCellMar>
          <w:left w:w="62" w:type="dxa"/>
          <w:right w:w="62" w:type="dxa"/>
        </w:tblCellMar>
        <w:tblLook w:val="0000"/>
      </w:tblPr>
      <w:tblGrid>
        <w:gridCol w:w="2700"/>
        <w:gridCol w:w="5760"/>
      </w:tblGrid>
      <w:tr w:rsidTr="004542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 xml:space="preserve">5) </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272DD">
              <w:t>requirements.</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7" w:name="O_416587"/>
      <w:bookmarkEnd w:id="7"/>
      <w:r w:rsidRPr="004272DD">
        <w:t>Elements and Performance Criteria Pre-Content</w:t>
      </w:r>
    </w:p>
    <w:tbl>
      <w:tblPr>
        <w:tblW w:w="0" w:type="auto"/>
        <w:tblLayout w:type="fixed"/>
        <w:tblCellMar>
          <w:left w:w="62" w:type="dxa"/>
          <w:right w:w="62" w:type="dxa"/>
        </w:tblCellMar>
        <w:tblLook w:val="0000"/>
      </w:tblPr>
      <w:tblGrid>
        <w:gridCol w:w="2700"/>
        <w:gridCol w:w="5760"/>
      </w:tblGrid>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6)</w:t>
            </w:r>
            <w:r w:rsidRPr="004272D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Performance Criteria describe the required performance needed to demonstrate achievement of the element. Assessment of performance is to be consistent with the Evidence Guide.</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8" w:name="O_416586"/>
      <w:bookmarkEnd w:id="8"/>
      <w:r w:rsidRPr="004272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42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PERFORMANCE CRITER</w:t>
            </w:r>
            <w:r w:rsidRPr="004272DD">
              <w:rPr>
                <w:rStyle w:val="SpecialBold"/>
              </w:rPr>
              <w:t>IA</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w:t>
            </w:r>
          </w:p>
        </w:tc>
        <w:tc>
          <w:tcPr>
            <w:tcW w:w="2296"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1.1</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OHS processes and procedures for a given work area are identified, obtained and understood.</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1.2</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Established OHS risk control measures and procedures are followed in preparation for the work.</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1.3</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brief for the advanced routing is developed and documented in consultation with person(s) of higher authority.</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1.4</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Work team/group is arranged of appropriately competent persons in accordance with skills required to meet work outcomes and organisation’s established procedures.</w:t>
            </w:r>
          </w:p>
        </w:tc>
      </w:tr>
      <w:tr w:rsidTr="004542AC">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1.5</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Activities are planned to meet scheduled timelines in consultation with others involve</w:t>
            </w:r>
            <w:r w:rsidRPr="004272DD">
              <w:t>d in the work.</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1.6</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Strategies are implemented to ensure network development is carried out efficiently.</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w:t>
            </w:r>
          </w:p>
        </w:tc>
        <w:tc>
          <w:tcPr>
            <w:tcW w:w="2296"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2.1</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Internetworking system is designed to comply with design brief and consideration of economical and appropriately effective design solutions.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2.2</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Advanced routing technologies are included in the Internetworking system design. (See Note)</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2.3</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Internetw</w:t>
            </w:r>
            <w:r w:rsidRPr="004272DD">
              <w:t>orking system design includes specification of required media that is compliant with industry standards.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2.4</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Internetworking system design is documented in accordance with organisation policies and procedures.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2.5</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 xml:space="preserve">Internetworking system design is presented and discussed with person(s) of higher authority. </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2.6</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Alterations to the Internetworking system design resulting from the presentation/discussion are negotiated with person(s) of higher authority within the co</w:t>
            </w:r>
            <w:r w:rsidRPr="004272DD">
              <w:t xml:space="preserve">nstraints of organisation’s policy. </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2.7</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Final Internetworking system design is documented and approval obtained from person(s) of higher authority</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w:t>
            </w:r>
          </w:p>
        </w:tc>
        <w:tc>
          <w:tcPr>
            <w:tcW w:w="2296"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3.1</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Activities are planned to meet scheduled timelines in consultat</w:t>
            </w:r>
            <w:r w:rsidRPr="004272DD">
              <w:t>ion with others involved in the work.</w:t>
            </w:r>
          </w:p>
        </w:tc>
      </w:tr>
      <w:tr w:rsidTr="004542AC">
        <w:tblPrEx>
          <w:tblW w:w="0" w:type="auto"/>
          <w:tblLayout w:type="fixed"/>
          <w:tblCellMar>
            <w:left w:w="62" w:type="dxa"/>
            <w:right w:w="62" w:type="dxa"/>
          </w:tblCellMar>
          <w:tblLook w:val="0000"/>
        </w:tblPrEx>
        <w:trPr>
          <w:trHeight w:val="31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3.2</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Appropriate development tools and software are selected based on specified requirements and performance standard.</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3.3</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Knowledge of Internetworking arrangements and protocols is applied to installing, configuring and testing advance routing technologies.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3.4</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System malfunctions are identified during testing and rectified using logical techniques drawing knowledge of Int</w:t>
            </w:r>
            <w:r w:rsidRPr="004272DD">
              <w:t>ernetworking arrangements and protocol.</w:t>
            </w:r>
          </w:p>
        </w:tc>
      </w:tr>
      <w:tr w:rsidTr="004542A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3.5</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Approaches to issues/problems are analysed to provide most effective solutions.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3.6</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Quality of work is monitored against personal performance agreement and/or established organisational or professional standards.</w:t>
            </w:r>
          </w:p>
        </w:tc>
      </w:tr>
      <w:tr w:rsidTr="004542A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3.7</w:t>
            </w:r>
          </w:p>
        </w:tc>
        <w:tc>
          <w:tcPr>
            <w:tcW w:w="48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Final Internetworking system design and implementation are documented in accordance organisation’s established procedure</w:t>
            </w:r>
            <w:r w:rsidRPr="004272DD">
              <w:t>s.</w:t>
            </w:r>
          </w:p>
        </w:tc>
      </w:tr>
      <w:tr w:rsidTr="004542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Note.</w:t>
            </w:r>
          </w:p>
          <w:p w:rsidR="00000000" w:rsidRPr="004272DD" w:rsidP="004272DD">
            <w:pPr>
              <w:pStyle w:val="BodyText"/>
            </w:pPr>
            <w:r w:rsidRPr="004272DD">
              <w:t>Examples of advanced routing technologies are scalable IP addresses, technologies to redistribute and support multiple, advanced, IP routing protocols such as OSPF, EIGRP, and BGP, access lists (security) and edge router connectivity into BGP networks</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9" w:name="O_416594"/>
      <w:bookmarkEnd w:id="9"/>
      <w:r w:rsidRPr="004272DD">
        <w:t>Required Skills and Knowledge</w:t>
      </w:r>
    </w:p>
    <w:tbl>
      <w:tblPr>
        <w:tblW w:w="0" w:type="auto"/>
        <w:tblLayout w:type="fixed"/>
        <w:tblCellMar>
          <w:left w:w="62" w:type="dxa"/>
          <w:right w:w="62" w:type="dxa"/>
        </w:tblCellMar>
        <w:tblLook w:val="0000"/>
      </w:tblPr>
      <w:tblGrid>
        <w:gridCol w:w="8460"/>
      </w:tblGrid>
      <w:tr w:rsidTr="004542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REQUIRED SKILLS AND KNOWLEDGE</w:t>
            </w:r>
          </w:p>
        </w:tc>
      </w:tr>
      <w:tr w:rsidTr="004542A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8)</w:t>
            </w:r>
            <w:r w:rsidRPr="004272DD">
              <w:t xml:space="preserve"> This describes the essential skills and knowledge and their level, required for this unit.</w:t>
            </w:r>
          </w:p>
          <w:p w:rsidR="00000000" w:rsidRPr="004272DD" w:rsidP="004272DD">
            <w:pPr>
              <w:pStyle w:val="BodyText"/>
            </w:pPr>
            <w:r w:rsidRPr="004272DD">
              <w:t>Evidence shall show that knowledge has been acquired of safe working practices and designing and implementing Internetworking systems - advanced routing.</w:t>
            </w:r>
          </w:p>
          <w:p w:rsidR="00000000" w:rsidRPr="004272DD" w:rsidP="004272DD">
            <w:pPr>
              <w:pStyle w:val="BodyText"/>
            </w:pPr>
            <w:r w:rsidRPr="004272DD">
              <w:t xml:space="preserve">All knowledge and skills detailed in this unit should be contextualised to current industry practices </w:t>
            </w:r>
            <w:r w:rsidRPr="004272DD">
              <w:t>and technologies.</w:t>
            </w:r>
          </w:p>
          <w:p w:rsidR="00000000" w:rsidRPr="004272DD" w:rsidP="004272DD">
            <w:pPr>
              <w:pStyle w:val="BodyText"/>
            </w:pPr>
            <w:r w:rsidRPr="004272DD">
              <w:rPr>
                <w:rStyle w:val="SpecialBold"/>
              </w:rPr>
              <w:t>KS01-ED119A</w:t>
            </w:r>
            <w:r w:rsidRPr="004272DD">
              <w:rPr>
                <w:rStyle w:val="SpecialBold"/>
              </w:rPr>
              <w:tab/>
              <w:t xml:space="preserve">               Advanced routing methods and protocols</w:t>
            </w:r>
          </w:p>
          <w:p w:rsidR="00000000" w:rsidRPr="004272DD" w:rsidP="004272DD">
            <w:pPr>
              <w:pStyle w:val="BodyText"/>
            </w:pPr>
            <w:r w:rsidRPr="004272DD">
              <w:t>Evidence shall show an understanding of routing methods and protocols to an extent indicated by the following aspects</w:t>
            </w:r>
          </w:p>
          <w:p w:rsidR="00000000" w:rsidRPr="004272DD" w:rsidP="004272DD">
            <w:pPr>
              <w:pStyle w:val="BodyText"/>
            </w:pPr>
            <w:r w:rsidRPr="004272DD">
              <w:t>T1</w:t>
            </w:r>
            <w:r w:rsidRPr="004272DD">
              <w:tab/>
              <w:t>The Routing Process</w:t>
            </w:r>
          </w:p>
          <w:p w:rsidR="00000000" w:rsidRPr="004272DD" w:rsidP="004272DD">
            <w:pPr>
              <w:pStyle w:val="ListBullet"/>
            </w:pPr>
            <w:r w:rsidRPr="004272DD">
              <w:t>Routing table establishment</w:t>
            </w:r>
          </w:p>
          <w:p w:rsidR="00000000" w:rsidRPr="004272DD" w:rsidP="004272DD">
            <w:pPr>
              <w:pStyle w:val="ListBullet"/>
            </w:pPr>
            <w:r w:rsidRPr="004272DD">
              <w:t>Rou</w:t>
            </w:r>
            <w:r w:rsidRPr="004272DD">
              <w:t>ting advertisement methods</w:t>
            </w:r>
          </w:p>
          <w:p w:rsidR="00000000" w:rsidRPr="004272DD" w:rsidP="004272DD">
            <w:pPr>
              <w:pStyle w:val="BodyText"/>
            </w:pPr>
            <w:r w:rsidRPr="004272DD">
              <w:t>T2</w:t>
            </w:r>
            <w:r w:rsidRPr="004272DD">
              <w:tab/>
              <w:t>Scalable Internet Protocol (IP) addresses encompassing:</w:t>
            </w:r>
          </w:p>
          <w:p w:rsidR="00000000" w:rsidRPr="004272DD" w:rsidP="004272DD">
            <w:pPr>
              <w:pStyle w:val="ListBullet"/>
            </w:pPr>
            <w:r w:rsidRPr="004272DD">
              <w:t>Scaling with IPv4</w:t>
            </w:r>
          </w:p>
          <w:p w:rsidR="00000000" w:rsidRPr="004272DD" w:rsidP="004272DD">
            <w:pPr>
              <w:pStyle w:val="ListBullet"/>
            </w:pPr>
            <w:r w:rsidRPr="004272DD">
              <w:t>Variable Length subnet Mask (VLSM) and supernetting</w:t>
            </w:r>
          </w:p>
          <w:p w:rsidR="00000000" w:rsidRPr="004272DD" w:rsidP="004272DD">
            <w:pPr>
              <w:pStyle w:val="ListBullet"/>
            </w:pPr>
            <w:r w:rsidRPr="004272DD">
              <w:t xml:space="preserve">IPv6 </w:t>
            </w:r>
          </w:p>
          <w:p w:rsidR="00000000" w:rsidRPr="004272DD" w:rsidP="004272DD">
            <w:pPr>
              <w:pStyle w:val="ListBullet"/>
            </w:pPr>
            <w:r w:rsidRPr="004272DD">
              <w:t>Network Address Translation (NAT) and Port Address Translation (PAT)</w:t>
            </w:r>
          </w:p>
          <w:p w:rsidR="00000000" w:rsidRPr="004272DD" w:rsidP="004272DD">
            <w:pPr>
              <w:pStyle w:val="BodyText"/>
            </w:pPr>
            <w:r w:rsidRPr="004272DD">
              <w:t>T3</w:t>
            </w:r>
            <w:r w:rsidRPr="004272DD">
              <w:tab/>
              <w:t>Routing protocols in c</w:t>
            </w:r>
            <w:r w:rsidRPr="004272DD">
              <w:t>urrent use.</w:t>
            </w:r>
          </w:p>
          <w:p w:rsidR="00000000" w:rsidRPr="004272DD" w:rsidP="004272DD">
            <w:pPr>
              <w:pStyle w:val="ListContinue2"/>
            </w:pPr>
            <w:r w:rsidRPr="004272DD">
              <w:t>Note.</w:t>
            </w:r>
          </w:p>
          <w:p w:rsidR="00000000" w:rsidRPr="004272DD" w:rsidP="004272DD">
            <w:pPr>
              <w:pStyle w:val="ListContinue2"/>
            </w:pPr>
            <w:r w:rsidRPr="004272DD">
              <w:t xml:space="preserve">1. Examples include Routing Information Protocol (RIPv2), Enhanced Interior Gateway Protocol (EIGRP), Open Shortest Path First (OSPF) covering single, multi and NBMA areas and Virtual links, On-Demand Routing (ODR), Border Gateway Protocols (BGP) covering </w:t>
            </w:r>
            <w:r w:rsidRPr="004272DD">
              <w:t>applications, communities, peer groups and route reflectors.</w:t>
            </w:r>
          </w:p>
          <w:p w:rsidR="00000000" w:rsidRPr="004272DD" w:rsidP="004272DD">
            <w:pPr>
              <w:pStyle w:val="ListContinue2"/>
            </w:pPr>
            <w:r w:rsidRPr="004272DD">
              <w:t>2. Other relevant routing protocols may be included.</w:t>
            </w:r>
          </w:p>
          <w:p w:rsidR="00000000" w:rsidRPr="004272DD" w:rsidP="004272DD">
            <w:pPr>
              <w:pStyle w:val="BodyText"/>
            </w:pPr>
            <w:r w:rsidRPr="004272DD">
              <w:t>T4</w:t>
            </w:r>
            <w:r w:rsidRPr="004272DD">
              <w:tab/>
              <w:t>Multi-protocol routing encompassing:</w:t>
            </w:r>
          </w:p>
          <w:p w:rsidR="00000000" w:rsidRPr="004272DD" w:rsidP="004272DD">
            <w:pPr>
              <w:pStyle w:val="ListBullet"/>
            </w:pPr>
            <w:r w:rsidRPr="004272DD">
              <w:t>Static and floating static routes</w:t>
            </w:r>
          </w:p>
          <w:p w:rsidR="00000000" w:rsidRPr="004272DD" w:rsidP="004272DD">
            <w:pPr>
              <w:pStyle w:val="ListBullet"/>
            </w:pPr>
            <w:r w:rsidRPr="004272DD">
              <w:t>Route optimisation</w:t>
            </w:r>
          </w:p>
          <w:p w:rsidR="00000000" w:rsidRPr="004272DD" w:rsidP="004272DD">
            <w:pPr>
              <w:pStyle w:val="ListBullet"/>
            </w:pPr>
            <w:r w:rsidRPr="004272DD">
              <w:t>Route redistribution</w:t>
            </w:r>
          </w:p>
          <w:p w:rsidR="00000000" w:rsidRPr="004272DD" w:rsidP="004272DD">
            <w:pPr>
              <w:pStyle w:val="ListBullet"/>
            </w:pPr>
            <w:r w:rsidRPr="004272DD">
              <w:t>Route filtering</w:t>
            </w:r>
          </w:p>
          <w:p w:rsidR="00000000" w:rsidRPr="004272DD" w:rsidP="004272DD">
            <w:pPr>
              <w:pStyle w:val="BodyText"/>
            </w:pPr>
            <w:r w:rsidRPr="004272DD">
              <w:t>T5</w:t>
            </w:r>
            <w:r w:rsidRPr="004272DD">
              <w:tab/>
              <w:t>Default r</w:t>
            </w:r>
            <w:r w:rsidRPr="004272DD">
              <w:t>oute</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10" w:name="O_416589"/>
      <w:bookmarkEnd w:id="10"/>
      <w:r w:rsidRPr="004272DD">
        <w:t>Evidence Guide</w:t>
      </w:r>
    </w:p>
    <w:tbl>
      <w:tblPr>
        <w:tblW w:w="0" w:type="auto"/>
        <w:tblLayout w:type="fixed"/>
        <w:tblCellMar>
          <w:left w:w="62" w:type="dxa"/>
          <w:right w:w="62" w:type="dxa"/>
        </w:tblCellMar>
        <w:tblLook w:val="0000"/>
      </w:tblPr>
      <w:tblGrid>
        <w:gridCol w:w="8460"/>
      </w:tblGrid>
      <w:tr w:rsidTr="004542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EVIDENCE GUIDE</w:t>
            </w:r>
          </w:p>
        </w:tc>
      </w:tr>
      <w:tr w:rsidTr="004542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9)</w:t>
            </w:r>
            <w:r w:rsidRPr="004272DD">
              <w:t xml:space="preserve"> This provides essential advice for assessment of the unit and must be read in conjunction with </w:t>
            </w:r>
            <w:r w:rsidRPr="004272DD">
              <w:t>the performance criteria and the range statement of the unit and the Training Package Assessment Guidelines.</w:t>
            </w:r>
          </w:p>
          <w:p w:rsidR="00000000" w:rsidRPr="004272DD" w:rsidP="004272DD">
            <w:pPr>
              <w:pStyle w:val="BodyText"/>
            </w:pPr>
            <w:r w:rsidRPr="004272DD">
              <w:t>The Evidence Guide forms an integral part of this unit. It must be used in conjunction with all parts of this unit and performed in accordance with</w:t>
            </w:r>
            <w:r w:rsidRPr="004272DD">
              <w:t xml:space="preserve"> the Assessment Guidelines of this Training Package.</w:t>
            </w:r>
          </w:p>
        </w:tc>
      </w:tr>
    </w:tbl>
    <w:p w:rsidR="00000000" w:rsidRPr="004272DD" w:rsidP="004272DD">
      <w:pPr>
        <w:pStyle w:val="BodyText"/>
      </w:pPr>
    </w:p>
    <w:tbl>
      <w:tblPr>
        <w:tblW w:w="0" w:type="auto"/>
        <w:tblLayout w:type="fixed"/>
        <w:tblCellMar>
          <w:left w:w="62" w:type="dxa"/>
          <w:right w:w="62" w:type="dxa"/>
        </w:tblCellMar>
        <w:tblLook w:val="0000"/>
      </w:tblPr>
      <w:tblGrid>
        <w:gridCol w:w="1890"/>
        <w:gridCol w:w="6570"/>
      </w:tblGrid>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9.1)</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 xml:space="preserve">Longitudinal competency development approaches to assessment, such as Profiling, require data to be reliably gathered in a form that can be </w:t>
            </w:r>
            <w:r w:rsidRPr="004272DD">
              <w:t>consistently interpreted over time. This approach is best utilised in Apprenticeship programs and reduces assessment intervention. It is the industry-preferred model for apprenticeships. However, where summative (or final) assessment is used it is to inclu</w:t>
            </w:r>
            <w:r w:rsidRPr="004272DD">
              <w:t>de the application of the competency in the normal work environment or, at a minimum, the application of the competency in a realistically simulated work environment. It is recognised that, in some circumstances, assessment in part or full can occur outsid</w:t>
            </w:r>
            <w:r w:rsidRPr="004272DD">
              <w:t>e the workplace. However, it must be in accordance with industry and regulatory policy.</w:t>
            </w:r>
          </w:p>
          <w:p w:rsidR="00000000" w:rsidRPr="004272DD" w:rsidP="004272DD">
            <w:pPr>
              <w:pStyle w:val="BodyText"/>
            </w:pPr>
            <w:r w:rsidRPr="004272DD">
              <w:t>Methods chosen for a particular assessment will be influenced by various factors. These include the extent of the assessment, the most effective locations for the asses</w:t>
            </w:r>
            <w:r w:rsidRPr="004272DD">
              <w:t>sment activities to take place, access to physical resources, additional safety measures that may be required and the critical nature of the competencies being assessed.</w:t>
            </w:r>
          </w:p>
          <w:p w:rsidR="00000000" w:rsidRPr="004272DD" w:rsidP="004272DD">
            <w:pPr>
              <w:pStyle w:val="BodyText"/>
            </w:pPr>
            <w:r w:rsidRPr="004272DD">
              <w:t>The critical safety nature of working with electricity, electrical equipment, gas or a</w:t>
            </w:r>
            <w:r w:rsidRPr="004272DD">
              <w:t>ny other hazardous substance/material carries risk in deeming a person competent. Sources of evidence need to be ‘rich’ in nature to minimise error in judgment.</w:t>
            </w:r>
          </w:p>
          <w:p w:rsidR="00000000" w:rsidRPr="004272DD" w:rsidP="004272DD">
            <w:pPr>
              <w:pStyle w:val="BodyText"/>
            </w:pPr>
            <w:r w:rsidRPr="004272DD">
              <w:t>Activities associated with normal everyday work have a bearing on the decision as to how much a</w:t>
            </w:r>
            <w:r w:rsidRPr="004272DD">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4272DD">
              <w:t>when choosing an assessment method and developing assessment instruments. Sample assessment instruments are included for Assessors in the Assessment Guidelines of this Training Package.</w:t>
            </w:r>
          </w:p>
        </w:tc>
      </w:tr>
    </w:tbl>
    <w:p w:rsidR="00000000" w:rsidRPr="004272DD" w:rsidP="004272DD">
      <w:pPr>
        <w:pStyle w:val="BodyText"/>
      </w:pPr>
    </w:p>
    <w:tbl>
      <w:tblPr>
        <w:tblW w:w="0" w:type="auto"/>
        <w:tblLayout w:type="fixed"/>
        <w:tblCellMar>
          <w:left w:w="62" w:type="dxa"/>
          <w:right w:w="62" w:type="dxa"/>
        </w:tblCellMar>
        <w:tblLook w:val="0000"/>
      </w:tblPr>
      <w:tblGrid>
        <w:gridCol w:w="1890"/>
        <w:gridCol w:w="1530"/>
        <w:gridCol w:w="5040"/>
      </w:tblGrid>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Critical aspects of evidence required to demonstrate competency in t</w:t>
            </w:r>
            <w:r w:rsidRPr="004272DD">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9.2)</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Before the critical aspects of evidence are considered all prerequisites shall be met.</w:t>
            </w:r>
          </w:p>
          <w:p w:rsidR="00000000" w:rsidRPr="004272DD" w:rsidP="004272DD">
            <w:pPr>
              <w:pStyle w:val="BodyText"/>
            </w:pPr>
            <w:r w:rsidRPr="004272DD">
              <w:t>Evidence for competence in this unit shall be considered holistically.  Each element and associated performance criteria shall be demonstrated on at lea</w:t>
            </w:r>
            <w:r w:rsidRPr="004272DD">
              <w:t>st two occasions in accordance with the ‘Assessment Guidelines – UEE11’.  Evidence shall also comprise:</w:t>
            </w:r>
          </w:p>
          <w:p w:rsidR="00000000" w:rsidRPr="004272DD" w:rsidP="004272DD">
            <w:pPr>
              <w:pStyle w:val="ListBullet"/>
            </w:pPr>
            <w:r w:rsidRPr="004272DD">
              <w:t>A representative body of work performance demonstrated within the timeframes typically expected of the discipline, work function and industrial environm</w:t>
            </w:r>
            <w:r w:rsidRPr="004272DD">
              <w:t>ent. In particular this shall incorporate evidence that shows a candidate is able to:</w:t>
            </w:r>
          </w:p>
          <w:p w:rsidR="00000000" w:rsidRPr="004272DD" w:rsidP="004272DD">
            <w:pPr>
              <w:pStyle w:val="ListBullet2"/>
            </w:pPr>
            <w:r w:rsidRPr="004272DD">
              <w:t xml:space="preserve">Implement Occupational Health and Safety workplace procedures and practices, including </w:t>
            </w:r>
            <w:r w:rsidRPr="004272DD">
              <w:t>the use of risk control measures as specified in the performance criteria and range statement</w:t>
            </w:r>
          </w:p>
          <w:p w:rsidR="00000000" w:rsidRPr="004272DD" w:rsidP="004272DD">
            <w:pPr>
              <w:pStyle w:val="ListBullet2"/>
            </w:pPr>
            <w:r w:rsidRPr="004272DD">
              <w:t>Apply sustainable energy principles and practices as specified in the performance criteria and range statement</w:t>
            </w:r>
          </w:p>
          <w:p w:rsidR="00000000" w:rsidRPr="004272DD" w:rsidP="004272DD">
            <w:pPr>
              <w:pStyle w:val="ListBullet2"/>
            </w:pPr>
            <w:r w:rsidRPr="004272DD">
              <w:t>Demonstrate an understanding of the essential knowl</w:t>
            </w:r>
            <w:r w:rsidRPr="004272DD">
              <w:t xml:space="preserve">edge and associated skills as described in this unit.  It may be required by some jurisdictions that RTOs provide a percentile graded result for the purpose of regulatory or licensing requirements.   </w:t>
            </w:r>
          </w:p>
          <w:p w:rsidR="00000000" w:rsidRPr="004272DD" w:rsidP="004272DD">
            <w:pPr>
              <w:pStyle w:val="ListBullet2"/>
            </w:pPr>
            <w:r w:rsidRPr="004272DD">
              <w:t>Demonstrate an appropriate level of skills enabling emp</w:t>
            </w:r>
            <w:r w:rsidRPr="004272DD">
              <w:t>loyment</w:t>
            </w:r>
          </w:p>
          <w:p w:rsidR="00000000" w:rsidRPr="004272DD" w:rsidP="004272DD">
            <w:pPr>
              <w:pStyle w:val="ListBullet2"/>
            </w:pPr>
            <w:r w:rsidRPr="004272DD">
              <w:t>Conduct work observing the relevant Anti Discrimination legislation, regulations, polices and workplace procedures</w:t>
            </w:r>
          </w:p>
          <w:p w:rsidR="00000000" w:rsidRPr="004272DD" w:rsidP="004272DD">
            <w:pPr>
              <w:pStyle w:val="ListBullet"/>
            </w:pPr>
            <w:r w:rsidRPr="004272DD">
              <w:t>Demonstrated consistent performance across a representative range of contexts from the prescribed items below:</w:t>
            </w:r>
          </w:p>
          <w:p w:rsidR="00000000" w:rsidP="004272DD">
            <w:pPr>
              <w:pStyle w:val="ListBullet2"/>
              <w:rPr>
                <w:lang w:val="en-NZ"/>
              </w:rPr>
            </w:pPr>
            <w:r w:rsidRPr="004272DD">
              <w:t xml:space="preserve">Design and implement </w:t>
            </w:r>
            <w:r w:rsidRPr="004272DD">
              <w:t>Internetworking systems – advanced routing as described in 8) and including:</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A</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Developing a design brief for advance routing in a Internetworking system.</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B</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Planning work activities including requirements for work team/group.</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C</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Designing advanced routing based on economic and effective solutions that meet with design brief requirements</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Detailing advanced routing technologies and specification for Internetworking media in the design.</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E</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Documenting and presenting design for a</w:t>
            </w:r>
            <w:r w:rsidRPr="004272DD">
              <w:t>pproval.</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F</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Implementing Internetworking system design.</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G</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Identifying and rectifying system malfunctions.</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H</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Documenting Internetworking installation and configuration activities.</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I</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 xml:space="preserve">Detail technologies and media specifications used in the design of advanced wireless LANs technologies. </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J</w:t>
            </w:r>
          </w:p>
        </w:tc>
        <w:tc>
          <w:tcPr>
            <w:tcW w:w="504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Dealing with unplanned events by drawing on essential knowledge and skills to provide appropriate solutions incorporated in a holistic assessment w</w:t>
            </w:r>
            <w:r w:rsidRPr="004272DD">
              <w:t>ith the above listed items.</w:t>
            </w:r>
          </w:p>
        </w:tc>
      </w:tr>
    </w:tbl>
    <w:p w:rsidR="00000000" w:rsidRPr="004272DD" w:rsidP="004272DD">
      <w:pPr>
        <w:pStyle w:val="BodyText"/>
      </w:pPr>
    </w:p>
    <w:tbl>
      <w:tblPr>
        <w:tblW w:w="0" w:type="auto"/>
        <w:tblLayout w:type="fixed"/>
        <w:tblCellMar>
          <w:left w:w="62" w:type="dxa"/>
          <w:right w:w="62" w:type="dxa"/>
        </w:tblCellMar>
        <w:tblLook w:val="0000"/>
      </w:tblPr>
      <w:tblGrid>
        <w:gridCol w:w="1890"/>
        <w:gridCol w:w="6570"/>
      </w:tblGrid>
      <w:tr w:rsidTr="004542A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9.3)</w:t>
            </w:r>
          </w:p>
        </w:tc>
      </w:tr>
      <w:tr w:rsidTr="004542A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This unit should be assessed as it relates to normal work practice using procedures, information and resources typical of a workplace. This should include:</w:t>
            </w:r>
          </w:p>
          <w:p w:rsidR="00000000" w:rsidRPr="004272DD" w:rsidP="004272DD">
            <w:pPr>
              <w:pStyle w:val="ListBullet"/>
            </w:pPr>
            <w:r w:rsidRPr="004272DD">
              <w:t>OHS policy and work procedures and instructions.</w:t>
            </w:r>
          </w:p>
          <w:p w:rsidR="00000000" w:rsidRPr="004272DD" w:rsidP="004272DD">
            <w:pPr>
              <w:pStyle w:val="ListBullet"/>
            </w:pPr>
            <w:r w:rsidRPr="004272DD">
              <w:t>Suitable work environment, facilities, equipment and materials to undertake actual work as prescribed in this unit.</w:t>
            </w:r>
          </w:p>
          <w:p w:rsidR="00000000" w:rsidRPr="004272DD" w:rsidP="004272DD">
            <w:pPr>
              <w:pStyle w:val="BodyText"/>
            </w:pPr>
            <w:r w:rsidRPr="004272DD">
              <w:t>Resources required to assess this unit are listed above in Context of assessment’, which sh</w:t>
            </w:r>
            <w:r w:rsidRPr="004272DD">
              <w:t>ould also be used in the formal learning/assessment environment.</w:t>
            </w:r>
          </w:p>
          <w:p w:rsidR="00000000" w:rsidRPr="004272DD" w:rsidP="004272DD">
            <w:pPr>
              <w:pStyle w:val="BodyText"/>
            </w:pPr>
            <w:r w:rsidRPr="004272DD">
              <w:t>Note:</w:t>
            </w:r>
          </w:p>
          <w:p w:rsidR="00000000" w:rsidRPr="004272DD" w:rsidP="004272DD">
            <w:pPr>
              <w:pStyle w:val="BodyText"/>
            </w:pPr>
            <w:r w:rsidRPr="004272DD">
              <w:t>Where simulation is considered a suitable strategy for assessment, conditions for assessment must be authentic and as far as possible reproduce and replicate the workplace and be consis</w:t>
            </w:r>
            <w:r w:rsidRPr="004272DD">
              <w:t>tent with the approved industry simulation policy.</w:t>
            </w:r>
          </w:p>
          <w:p w:rsidR="00000000" w:rsidRPr="004272DD" w:rsidP="004272DD">
            <w:pPr>
              <w:pStyle w:val="BodyText"/>
            </w:pPr>
            <w:r w:rsidRPr="004272DD">
              <w:t>The resources used for assessment should reflect current industry practices in relation to designing and implementing Internetworking systems – advanced routing.</w:t>
            </w:r>
          </w:p>
        </w:tc>
      </w:tr>
    </w:tbl>
    <w:p w:rsidR="00000000" w:rsidRPr="004272DD" w:rsidP="004272DD">
      <w:pPr>
        <w:pStyle w:val="BodyText"/>
      </w:pPr>
    </w:p>
    <w:tbl>
      <w:tblPr>
        <w:tblW w:w="0" w:type="auto"/>
        <w:tblLayout w:type="fixed"/>
        <w:tblCellMar>
          <w:left w:w="62" w:type="dxa"/>
          <w:right w:w="62" w:type="dxa"/>
        </w:tblCellMar>
        <w:tblLook w:val="0000"/>
      </w:tblPr>
      <w:tblGrid>
        <w:gridCol w:w="1890"/>
        <w:gridCol w:w="6570"/>
      </w:tblGrid>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9.4)</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This unit shall be assessed by methods given in Volume 1, Part 3 ‘Assessment Guidelines’.</w:t>
            </w:r>
          </w:p>
          <w:p w:rsidR="00000000" w:rsidRPr="004272DD" w:rsidP="004272DD">
            <w:pPr>
              <w:pStyle w:val="BodyText"/>
            </w:pPr>
            <w:r w:rsidRPr="004272DD">
              <w:t xml:space="preserve">Note: </w:t>
            </w:r>
          </w:p>
          <w:p w:rsidR="00000000" w:rsidRPr="004272DD" w:rsidP="004272DD">
            <w:pPr>
              <w:pStyle w:val="BodyText"/>
            </w:pPr>
            <w:r w:rsidRPr="004272DD">
              <w:t>Competent performance with inherent safe working practices is expected in the Industry to which this unit applies. This requires assessment in a structured env</w:t>
            </w:r>
            <w:r w:rsidRPr="004272DD">
              <w:t>ironment which is primarily intended for learning/assessment and incorporates all necessary equipment and facilities for learners to develop and demonstrate the essential knowledge and skills described in this unit.</w:t>
            </w:r>
          </w:p>
        </w:tc>
      </w:tr>
    </w:tbl>
    <w:p w:rsidR="00000000" w:rsidRPr="004272DD" w:rsidP="004272DD">
      <w:pPr>
        <w:pStyle w:val="BodyText"/>
      </w:pPr>
    </w:p>
    <w:tbl>
      <w:tblPr>
        <w:tblW w:w="0" w:type="auto"/>
        <w:tblLayout w:type="fixed"/>
        <w:tblCellMar>
          <w:left w:w="62" w:type="dxa"/>
          <w:right w:w="62" w:type="dxa"/>
        </w:tblCellMar>
        <w:tblLook w:val="0000"/>
      </w:tblPr>
      <w:tblGrid>
        <w:gridCol w:w="1890"/>
        <w:gridCol w:w="1530"/>
        <w:gridCol w:w="5040"/>
      </w:tblGrid>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Concurrent assessment and relationship</w:t>
            </w:r>
            <w:r w:rsidRPr="004272DD">
              <w:rPr>
                <w:rStyle w:val="SpecialBold"/>
              </w:rPr>
              <w:t xml:space="preserve">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9.5)</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For optimisation of training and assessment effort, competency development in this unit may be arranged concurrently with unit:</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UEENEED118A</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and implement Internetworking systems</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UEENEED120A</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and implement Internetworking systems — remote access</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UEENEED121A</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and implement Internetworking systems — multi-layer switching</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UEENEED122A</w:t>
            </w:r>
          </w:p>
        </w:tc>
        <w:tc>
          <w:tcPr>
            <w:tcW w:w="504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Design and implement Internetworking systems — security</w:t>
            </w:r>
          </w:p>
        </w:tc>
      </w:tr>
      <w:tr w:rsidTr="004542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t>UEENEED123A</w:t>
            </w:r>
          </w:p>
        </w:tc>
        <w:tc>
          <w:tcPr>
            <w:tcW w:w="504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Design and implement Interne</w:t>
            </w:r>
            <w:r w:rsidRPr="004272DD">
              <w:t>tworking systems — wireless LANs/WANs</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11" w:name="O_416593"/>
      <w:bookmarkEnd w:id="11"/>
      <w:r w:rsidRPr="004272DD">
        <w:t>Range Statement</w:t>
      </w:r>
    </w:p>
    <w:tbl>
      <w:tblPr>
        <w:tblW w:w="0" w:type="auto"/>
        <w:tblLayout w:type="fixed"/>
        <w:tblCellMar>
          <w:left w:w="62" w:type="dxa"/>
          <w:right w:w="62" w:type="dxa"/>
        </w:tblCellMar>
        <w:tblLook w:val="0000"/>
      </w:tblPr>
      <w:tblGrid>
        <w:gridCol w:w="8460"/>
      </w:tblGrid>
      <w:tr w:rsidTr="004542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RANGE STATEMENT</w:t>
            </w:r>
          </w:p>
        </w:tc>
      </w:tr>
      <w:tr w:rsidTr="004542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10)</w:t>
            </w:r>
            <w:r w:rsidRPr="004272DD">
              <w:t xml:space="preserve"> This relates to the unit as a whole providing the range of contexts and conditions to which </w:t>
            </w:r>
            <w:r w:rsidRPr="004272DD">
              <w:t>the performance criteria apply. It allows for different work environments and situations that will affect performance.</w:t>
            </w:r>
          </w:p>
          <w:p w:rsidR="00000000" w:rsidRPr="004272DD" w:rsidP="004272DD">
            <w:pPr>
              <w:pStyle w:val="BodyText"/>
            </w:pPr>
            <w:r w:rsidRPr="004272DD">
              <w:t>This unit shall be demonstrated in relation to designing and implementing Internetworking systems - advanced routing between two Local Ar</w:t>
            </w:r>
            <w:r w:rsidRPr="004272DD">
              <w:t xml:space="preserve">ea Networks (LANs) to form a Wide Area Network (WAN) or a LAN and the Internet. </w:t>
            </w:r>
          </w:p>
          <w:p w:rsidR="00000000" w:rsidRPr="004272DD" w:rsidP="004272DD">
            <w:pPr>
              <w:pStyle w:val="BodyText"/>
            </w:pPr>
            <w:r w:rsidRPr="004272DD">
              <w:t xml:space="preserve">Generic terms used throughout this Vocational Standard shall be regarded as part of the Range Statement in which competency is demonstrated. The definition of these and other </w:t>
            </w:r>
            <w:r w:rsidRPr="004272DD">
              <w:t>terms that apply are given in Volume 2, Part 2.1.</w:t>
            </w:r>
          </w:p>
        </w:tc>
      </w:tr>
    </w:tbl>
    <w:p w:rsidR="00000000" w:rsidRPr="004272DD" w:rsidP="004272DD">
      <w:pPr>
        <w:pStyle w:val="BodyText"/>
      </w:pPr>
    </w:p>
    <w:p w:rsidR="00000000" w:rsidRPr="004272DD" w:rsidP="004272DD">
      <w:pPr>
        <w:pStyle w:val="AllowPageBreak"/>
      </w:pPr>
    </w:p>
    <w:p w:rsidR="00000000" w:rsidRPr="004272DD" w:rsidP="004272DD">
      <w:pPr>
        <w:pStyle w:val="Heading1"/>
      </w:pPr>
      <w:bookmarkStart w:id="12" w:name="O_416596"/>
      <w:bookmarkEnd w:id="12"/>
      <w:r w:rsidRPr="004272DD">
        <w:t>Unit Sector(s)</w:t>
      </w:r>
    </w:p>
    <w:p w:rsidR="00000000" w:rsidRPr="004272DD" w:rsidP="004272DD">
      <w:pPr>
        <w:pStyle w:val="BodyText"/>
      </w:pPr>
      <w:r w:rsidRPr="004272DD">
        <w:t>Not applicable.</w:t>
      </w:r>
    </w:p>
    <w:p w:rsidR="00000000" w:rsidRPr="004272DD" w:rsidP="004272DD">
      <w:pPr>
        <w:pStyle w:val="AllowPageBreak"/>
      </w:pPr>
    </w:p>
    <w:p w:rsidR="00000000" w:rsidRPr="004272DD" w:rsidP="004272DD">
      <w:pPr>
        <w:pStyle w:val="Heading1"/>
      </w:pPr>
      <w:bookmarkStart w:id="13" w:name="O_416585"/>
      <w:bookmarkEnd w:id="13"/>
      <w:r w:rsidRPr="004272DD">
        <w:t>Competency Field</w:t>
      </w:r>
    </w:p>
    <w:tbl>
      <w:tblPr>
        <w:tblW w:w="0" w:type="auto"/>
        <w:tblLayout w:type="fixed"/>
        <w:tblCellMar>
          <w:left w:w="62" w:type="dxa"/>
          <w:right w:w="62" w:type="dxa"/>
        </w:tblCellMar>
        <w:tblLook w:val="0000"/>
      </w:tblPr>
      <w:tblGrid>
        <w:gridCol w:w="2700"/>
        <w:gridCol w:w="5760"/>
      </w:tblGrid>
      <w:tr w:rsidTr="004542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72DD">
            <w:pPr>
              <w:pStyle w:val="BodyText"/>
              <w:rPr>
                <w:lang w:val="en-NZ"/>
              </w:rPr>
            </w:pPr>
            <w:r w:rsidRPr="004272DD">
              <w:rPr>
                <w:rStyle w:val="SpecialBold"/>
              </w:rPr>
              <w:t xml:space="preserve">11) </w:t>
            </w:r>
          </w:p>
        </w:tc>
      </w:tr>
      <w:tr w:rsidTr="004542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2DD" w:rsidP="004272DD">
            <w:pPr>
              <w:pStyle w:val="BodyText"/>
            </w:pPr>
            <w:r w:rsidRPr="004272DD">
              <w:t>Computer Systems</w:t>
            </w:r>
          </w:p>
        </w:tc>
      </w:tr>
    </w:tbl>
    <w:p w:rsidR="00000000" w:rsidRPr="004272DD" w:rsidP="004272DD">
      <w:pPr>
        <w:pStyle w:val="BodyText"/>
      </w:pPr>
    </w:p>
    <w:p w:rsidR="00000000" w:rsidRPr="004272DD" w:rsidP="004272DD"/>
    <w:sectPr w:rsidSect="00427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2AC" w:rsidP="004542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C" w:rsidP="004272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42AC" w:rsidP="004272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42AC" w:rsidP="004272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D" w:rsidRPr="004542AC" w:rsidP="004542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C" w:rsidRPr="002D2AF8" w:rsidP="004272DD">
    <w:pPr>
      <w:pStyle w:val="Header"/>
      <w:framePr w:wrap="around"/>
    </w:pPr>
    <w:r>
      <w:fldChar w:fldCharType="begin"/>
    </w:r>
    <w:r>
      <w:instrText xml:space="preserve"> TITLE   \* MERGEFORMAT </w:instrText>
    </w:r>
    <w:r>
      <w:fldChar w:fldCharType="separate"/>
    </w:r>
    <w:r>
      <w:t>UEENEED119A Design and implement advanced routing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542AC" w:rsidP="00427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67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4E2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A0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2DD"/>
    <w:pPr>
      <w:spacing w:before="360" w:after="60"/>
      <w:outlineLvl w:val="0"/>
    </w:pPr>
    <w:rPr>
      <w:sz w:val="32"/>
    </w:rPr>
  </w:style>
  <w:style w:type="paragraph" w:styleId="Heading2">
    <w:name w:val="heading 2"/>
    <w:basedOn w:val="HeadingBase"/>
    <w:next w:val="BodyText"/>
    <w:link w:val="Heading2Char"/>
    <w:qFormat/>
    <w:rsid w:val="004272DD"/>
    <w:pPr>
      <w:keepLines/>
      <w:spacing w:before="240" w:after="120"/>
      <w:outlineLvl w:val="1"/>
    </w:pPr>
    <w:rPr>
      <w:sz w:val="28"/>
      <w:szCs w:val="40"/>
    </w:rPr>
  </w:style>
  <w:style w:type="paragraph" w:styleId="Heading3">
    <w:name w:val="heading 3"/>
    <w:basedOn w:val="HeadingBase"/>
    <w:next w:val="BodyText"/>
    <w:link w:val="Heading3Char"/>
    <w:qFormat/>
    <w:rsid w:val="004272DD"/>
    <w:pPr>
      <w:spacing w:before="180" w:after="120"/>
      <w:outlineLvl w:val="2"/>
    </w:pPr>
    <w:rPr>
      <w:spacing w:val="-10"/>
      <w:kern w:val="32"/>
    </w:rPr>
  </w:style>
  <w:style w:type="paragraph" w:styleId="Heading4">
    <w:name w:val="heading 4"/>
    <w:basedOn w:val="HeadingBase"/>
    <w:next w:val="BodyText"/>
    <w:link w:val="Heading4Char"/>
    <w:qFormat/>
    <w:rsid w:val="004272DD"/>
    <w:pPr>
      <w:spacing w:before="160" w:after="120"/>
      <w:outlineLvl w:val="3"/>
    </w:pPr>
    <w:rPr>
      <w:sz w:val="22"/>
    </w:rPr>
  </w:style>
  <w:style w:type="paragraph" w:styleId="Heading5">
    <w:name w:val="heading 5"/>
    <w:basedOn w:val="HeadingBase"/>
    <w:next w:val="Normal"/>
    <w:link w:val="Heading5Char"/>
    <w:qFormat/>
    <w:rsid w:val="004272DD"/>
    <w:pPr>
      <w:spacing w:before="80"/>
      <w:outlineLvl w:val="4"/>
    </w:pPr>
    <w:rPr>
      <w:color w:val="918585"/>
      <w:sz w:val="20"/>
    </w:rPr>
  </w:style>
  <w:style w:type="paragraph" w:styleId="Heading6">
    <w:name w:val="heading 6"/>
    <w:basedOn w:val="HeadingBase"/>
    <w:next w:val="Normal"/>
    <w:link w:val="Heading6Char"/>
    <w:qFormat/>
    <w:rsid w:val="004272DD"/>
    <w:pPr>
      <w:spacing w:before="60"/>
      <w:outlineLvl w:val="5"/>
    </w:pPr>
    <w:rPr>
      <w:color w:val="918585"/>
      <w:sz w:val="20"/>
    </w:rPr>
  </w:style>
  <w:style w:type="paragraph" w:styleId="Heading7">
    <w:name w:val="heading 7"/>
    <w:basedOn w:val="Normal"/>
    <w:next w:val="Normal"/>
    <w:link w:val="Heading7Char"/>
    <w:qFormat/>
    <w:rsid w:val="004272DD"/>
    <w:pPr>
      <w:ind w:left="720"/>
      <w:outlineLvl w:val="6"/>
    </w:pPr>
    <w:rPr>
      <w:i/>
    </w:rPr>
  </w:style>
  <w:style w:type="paragraph" w:styleId="Heading8">
    <w:name w:val="heading 8"/>
    <w:basedOn w:val="Normal"/>
    <w:next w:val="Normal"/>
    <w:link w:val="Heading8Char"/>
    <w:qFormat/>
    <w:rsid w:val="004272DD"/>
    <w:pPr>
      <w:ind w:left="720"/>
      <w:outlineLvl w:val="7"/>
    </w:pPr>
    <w:rPr>
      <w:i/>
    </w:rPr>
  </w:style>
  <w:style w:type="paragraph" w:styleId="Heading9">
    <w:name w:val="heading 9"/>
    <w:basedOn w:val="Normal"/>
    <w:next w:val="Normal"/>
    <w:link w:val="Heading9Char"/>
    <w:qFormat/>
    <w:rsid w:val="004272DD"/>
    <w:pPr>
      <w:ind w:left="720"/>
      <w:outlineLvl w:val="8"/>
    </w:pPr>
    <w:rPr>
      <w:i/>
    </w:rPr>
  </w:style>
  <w:style w:type="character" w:default="1" w:styleId="DefaultParagraphFont">
    <w:name w:val="Default Paragraph Font"/>
    <w:uiPriority w:val="1"/>
    <w:unhideWhenUsed/>
    <w:rsid w:val="00427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2DD"/>
  </w:style>
  <w:style w:type="character" w:customStyle="1" w:styleId="Heading1Char">
    <w:name w:val="Heading 1 Char"/>
    <w:basedOn w:val="DefaultParagraphFont"/>
    <w:link w:val="Heading1"/>
    <w:rsid w:val="004272DD"/>
    <w:rPr>
      <w:rFonts w:ascii="Times New Roman" w:eastAsia="Times New Roman" w:hAnsi="Times New Roman" w:cs="Times New Roman"/>
      <w:b/>
      <w:sz w:val="32"/>
      <w:szCs w:val="20"/>
      <w:lang w:eastAsia="en-US"/>
    </w:rPr>
  </w:style>
  <w:style w:type="paragraph" w:styleId="BodyText">
    <w:name w:val="Body Text"/>
    <w:basedOn w:val="Normal"/>
    <w:link w:val="BodyTextChar"/>
    <w:rsid w:val="004272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2DD"/>
    <w:rPr>
      <w:rFonts w:ascii="Times New Roman" w:eastAsia="Times New Roman" w:hAnsi="Times New Roman" w:cs="Times New Roman"/>
      <w:sz w:val="24"/>
      <w:lang w:eastAsia="en-US"/>
    </w:rPr>
  </w:style>
  <w:style w:type="paragraph" w:styleId="Footer">
    <w:name w:val="footer"/>
    <w:basedOn w:val="Normal"/>
    <w:link w:val="FooterChar"/>
    <w:rsid w:val="00427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2DD"/>
    <w:rPr>
      <w:rFonts w:ascii="Times New Roman" w:eastAsia="Times New Roman" w:hAnsi="Times New Roman" w:cs="Times New Roman"/>
      <w:sz w:val="16"/>
      <w:lang w:eastAsia="en-US"/>
    </w:rPr>
  </w:style>
  <w:style w:type="paragraph" w:styleId="ListBullet">
    <w:name w:val="List Bullet"/>
    <w:basedOn w:val="List"/>
    <w:rsid w:val="004272DD"/>
    <w:pPr>
      <w:numPr>
        <w:numId w:val="13"/>
      </w:numPr>
      <w:tabs>
        <w:tab w:val="clear" w:pos="340"/>
      </w:tabs>
      <w:spacing w:before="40" w:after="40"/>
    </w:pPr>
  </w:style>
  <w:style w:type="character" w:customStyle="1" w:styleId="SpecialBold">
    <w:name w:val="Special Bold"/>
    <w:basedOn w:val="DefaultParagraphFont"/>
    <w:rsid w:val="004272DD"/>
    <w:rPr>
      <w:b/>
      <w:spacing w:val="0"/>
    </w:rPr>
  </w:style>
  <w:style w:type="paragraph" w:styleId="ListBullet2">
    <w:name w:val="List Bullet 2"/>
    <w:basedOn w:val="List2"/>
    <w:rsid w:val="004272DD"/>
    <w:pPr>
      <w:numPr>
        <w:numId w:val="14"/>
      </w:numPr>
      <w:tabs>
        <w:tab w:val="clear" w:pos="680"/>
      </w:tabs>
    </w:pPr>
  </w:style>
  <w:style w:type="paragraph" w:customStyle="1" w:styleId="SuperHeading">
    <w:name w:val="SuperHeading"/>
    <w:basedOn w:val="Normal"/>
    <w:rsid w:val="004272DD"/>
    <w:pPr>
      <w:spacing w:before="240" w:after="120"/>
      <w:outlineLvl w:val="0"/>
    </w:pPr>
    <w:rPr>
      <w:rFonts w:ascii="Times New Roman" w:hAnsi="Times New Roman"/>
      <w:b/>
      <w:sz w:val="28"/>
    </w:rPr>
  </w:style>
  <w:style w:type="paragraph" w:customStyle="1" w:styleId="AllowPageBreak">
    <w:name w:val="AllowPageBreak"/>
    <w:rsid w:val="004272DD"/>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4272DD"/>
    <w:pPr>
      <w:ind w:firstLine="0"/>
    </w:pPr>
  </w:style>
  <w:style w:type="character" w:customStyle="1" w:styleId="Heading2Char">
    <w:name w:val="Heading 2 Char"/>
    <w:basedOn w:val="DefaultParagraphFont"/>
    <w:link w:val="Heading2"/>
    <w:rsid w:val="00427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2DD"/>
    <w:rPr>
      <w:rFonts w:ascii="Courier New" w:eastAsia="Times New Roman" w:hAnsi="Courier New" w:cs="Times New Roman"/>
      <w:i/>
      <w:szCs w:val="20"/>
      <w:lang w:eastAsia="en-US"/>
    </w:rPr>
  </w:style>
  <w:style w:type="paragraph" w:customStyle="1" w:styleId="HeadingBase">
    <w:name w:val="Heading Base"/>
    <w:rsid w:val="00427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2DD"/>
    <w:pPr>
      <w:tabs>
        <w:tab w:val="right" w:leader="dot" w:pos="9072"/>
      </w:tabs>
      <w:ind w:left="567"/>
    </w:pPr>
    <w:rPr>
      <w:szCs w:val="22"/>
    </w:rPr>
  </w:style>
  <w:style w:type="paragraph" w:customStyle="1" w:styleId="TOCBase">
    <w:name w:val="TOC Base"/>
    <w:rsid w:val="00427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2DD"/>
    <w:pPr>
      <w:tabs>
        <w:tab w:val="right" w:leader="dot" w:pos="9072"/>
      </w:tabs>
      <w:spacing w:before="40" w:after="40"/>
      <w:ind w:left="284"/>
    </w:pPr>
    <w:rPr>
      <w:rFonts w:ascii="Times New Roman" w:hAnsi="Times New Roman"/>
    </w:rPr>
  </w:style>
  <w:style w:type="paragraph" w:styleId="TOC1">
    <w:name w:val="toc 1"/>
    <w:basedOn w:val="TOCBase"/>
    <w:next w:val="Normal"/>
    <w:rsid w:val="004272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2DD"/>
    <w:pPr>
      <w:spacing w:before="5040"/>
      <w:jc w:val="center"/>
    </w:pPr>
    <w:rPr>
      <w:sz w:val="48"/>
      <w:szCs w:val="72"/>
      <w:lang w:val="en-US"/>
    </w:rPr>
  </w:style>
  <w:style w:type="character" w:customStyle="1" w:styleId="TitleChar">
    <w:name w:val="Title Char"/>
    <w:basedOn w:val="DefaultParagraphFont"/>
    <w:link w:val="Title"/>
    <w:rsid w:val="00427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2DD"/>
    <w:pPr>
      <w:tabs>
        <w:tab w:val="left" w:pos="3600"/>
        <w:tab w:val="left" w:pos="3958"/>
      </w:tabs>
    </w:pPr>
  </w:style>
  <w:style w:type="paragraph" w:styleId="List">
    <w:name w:val="List"/>
    <w:basedOn w:val="BodyText"/>
    <w:next w:val="BodyText"/>
    <w:rsid w:val="004272DD"/>
    <w:pPr>
      <w:tabs>
        <w:tab w:val="left" w:pos="340"/>
      </w:tabs>
      <w:spacing w:before="60" w:after="60"/>
      <w:ind w:left="340" w:hanging="340"/>
    </w:pPr>
  </w:style>
  <w:style w:type="paragraph" w:customStyle="1" w:styleId="Note">
    <w:name w:val="Note"/>
    <w:basedOn w:val="BodyText"/>
    <w:rsid w:val="00427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2DD"/>
    <w:pPr>
      <w:framePr w:wrap="auto" w:hAnchor="text" w:y="6049"/>
    </w:pPr>
    <w:rPr>
      <w:color w:val="000000"/>
      <w:sz w:val="40"/>
    </w:rPr>
  </w:style>
  <w:style w:type="paragraph" w:customStyle="1" w:styleId="TOCTitle">
    <w:name w:val="TOCTitle"/>
    <w:basedOn w:val="Heading1"/>
    <w:rsid w:val="004272DD"/>
    <w:pPr>
      <w:spacing w:after="240"/>
      <w:jc w:val="center"/>
      <w:outlineLvl w:val="9"/>
    </w:pPr>
    <w:rPr>
      <w:caps/>
    </w:rPr>
  </w:style>
  <w:style w:type="paragraph" w:customStyle="1" w:styleId="Version">
    <w:name w:val="Version"/>
    <w:rsid w:val="00427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2DD"/>
    <w:pPr>
      <w:keepNext w:val="0"/>
      <w:tabs>
        <w:tab w:val="right" w:pos="4176"/>
      </w:tabs>
      <w:ind w:left="198" w:hanging="198"/>
    </w:pPr>
    <w:rPr>
      <w:rFonts w:ascii="Garamond" w:hAnsi="Garamond"/>
    </w:rPr>
  </w:style>
  <w:style w:type="paragraph" w:styleId="IndexHeading">
    <w:name w:val="index heading"/>
    <w:basedOn w:val="Normal"/>
    <w:next w:val="Index1"/>
    <w:semiHidden/>
    <w:rsid w:val="004272DD"/>
    <w:pPr>
      <w:spacing w:before="120" w:after="120"/>
    </w:pPr>
    <w:rPr>
      <w:rFonts w:ascii="Arial" w:hAnsi="Arial"/>
      <w:b/>
      <w:color w:val="918585"/>
      <w:sz w:val="24"/>
    </w:rPr>
  </w:style>
  <w:style w:type="paragraph" w:styleId="Header">
    <w:name w:val="header"/>
    <w:basedOn w:val="Normal"/>
    <w:link w:val="HeaderChar"/>
    <w:rsid w:val="00427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2DD"/>
    <w:rPr>
      <w:rFonts w:ascii="Times New Roman" w:eastAsia="Times New Roman" w:hAnsi="Times New Roman" w:cs="Times New Roman"/>
      <w:sz w:val="16"/>
      <w:szCs w:val="20"/>
      <w:lang w:val="en-GB" w:eastAsia="en-US"/>
    </w:rPr>
  </w:style>
  <w:style w:type="paragraph" w:customStyle="1" w:styleId="Chapter">
    <w:name w:val="Chapter"/>
    <w:basedOn w:val="Normal"/>
    <w:rsid w:val="004272DD"/>
    <w:pPr>
      <w:spacing w:before="240"/>
    </w:pPr>
    <w:rPr>
      <w:rFonts w:ascii="Times New Roman" w:hAnsi="Times New Roman"/>
      <w:smallCaps/>
      <w:spacing w:val="80"/>
      <w:sz w:val="28"/>
    </w:rPr>
  </w:style>
  <w:style w:type="paragraph" w:customStyle="1" w:styleId="InChapter">
    <w:name w:val="InChapter"/>
    <w:basedOn w:val="Heading3"/>
    <w:rsid w:val="004272DD"/>
    <w:pPr>
      <w:spacing w:after="240"/>
      <w:outlineLvl w:val="9"/>
    </w:pPr>
    <w:rPr>
      <w:noProof/>
    </w:rPr>
  </w:style>
  <w:style w:type="paragraph" w:styleId="Index2">
    <w:name w:val="index 2"/>
    <w:basedOn w:val="Normal"/>
    <w:next w:val="Normal"/>
    <w:semiHidden/>
    <w:rsid w:val="004272DD"/>
    <w:pPr>
      <w:tabs>
        <w:tab w:val="right" w:pos="4176"/>
      </w:tabs>
      <w:ind w:left="568" w:hanging="284"/>
    </w:pPr>
    <w:rPr>
      <w:rFonts w:ascii="Garamond" w:hAnsi="Garamond"/>
    </w:rPr>
  </w:style>
  <w:style w:type="paragraph" w:customStyle="1" w:styleId="Byline">
    <w:name w:val="Byline"/>
    <w:rsid w:val="00427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2DD"/>
    <w:pPr>
      <w:tabs>
        <w:tab w:val="clear" w:pos="3600"/>
        <w:tab w:val="clear" w:pos="3958"/>
      </w:tabs>
      <w:jc w:val="right"/>
    </w:pPr>
  </w:style>
  <w:style w:type="character" w:styleId="Emphasis">
    <w:name w:val="Emphasis"/>
    <w:basedOn w:val="DefaultParagraphFont"/>
    <w:qFormat/>
    <w:rsid w:val="004272DD"/>
    <w:rPr>
      <w:i/>
    </w:rPr>
  </w:style>
  <w:style w:type="paragraph" w:styleId="Caption">
    <w:name w:val="caption"/>
    <w:basedOn w:val="BodyText"/>
    <w:next w:val="Normal"/>
    <w:qFormat/>
    <w:rsid w:val="004272DD"/>
    <w:pPr>
      <w:framePr w:w="2268" w:hSpace="181" w:vSpace="181" w:wrap="around" w:vAnchor="text" w:hAnchor="page" w:x="1135" w:y="285" w:anchorLock="1"/>
    </w:pPr>
    <w:rPr>
      <w:i/>
    </w:rPr>
  </w:style>
  <w:style w:type="paragraph" w:customStyle="1" w:styleId="MiniTOCTitle">
    <w:name w:val="MiniTOCTitle"/>
    <w:basedOn w:val="Heading4"/>
    <w:rsid w:val="004272DD"/>
    <w:pPr>
      <w:spacing w:before="240"/>
      <w:outlineLvl w:val="9"/>
    </w:pPr>
    <w:rPr>
      <w:noProof/>
      <w:sz w:val="24"/>
    </w:rPr>
  </w:style>
  <w:style w:type="paragraph" w:customStyle="1" w:styleId="MiniTOCItem">
    <w:name w:val="MiniTOCItem"/>
    <w:basedOn w:val="ListBullet"/>
    <w:rsid w:val="004272DD"/>
    <w:pPr>
      <w:numPr>
        <w:numId w:val="0"/>
      </w:numPr>
      <w:tabs>
        <w:tab w:val="right" w:leader="dot" w:pos="6521"/>
      </w:tabs>
      <w:spacing w:before="0" w:after="0"/>
    </w:pPr>
  </w:style>
  <w:style w:type="paragraph" w:customStyle="1" w:styleId="TOFTitle">
    <w:name w:val="TOFTitle"/>
    <w:basedOn w:val="TOCTitle"/>
    <w:rsid w:val="004272DD"/>
  </w:style>
  <w:style w:type="paragraph" w:styleId="TableofFigures">
    <w:name w:val="table of figures"/>
    <w:basedOn w:val="Normal"/>
    <w:next w:val="Normal"/>
    <w:semiHidden/>
    <w:rsid w:val="004272DD"/>
    <w:pPr>
      <w:tabs>
        <w:tab w:val="right" w:leader="dot" w:pos="9072"/>
      </w:tabs>
      <w:ind w:left="970" w:hanging="403"/>
    </w:pPr>
    <w:rPr>
      <w:rFonts w:ascii="Times New Roman" w:hAnsi="Times New Roman"/>
      <w:b/>
    </w:rPr>
  </w:style>
  <w:style w:type="paragraph" w:styleId="ListNumber">
    <w:name w:val="List Number"/>
    <w:basedOn w:val="List"/>
    <w:rsid w:val="004272DD"/>
    <w:pPr>
      <w:numPr>
        <w:numId w:val="11"/>
      </w:numPr>
    </w:pPr>
  </w:style>
  <w:style w:type="character" w:customStyle="1" w:styleId="WingdingSymbols">
    <w:name w:val="Wingding Symbols"/>
    <w:rsid w:val="004272DD"/>
    <w:rPr>
      <w:rFonts w:ascii="Wingdings" w:hAnsi="Wingdings"/>
    </w:rPr>
  </w:style>
  <w:style w:type="paragraph" w:customStyle="1" w:styleId="TableHeading">
    <w:name w:val="Table Heading"/>
    <w:basedOn w:val="HeadingBase"/>
    <w:rsid w:val="004272DD"/>
    <w:pPr>
      <w:keepLines/>
      <w:pBdr>
        <w:bottom w:val="single" w:sz="6" w:space="1" w:color="918585"/>
      </w:pBdr>
      <w:spacing w:before="240"/>
    </w:pPr>
  </w:style>
  <w:style w:type="character" w:customStyle="1" w:styleId="HotSpot">
    <w:name w:val="HotSpot"/>
    <w:rsid w:val="004272DD"/>
    <w:rPr>
      <w:color w:val="0033CC"/>
      <w:u w:val="none"/>
    </w:rPr>
  </w:style>
  <w:style w:type="paragraph" w:customStyle="1" w:styleId="BodyTextRight">
    <w:name w:val="Body Text Right"/>
    <w:basedOn w:val="BodyText"/>
    <w:rsid w:val="004272DD"/>
    <w:pPr>
      <w:spacing w:before="0" w:after="0"/>
      <w:jc w:val="right"/>
    </w:pPr>
  </w:style>
  <w:style w:type="paragraph" w:styleId="Index3">
    <w:name w:val="index 3"/>
    <w:basedOn w:val="ListNumber2"/>
    <w:next w:val="Normal"/>
    <w:semiHidden/>
    <w:rsid w:val="004272DD"/>
    <w:pPr>
      <w:numPr>
        <w:numId w:val="0"/>
      </w:numPr>
      <w:tabs>
        <w:tab w:val="right" w:leader="dot" w:pos="4176"/>
      </w:tabs>
    </w:pPr>
  </w:style>
  <w:style w:type="paragraph" w:styleId="ListNumber2">
    <w:name w:val="List Number 2"/>
    <w:basedOn w:val="List2"/>
    <w:rsid w:val="004272DD"/>
    <w:pPr>
      <w:numPr>
        <w:numId w:val="10"/>
      </w:numPr>
      <w:tabs>
        <w:tab w:val="clear" w:pos="1060"/>
      </w:tabs>
    </w:pPr>
  </w:style>
  <w:style w:type="paragraph" w:customStyle="1" w:styleId="MarginNote">
    <w:name w:val="Margin Note"/>
    <w:basedOn w:val="BodyText"/>
    <w:rsid w:val="00427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2DD"/>
    <w:rPr>
      <w:sz w:val="32"/>
    </w:rPr>
  </w:style>
  <w:style w:type="paragraph" w:customStyle="1" w:styleId="HeadingProcedure">
    <w:name w:val="Heading Procedure"/>
    <w:basedOn w:val="HeadingBase"/>
    <w:next w:val="Normal"/>
    <w:rsid w:val="004272DD"/>
    <w:pPr>
      <w:tabs>
        <w:tab w:val="left" w:pos="0"/>
      </w:tabs>
      <w:spacing w:before="120" w:after="60"/>
    </w:pPr>
    <w:rPr>
      <w:i/>
      <w:color w:val="918585"/>
      <w:sz w:val="22"/>
    </w:rPr>
  </w:style>
  <w:style w:type="paragraph" w:customStyle="1" w:styleId="TableBodyText">
    <w:name w:val="Table Body Text"/>
    <w:basedOn w:val="BodyText"/>
    <w:rsid w:val="004272DD"/>
    <w:pPr>
      <w:spacing w:before="60" w:after="60"/>
    </w:pPr>
  </w:style>
  <w:style w:type="paragraph" w:styleId="ListContinue">
    <w:name w:val="List Continue"/>
    <w:basedOn w:val="List"/>
    <w:rsid w:val="004272DD"/>
    <w:pPr>
      <w:ind w:firstLine="0"/>
    </w:pPr>
  </w:style>
  <w:style w:type="paragraph" w:customStyle="1" w:styleId="ListNote">
    <w:name w:val="List Note"/>
    <w:basedOn w:val="List"/>
    <w:rsid w:val="004272DD"/>
    <w:pPr>
      <w:pBdr>
        <w:top w:val="single" w:sz="6" w:space="2" w:color="918585"/>
        <w:bottom w:val="single" w:sz="6" w:space="2" w:color="918585"/>
      </w:pBdr>
      <w:tabs>
        <w:tab w:val="left" w:pos="1021"/>
      </w:tabs>
      <w:ind w:firstLine="0"/>
    </w:pPr>
  </w:style>
  <w:style w:type="paragraph" w:customStyle="1" w:styleId="Warning">
    <w:name w:val="Warning"/>
    <w:basedOn w:val="BodyText"/>
    <w:rsid w:val="004272DD"/>
    <w:pPr>
      <w:shd w:val="clear" w:color="auto" w:fill="D9D9D9"/>
      <w:tabs>
        <w:tab w:val="left" w:pos="992"/>
      </w:tabs>
      <w:ind w:left="119" w:right="119"/>
    </w:pPr>
    <w:rPr>
      <w:sz w:val="20"/>
    </w:rPr>
  </w:style>
  <w:style w:type="paragraph" w:customStyle="1" w:styleId="MarginIcons">
    <w:name w:val="Margin Icons"/>
    <w:basedOn w:val="BodyText"/>
    <w:rsid w:val="00427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2DD"/>
    <w:rPr>
      <w:rFonts w:ascii="Courier New" w:hAnsi="Courier New"/>
    </w:rPr>
  </w:style>
  <w:style w:type="paragraph" w:customStyle="1" w:styleId="NoteBullet">
    <w:name w:val="Note Bullet"/>
    <w:basedOn w:val="Note"/>
    <w:rsid w:val="004272DD"/>
    <w:pPr>
      <w:tabs>
        <w:tab w:val="clear" w:pos="680"/>
      </w:tabs>
      <w:spacing w:before="60" w:after="60"/>
    </w:pPr>
  </w:style>
  <w:style w:type="paragraph" w:customStyle="1" w:styleId="SubHeading2">
    <w:name w:val="SubHeading2"/>
    <w:basedOn w:val="HeadingBase"/>
    <w:rsid w:val="004272DD"/>
    <w:pPr>
      <w:spacing w:before="240" w:after="60"/>
    </w:pPr>
    <w:rPr>
      <w:sz w:val="20"/>
    </w:rPr>
  </w:style>
  <w:style w:type="paragraph" w:customStyle="1" w:styleId="SubHeading1">
    <w:name w:val="SubHeading1"/>
    <w:basedOn w:val="HeadingBase"/>
    <w:rsid w:val="004272DD"/>
    <w:pPr>
      <w:spacing w:before="240" w:after="60"/>
    </w:pPr>
    <w:rPr>
      <w:color w:val="918585"/>
      <w:sz w:val="22"/>
    </w:rPr>
  </w:style>
  <w:style w:type="paragraph" w:customStyle="1" w:styleId="SideHeading">
    <w:name w:val="Side Heading"/>
    <w:basedOn w:val="HeadingBase"/>
    <w:rsid w:val="00427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2DD"/>
    <w:pPr>
      <w:numPr>
        <w:numId w:val="12"/>
      </w:numPr>
    </w:pPr>
  </w:style>
  <w:style w:type="paragraph" w:styleId="PlainText">
    <w:name w:val="Plain Text"/>
    <w:basedOn w:val="Normal"/>
    <w:link w:val="PlainTextChar"/>
    <w:rsid w:val="004272DD"/>
    <w:rPr>
      <w:sz w:val="20"/>
    </w:rPr>
  </w:style>
  <w:style w:type="character" w:customStyle="1" w:styleId="PlainTextChar">
    <w:name w:val="Plain Text Char"/>
    <w:basedOn w:val="DefaultParagraphFont"/>
    <w:link w:val="PlainText"/>
    <w:rsid w:val="004272DD"/>
    <w:rPr>
      <w:rFonts w:ascii="Courier New" w:eastAsia="Times New Roman" w:hAnsi="Courier New" w:cs="Times New Roman"/>
      <w:sz w:val="20"/>
      <w:szCs w:val="20"/>
      <w:lang w:eastAsia="en-US"/>
    </w:rPr>
  </w:style>
  <w:style w:type="character" w:customStyle="1" w:styleId="MenuOption">
    <w:name w:val="Menu Option"/>
    <w:basedOn w:val="DefaultParagraphFont"/>
    <w:rsid w:val="004272DD"/>
    <w:rPr>
      <w:b/>
      <w:smallCaps/>
    </w:rPr>
  </w:style>
  <w:style w:type="paragraph" w:customStyle="1" w:styleId="TableListNumber">
    <w:name w:val="Table List Number"/>
    <w:basedOn w:val="ListNumber"/>
    <w:rsid w:val="004272DD"/>
    <w:pPr>
      <w:numPr>
        <w:numId w:val="0"/>
      </w:numPr>
    </w:pPr>
  </w:style>
  <w:style w:type="paragraph" w:styleId="TOC4">
    <w:name w:val="toc 4"/>
    <w:basedOn w:val="TOCBase"/>
    <w:next w:val="Normal"/>
    <w:semiHidden/>
    <w:rsid w:val="004272DD"/>
    <w:pPr>
      <w:tabs>
        <w:tab w:val="right" w:leader="dot" w:pos="9071"/>
      </w:tabs>
      <w:ind w:left="1701"/>
    </w:pPr>
  </w:style>
  <w:style w:type="paragraph" w:customStyle="1" w:styleId="ListAlpha">
    <w:name w:val="List Alpha"/>
    <w:basedOn w:val="List"/>
    <w:rsid w:val="004272DD"/>
    <w:pPr>
      <w:numPr>
        <w:numId w:val="9"/>
      </w:numPr>
    </w:pPr>
  </w:style>
  <w:style w:type="paragraph" w:customStyle="1" w:styleId="ListAlpha2">
    <w:name w:val="List Alpha 2"/>
    <w:basedOn w:val="List2"/>
    <w:rsid w:val="004272DD"/>
    <w:pPr>
      <w:numPr>
        <w:numId w:val="8"/>
      </w:numPr>
    </w:pPr>
  </w:style>
  <w:style w:type="paragraph" w:styleId="List2">
    <w:name w:val="List 2"/>
    <w:basedOn w:val="BodyText"/>
    <w:rsid w:val="004272DD"/>
    <w:pPr>
      <w:tabs>
        <w:tab w:val="left" w:pos="680"/>
      </w:tabs>
      <w:spacing w:before="60" w:after="60"/>
      <w:ind w:left="680" w:hanging="340"/>
    </w:pPr>
  </w:style>
  <w:style w:type="paragraph" w:styleId="List3">
    <w:name w:val="List 3"/>
    <w:basedOn w:val="BodyText"/>
    <w:rsid w:val="004272DD"/>
    <w:pPr>
      <w:tabs>
        <w:tab w:val="left" w:pos="1021"/>
      </w:tabs>
      <w:spacing w:before="60" w:after="60"/>
      <w:ind w:left="1020" w:hanging="340"/>
    </w:pPr>
  </w:style>
  <w:style w:type="paragraph" w:styleId="List4">
    <w:name w:val="List 4"/>
    <w:basedOn w:val="BodyText"/>
    <w:rsid w:val="004272DD"/>
    <w:pPr>
      <w:tabs>
        <w:tab w:val="left" w:pos="1361"/>
      </w:tabs>
      <w:spacing w:before="60" w:after="60"/>
      <w:ind w:left="1361" w:hanging="340"/>
    </w:pPr>
  </w:style>
  <w:style w:type="paragraph" w:styleId="List5">
    <w:name w:val="List 5"/>
    <w:basedOn w:val="BodyText"/>
    <w:rsid w:val="004272DD"/>
    <w:pPr>
      <w:tabs>
        <w:tab w:val="left" w:pos="1701"/>
      </w:tabs>
      <w:spacing w:before="60" w:after="60"/>
      <w:ind w:left="1701" w:hanging="340"/>
    </w:pPr>
  </w:style>
  <w:style w:type="paragraph" w:styleId="ListBullet3">
    <w:name w:val="List Bullet 3"/>
    <w:basedOn w:val="List3"/>
    <w:rsid w:val="004272DD"/>
    <w:pPr>
      <w:numPr>
        <w:numId w:val="15"/>
      </w:numPr>
      <w:tabs>
        <w:tab w:val="clear" w:pos="1021"/>
      </w:tabs>
      <w:ind w:left="1037" w:hanging="357"/>
    </w:pPr>
  </w:style>
  <w:style w:type="paragraph" w:styleId="ListBullet4">
    <w:name w:val="List Bullet 4"/>
    <w:basedOn w:val="List4"/>
    <w:rsid w:val="004272DD"/>
    <w:pPr>
      <w:numPr>
        <w:numId w:val="3"/>
      </w:numPr>
    </w:pPr>
  </w:style>
  <w:style w:type="paragraph" w:styleId="ListBullet5">
    <w:name w:val="List Bullet 5"/>
    <w:basedOn w:val="List5"/>
    <w:rsid w:val="004272DD"/>
    <w:pPr>
      <w:numPr>
        <w:numId w:val="4"/>
      </w:numPr>
    </w:pPr>
  </w:style>
  <w:style w:type="paragraph" w:styleId="ListContinue3">
    <w:name w:val="List Continue 3"/>
    <w:basedOn w:val="List3"/>
    <w:rsid w:val="004272DD"/>
    <w:pPr>
      <w:ind w:left="1021" w:firstLine="0"/>
    </w:pPr>
  </w:style>
  <w:style w:type="paragraph" w:styleId="ListContinue4">
    <w:name w:val="List Continue 4"/>
    <w:basedOn w:val="List4"/>
    <w:rsid w:val="004272DD"/>
    <w:pPr>
      <w:ind w:firstLine="0"/>
    </w:pPr>
  </w:style>
  <w:style w:type="paragraph" w:styleId="ListContinue5">
    <w:name w:val="List Continue 5"/>
    <w:basedOn w:val="List5"/>
    <w:rsid w:val="004272DD"/>
    <w:pPr>
      <w:ind w:firstLine="0"/>
    </w:pPr>
  </w:style>
  <w:style w:type="paragraph" w:styleId="ListNumber3">
    <w:name w:val="List Number 3"/>
    <w:basedOn w:val="List3"/>
    <w:rsid w:val="004272DD"/>
    <w:pPr>
      <w:numPr>
        <w:numId w:val="5"/>
      </w:numPr>
    </w:pPr>
  </w:style>
  <w:style w:type="paragraph" w:styleId="ListNumber4">
    <w:name w:val="List Number 4"/>
    <w:basedOn w:val="List4"/>
    <w:rsid w:val="004272DD"/>
    <w:pPr>
      <w:numPr>
        <w:numId w:val="6"/>
      </w:numPr>
    </w:pPr>
  </w:style>
  <w:style w:type="paragraph" w:styleId="ListNumber5">
    <w:name w:val="List Number 5"/>
    <w:basedOn w:val="List5"/>
    <w:rsid w:val="004272DD"/>
    <w:pPr>
      <w:numPr>
        <w:numId w:val="7"/>
      </w:numPr>
    </w:pPr>
  </w:style>
  <w:style w:type="paragraph" w:styleId="BlockText">
    <w:name w:val="Block Text"/>
    <w:basedOn w:val="Normal"/>
    <w:rsid w:val="004272DD"/>
    <w:pPr>
      <w:spacing w:after="120"/>
      <w:ind w:left="1440" w:right="1440"/>
    </w:pPr>
  </w:style>
  <w:style w:type="character" w:customStyle="1" w:styleId="Subscript">
    <w:name w:val="Subscript"/>
    <w:basedOn w:val="DefaultParagraphFont"/>
    <w:rsid w:val="004272DD"/>
    <w:rPr>
      <w:sz w:val="16"/>
      <w:vertAlign w:val="subscript"/>
    </w:rPr>
  </w:style>
  <w:style w:type="character" w:customStyle="1" w:styleId="Superscript">
    <w:name w:val="Superscript"/>
    <w:basedOn w:val="DefaultParagraphFont"/>
    <w:rsid w:val="004272DD"/>
    <w:rPr>
      <w:sz w:val="16"/>
      <w:vertAlign w:val="superscript"/>
    </w:rPr>
  </w:style>
  <w:style w:type="character" w:customStyle="1" w:styleId="Symbols">
    <w:name w:val="Symbols"/>
    <w:basedOn w:val="DefaultParagraphFont"/>
    <w:rsid w:val="004272DD"/>
    <w:rPr>
      <w:rFonts w:ascii="Symbol" w:hAnsi="Symbol"/>
    </w:rPr>
  </w:style>
  <w:style w:type="character" w:customStyle="1" w:styleId="MenuOptions">
    <w:name w:val="Menu Options"/>
    <w:basedOn w:val="DefaultParagraphFont"/>
    <w:rsid w:val="004272DD"/>
    <w:rPr>
      <w:rFonts w:ascii="Arial Narrow" w:hAnsi="Arial Narrow"/>
      <w:smallCaps/>
    </w:rPr>
  </w:style>
  <w:style w:type="character" w:customStyle="1" w:styleId="Buttons">
    <w:name w:val="Buttons"/>
    <w:basedOn w:val="DefaultParagraphFont"/>
    <w:rsid w:val="004272DD"/>
    <w:rPr>
      <w:b/>
    </w:rPr>
  </w:style>
  <w:style w:type="character" w:customStyle="1" w:styleId="Underlined">
    <w:name w:val="Underlined"/>
    <w:basedOn w:val="DefaultParagraphFont"/>
    <w:rsid w:val="004272DD"/>
    <w:rPr>
      <w:u w:val="single"/>
    </w:rPr>
  </w:style>
  <w:style w:type="paragraph" w:customStyle="1" w:styleId="TableBodyTextRight">
    <w:name w:val="Table Body Text Right"/>
    <w:basedOn w:val="TableBodyText"/>
    <w:rsid w:val="004272DD"/>
    <w:pPr>
      <w:widowControl w:val="0"/>
      <w:autoSpaceDE w:val="0"/>
      <w:autoSpaceDN w:val="0"/>
      <w:adjustRightInd w:val="0"/>
      <w:jc w:val="right"/>
    </w:pPr>
    <w:rPr>
      <w:rFonts w:cs="Arial"/>
      <w:szCs w:val="18"/>
    </w:rPr>
  </w:style>
  <w:style w:type="paragraph" w:customStyle="1" w:styleId="CopyrightText">
    <w:name w:val="Copyright Text"/>
    <w:basedOn w:val="BodyText"/>
    <w:rsid w:val="004272DD"/>
    <w:rPr>
      <w:sz w:val="18"/>
    </w:rPr>
  </w:style>
  <w:style w:type="paragraph" w:customStyle="1" w:styleId="BodySmallRight">
    <w:name w:val="Body Small Right"/>
    <w:basedOn w:val="BodyTextRight"/>
    <w:rsid w:val="004272DD"/>
    <w:rPr>
      <w:sz w:val="18"/>
      <w:szCs w:val="18"/>
    </w:rPr>
  </w:style>
  <w:style w:type="paragraph" w:customStyle="1" w:styleId="MarginEdition">
    <w:name w:val="Margin Edition"/>
    <w:basedOn w:val="MarginNote"/>
    <w:rsid w:val="004272DD"/>
    <w:pPr>
      <w:spacing w:before="0" w:after="0"/>
    </w:pPr>
    <w:rPr>
      <w:rFonts w:ascii="Times New Roman" w:hAnsi="Times New Roman"/>
      <w:color w:val="999999"/>
    </w:rPr>
  </w:style>
  <w:style w:type="paragraph" w:customStyle="1" w:styleId="Spacer">
    <w:name w:val="Spacer"/>
    <w:basedOn w:val="Normal"/>
    <w:rsid w:val="004272DD"/>
    <w:rPr>
      <w:sz w:val="2"/>
      <w:szCs w:val="2"/>
    </w:rPr>
  </w:style>
  <w:style w:type="character" w:customStyle="1" w:styleId="Small">
    <w:name w:val="Small"/>
    <w:basedOn w:val="DefaultParagraphFont"/>
    <w:rsid w:val="004272DD"/>
    <w:rPr>
      <w:sz w:val="16"/>
    </w:rPr>
  </w:style>
  <w:style w:type="paragraph" w:customStyle="1" w:styleId="WideTable">
    <w:name w:val="Wide Table"/>
    <w:basedOn w:val="Normal"/>
    <w:rsid w:val="004272DD"/>
    <w:pPr>
      <w:ind w:left="-1418"/>
    </w:pPr>
    <w:rPr>
      <w:sz w:val="2"/>
      <w:szCs w:val="2"/>
    </w:rPr>
  </w:style>
  <w:style w:type="character" w:styleId="PageNumber">
    <w:name w:val="page number"/>
    <w:basedOn w:val="DefaultParagraphFont"/>
    <w:rsid w:val="004272DD"/>
  </w:style>
  <w:style w:type="paragraph" w:styleId="Quote">
    <w:name w:val="Quote"/>
    <w:basedOn w:val="Heading1"/>
    <w:link w:val="QuoteChar"/>
    <w:qFormat/>
    <w:rsid w:val="004272DD"/>
    <w:rPr>
      <w:b w:val="0"/>
      <w:sz w:val="72"/>
      <w:szCs w:val="72"/>
      <w:lang w:val="en-NZ"/>
    </w:rPr>
  </w:style>
  <w:style w:type="character" w:customStyle="1" w:styleId="QuoteChar">
    <w:name w:val="Quote Char"/>
    <w:basedOn w:val="DefaultParagraphFont"/>
    <w:link w:val="Quote"/>
    <w:rsid w:val="00427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2DD"/>
    <w:pPr>
      <w:pageBreakBefore/>
    </w:pPr>
  </w:style>
  <w:style w:type="paragraph" w:customStyle="1" w:styleId="Border">
    <w:name w:val="Border"/>
    <w:basedOn w:val="Normal"/>
    <w:qFormat/>
    <w:rsid w:val="00427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2DD"/>
    <w:rPr>
      <w:b/>
      <w:bCs/>
      <w:i/>
      <w:iCs/>
      <w:color w:val="auto"/>
    </w:rPr>
  </w:style>
  <w:style w:type="paragraph" w:styleId="IntenseQuote">
    <w:name w:val="Intense Quote"/>
    <w:basedOn w:val="Normal"/>
    <w:next w:val="Normal"/>
    <w:link w:val="IntenseQuoteChar"/>
    <w:uiPriority w:val="30"/>
    <w:qFormat/>
    <w:rsid w:val="00427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2DD"/>
    <w:rPr>
      <w:smallCaps/>
      <w:color w:val="auto"/>
      <w:u w:val="single"/>
    </w:rPr>
  </w:style>
  <w:style w:type="character" w:styleId="IntenseReference">
    <w:name w:val="Intense Reference"/>
    <w:basedOn w:val="DefaultParagraphFont"/>
    <w:uiPriority w:val="32"/>
    <w:qFormat/>
    <w:rsid w:val="004272DD"/>
    <w:rPr>
      <w:b/>
      <w:bCs/>
      <w:smallCaps/>
      <w:color w:val="auto"/>
      <w:spacing w:val="5"/>
      <w:u w:val="single"/>
    </w:rPr>
  </w:style>
  <w:style w:type="paragraph" w:customStyle="1" w:styleId="2ColumnHeading">
    <w:name w:val="2Column Heading"/>
    <w:basedOn w:val="BodyText"/>
    <w:qFormat/>
    <w:rsid w:val="004272DD"/>
    <w:pPr>
      <w:spacing w:after="60"/>
      <w:ind w:left="-2268"/>
    </w:pPr>
    <w:rPr>
      <w:b/>
    </w:rPr>
  </w:style>
  <w:style w:type="paragraph" w:customStyle="1" w:styleId="Heading1TOC">
    <w:name w:val="Heading1 TOC"/>
    <w:basedOn w:val="Normal"/>
    <w:qFormat/>
    <w:rsid w:val="004272DD"/>
    <w:pPr>
      <w:spacing w:before="240" w:after="120"/>
    </w:pPr>
    <w:rPr>
      <w:rFonts w:ascii="Times New Roman" w:hAnsi="Times New Roman"/>
      <w:b/>
      <w:sz w:val="32"/>
    </w:rPr>
  </w:style>
  <w:style w:type="paragraph" w:customStyle="1" w:styleId="Heading2TOC">
    <w:name w:val="Heading2 TOC"/>
    <w:basedOn w:val="Normal"/>
    <w:qFormat/>
    <w:rsid w:val="004272DD"/>
    <w:pPr>
      <w:spacing w:before="240" w:after="60"/>
    </w:pPr>
    <w:rPr>
      <w:rFonts w:ascii="Times New Roman" w:hAnsi="Times New Roman"/>
      <w:b/>
      <w:sz w:val="28"/>
    </w:rPr>
  </w:style>
  <w:style w:type="character" w:customStyle="1" w:styleId="Underline">
    <w:name w:val="Underline"/>
    <w:basedOn w:val="DefaultParagraphFont"/>
    <w:qFormat/>
    <w:rsid w:val="004272DD"/>
    <w:rPr>
      <w:u w:val="single"/>
    </w:rPr>
  </w:style>
  <w:style w:type="character" w:customStyle="1" w:styleId="BoldandItalics">
    <w:name w:val="Bold and Italics"/>
    <w:qFormat/>
    <w:rsid w:val="004272DD"/>
    <w:rPr>
      <w:b/>
      <w:i/>
      <w:u w:val="none"/>
    </w:rPr>
  </w:style>
  <w:style w:type="paragraph" w:styleId="BalloonText">
    <w:name w:val="Balloon Text"/>
    <w:basedOn w:val="Normal"/>
    <w:link w:val="BalloonTextChar"/>
    <w:rsid w:val="004272DD"/>
    <w:rPr>
      <w:rFonts w:ascii="Tahoma" w:hAnsi="Tahoma" w:cs="Tahoma"/>
      <w:sz w:val="16"/>
      <w:szCs w:val="16"/>
    </w:rPr>
  </w:style>
  <w:style w:type="character" w:customStyle="1" w:styleId="BalloonTextChar">
    <w:name w:val="Balloon Text Char"/>
    <w:basedOn w:val="DefaultParagraphFont"/>
    <w:link w:val="BalloonText"/>
    <w:rsid w:val="00427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2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2DD"/>
    <w:rPr>
      <w:b/>
      <w:color w:val="660033"/>
      <w:spacing w:val="0"/>
    </w:rPr>
  </w:style>
  <w:style w:type="paragraph" w:customStyle="1" w:styleId="Nameditemlist">
    <w:name w:val="Named item list"/>
    <w:basedOn w:val="BodyText"/>
    <w:qFormat/>
    <w:rsid w:val="004272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1996</Words>
  <Characters>12364</Characters>
  <Application>Microsoft Office Word</Application>
  <DocSecurity>0</DocSecurity>
  <Lines>498</Lines>
  <Paragraphs>199</Paragraphs>
  <ScaleCrop>false</ScaleCrop>
  <Company>Author-it Software Corporation Ltd.</Company>
  <LinksUpToDate>false</LinksUpToDate>
  <CharactersWithSpaces>14221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UEENEED119A Design and implement advanced routing for internetworking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2012-10-11T22:35:00Z</dcterms:created>
  <dcterms:modified xsi:type="dcterms:W3CDTF">2012-10-11T22:35:00Z</dcterms:modified>
</cp:coreProperties>
</file>