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4066A" w:rsidP="0054066A">
      <w:pPr>
        <w:pStyle w:val="Title"/>
      </w:pPr>
      <w:r>
        <w:fldChar w:fldCharType="begin"/>
      </w:r>
      <w:r>
        <w:instrText xml:space="preserve"> TITLE   \* MERGEFORMAT </w:instrText>
      </w:r>
      <w:r>
        <w:fldChar w:fldCharType="separate"/>
      </w:r>
      <w:r>
        <w:t>UEENEEB101A Operate and maintain amateur radio communication stations</w:t>
      </w:r>
      <w:r>
        <w:fldChar w:fldCharType="end"/>
      </w:r>
    </w:p>
    <w:p w:rsidR="0054066A" w:rsidP="0054066A">
      <w:pPr>
        <w:pStyle w:val="Version"/>
        <w:sectPr w:rsidSect="009B35B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B35B8" w:rsidP="009B35B8">
      <w:pPr>
        <w:pStyle w:val="SuperHeading"/>
      </w:pPr>
      <w:r w:rsidRPr="009B35B8">
        <w:t>UEENEEB101A Operate and maintain amateur radio communication stations</w:t>
      </w:r>
    </w:p>
    <w:p w:rsidR="00000000" w:rsidRPr="009B35B8" w:rsidP="009B35B8">
      <w:pPr>
        <w:pStyle w:val="Heading1"/>
      </w:pPr>
      <w:bookmarkStart w:id="1" w:name="O_416120"/>
      <w:bookmarkEnd w:id="1"/>
      <w:r w:rsidRPr="009B35B8">
        <w:t>Modification History</w:t>
      </w:r>
    </w:p>
    <w:p w:rsidR="00000000" w:rsidRPr="009B35B8" w:rsidP="009B35B8">
      <w:pPr>
        <w:pStyle w:val="BodyText"/>
      </w:pPr>
      <w:r w:rsidRPr="009B35B8">
        <w:t>Not applicable.</w:t>
      </w:r>
    </w:p>
    <w:p w:rsidR="00000000" w:rsidRPr="009B35B8" w:rsidP="009B35B8">
      <w:pPr>
        <w:pStyle w:val="AllowPageBreak"/>
      </w:pPr>
    </w:p>
    <w:p w:rsidR="00000000" w:rsidRPr="009B35B8" w:rsidP="009B35B8">
      <w:pPr>
        <w:pStyle w:val="Heading1"/>
      </w:pPr>
      <w:bookmarkStart w:id="2" w:name="O_416118"/>
      <w:bookmarkEnd w:id="2"/>
      <w:r w:rsidRPr="009B35B8">
        <w:t>Unit Descriptor</w:t>
      </w:r>
    </w:p>
    <w:tbl>
      <w:tblPr>
        <w:tblW w:w="0" w:type="auto"/>
        <w:tblLayout w:type="fixed"/>
        <w:tblCellMar>
          <w:left w:w="62" w:type="dxa"/>
          <w:right w:w="62" w:type="dxa"/>
        </w:tblCellMar>
        <w:tblLook w:val="0000"/>
      </w:tblPr>
      <w:tblGrid>
        <w:gridCol w:w="2700"/>
        <w:gridCol w:w="5760"/>
      </w:tblGrid>
      <w:tr w:rsidTr="0054066A">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9B35B8" w:rsidP="009B35B8">
            <w:pPr>
              <w:pStyle w:val="BodyText"/>
            </w:pPr>
            <w:r w:rsidRPr="009B35B8">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P="009B35B8">
            <w:pPr>
              <w:pStyle w:val="BodyText"/>
              <w:rPr>
                <w:lang w:val="en-NZ"/>
              </w:rPr>
            </w:pPr>
            <w:r w:rsidRPr="009B35B8">
              <w:rPr>
                <w:rStyle w:val="SpecialBold"/>
              </w:rPr>
              <w:t>1)</w:t>
            </w:r>
            <w:r w:rsidRPr="009B35B8">
              <w:t xml:space="preserve"> </w:t>
            </w:r>
            <w:r w:rsidRPr="009B35B8">
              <w:rPr>
                <w:rStyle w:val="SpecialBold"/>
              </w:rPr>
              <w:t>Scope:</w:t>
            </w:r>
          </w:p>
        </w:tc>
      </w:tr>
      <w:tr w:rsidTr="0054066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9B35B8">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9B35B8">
            <w:pPr>
              <w:pStyle w:val="BodyText"/>
              <w:rPr>
                <w:lang w:val="en-NZ"/>
              </w:rPr>
            </w:pPr>
            <w:r w:rsidRPr="009B35B8">
              <w:rPr>
                <w:rStyle w:val="SpecialBold"/>
              </w:rPr>
              <w:t>1.1) Descriptor</w:t>
            </w:r>
          </w:p>
        </w:tc>
      </w:tr>
      <w:tr w:rsidTr="0054066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9B35B8" w:rsidP="009B35B8">
            <w:pPr>
              <w:pStyle w:val="BodyText"/>
            </w:pPr>
            <w:r w:rsidRPr="009B35B8">
              <w:t>This unit deals with operation and maintenance of amateur radio communication stations suitable to HF, VHF and SHF communication using multiple modes of operation. It encompasses correct operating procedures, safe working practices, following written and o</w:t>
            </w:r>
            <w:r w:rsidRPr="009B35B8">
              <w:t>ral instruction and procedures, basic testing techniques, dismantling and assembling apparatus, disconnecting and reconnecting components, and operating to the Standard Licence Level as prescribed by the Australian Communication Media Authority.</w:t>
            </w:r>
          </w:p>
        </w:tc>
      </w:tr>
    </w:tbl>
    <w:p w:rsidR="00000000" w:rsidRPr="009B35B8" w:rsidP="009B35B8">
      <w:pPr>
        <w:pStyle w:val="BodyText"/>
      </w:pPr>
    </w:p>
    <w:p w:rsidR="00000000" w:rsidRPr="009B35B8" w:rsidP="009B35B8">
      <w:pPr>
        <w:pStyle w:val="AllowPageBreak"/>
      </w:pPr>
    </w:p>
    <w:p w:rsidR="00000000" w:rsidRPr="009B35B8" w:rsidP="009B35B8">
      <w:pPr>
        <w:pStyle w:val="Heading1"/>
      </w:pPr>
      <w:bookmarkStart w:id="3" w:name="O_416107"/>
      <w:bookmarkEnd w:id="3"/>
      <w:r w:rsidRPr="009B35B8">
        <w:t>Application of the Unit</w:t>
      </w:r>
    </w:p>
    <w:tbl>
      <w:tblPr>
        <w:tblW w:w="0" w:type="auto"/>
        <w:tblLayout w:type="fixed"/>
        <w:tblCellMar>
          <w:left w:w="62" w:type="dxa"/>
          <w:right w:w="62" w:type="dxa"/>
        </w:tblCellMar>
        <w:tblLook w:val="0000"/>
      </w:tblPr>
      <w:tblGrid>
        <w:gridCol w:w="2672"/>
        <w:gridCol w:w="5699"/>
      </w:tblGrid>
      <w:tr w:rsidTr="0054066A">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rsidRPr="009B35B8" w:rsidP="009B35B8">
            <w:pPr>
              <w:pStyle w:val="BodyText"/>
            </w:pPr>
            <w:r w:rsidRPr="009B35B8">
              <w:rPr>
                <w:rStyle w:val="SpecialBold"/>
              </w:rPr>
              <w:t>Application of the Unit</w:t>
            </w:r>
          </w:p>
        </w:tc>
        <w:tc>
          <w:tcPr>
            <w:tcW w:w="5699" w:type="dxa"/>
            <w:tcBorders>
              <w:top w:val="nil"/>
              <w:left w:val="nil"/>
              <w:bottom w:val="nil"/>
              <w:right w:val="nil"/>
            </w:tcBorders>
            <w:tcMar>
              <w:top w:w="0" w:type="dxa"/>
              <w:left w:w="62" w:type="dxa"/>
              <w:bottom w:w="0" w:type="dxa"/>
              <w:right w:w="62" w:type="dxa"/>
            </w:tcMar>
          </w:tcPr>
          <w:p w:rsidR="00000000" w:rsidP="009B35B8">
            <w:pPr>
              <w:pStyle w:val="BodyText"/>
              <w:rPr>
                <w:lang w:val="en-NZ"/>
              </w:rPr>
            </w:pPr>
            <w:r w:rsidRPr="009B35B8">
              <w:rPr>
                <w:rStyle w:val="SpecialBold"/>
              </w:rPr>
              <w:t>2)</w:t>
            </w:r>
          </w:p>
        </w:tc>
      </w:tr>
      <w:tr w:rsidTr="0054066A">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99" w:type="dxa"/>
            <w:tcBorders>
              <w:top w:val="nil"/>
              <w:left w:val="nil"/>
              <w:bottom w:val="nil"/>
              <w:right w:val="nil"/>
            </w:tcBorders>
            <w:tcMar>
              <w:top w:w="0" w:type="dxa"/>
              <w:left w:w="62" w:type="dxa"/>
              <w:bottom w:w="0" w:type="dxa"/>
              <w:right w:w="62" w:type="dxa"/>
            </w:tcMar>
          </w:tcPr>
          <w:p w:rsidR="00000000" w:rsidRPr="009B35B8" w:rsidP="009B35B8">
            <w:pPr>
              <w:pStyle w:val="BodyText"/>
            </w:pPr>
            <w:r w:rsidRPr="009B35B8">
              <w:t>This unit may apply to persons entering work in electrotechnology and may be used in school-based vocational programs.</w:t>
            </w:r>
          </w:p>
        </w:tc>
      </w:tr>
    </w:tbl>
    <w:p w:rsidR="00000000" w:rsidRPr="009B35B8" w:rsidP="009B35B8">
      <w:pPr>
        <w:pStyle w:val="BodyText"/>
      </w:pPr>
    </w:p>
    <w:p w:rsidR="00000000" w:rsidRPr="009B35B8" w:rsidP="009B35B8">
      <w:pPr>
        <w:pStyle w:val="AllowPageBreak"/>
      </w:pPr>
    </w:p>
    <w:p w:rsidR="00000000" w:rsidRPr="009B35B8" w:rsidP="009B35B8">
      <w:pPr>
        <w:pStyle w:val="Heading1"/>
      </w:pPr>
      <w:bookmarkStart w:id="4" w:name="O_416114"/>
      <w:bookmarkEnd w:id="4"/>
      <w:r w:rsidRPr="009B35B8">
        <w:t>Licensing/Regulatory Information</w:t>
      </w:r>
    </w:p>
    <w:tbl>
      <w:tblPr>
        <w:tblW w:w="0" w:type="auto"/>
        <w:tblLayout w:type="fixed"/>
        <w:tblCellMar>
          <w:left w:w="62" w:type="dxa"/>
          <w:right w:w="62" w:type="dxa"/>
        </w:tblCellMar>
        <w:tblLook w:val="0000"/>
      </w:tblPr>
      <w:tblGrid>
        <w:gridCol w:w="2700"/>
        <w:gridCol w:w="5760"/>
      </w:tblGrid>
      <w:tr w:rsidTr="0054066A">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9B35B8" w:rsidP="009B35B8">
            <w:pPr>
              <w:pStyle w:val="BodyText"/>
            </w:pPr>
            <w:r w:rsidRPr="009B35B8">
              <w:rPr>
                <w:rStyle w:val="SpecialBold"/>
              </w:rPr>
              <w:t>License to practice</w:t>
            </w:r>
          </w:p>
        </w:tc>
        <w:tc>
          <w:tcPr>
            <w:tcW w:w="5760" w:type="dxa"/>
            <w:tcBorders>
              <w:top w:val="nil"/>
              <w:left w:val="nil"/>
              <w:bottom w:val="nil"/>
              <w:right w:val="nil"/>
            </w:tcBorders>
            <w:tcMar>
              <w:top w:w="0" w:type="dxa"/>
              <w:left w:w="62" w:type="dxa"/>
              <w:bottom w:w="0" w:type="dxa"/>
              <w:right w:w="62" w:type="dxa"/>
            </w:tcMar>
          </w:tcPr>
          <w:p w:rsidR="00000000" w:rsidP="009B35B8">
            <w:pPr>
              <w:pStyle w:val="BodyText"/>
              <w:rPr>
                <w:lang w:val="en-NZ"/>
              </w:rPr>
            </w:pPr>
            <w:r w:rsidRPr="009B35B8">
              <w:rPr>
                <w:rStyle w:val="SpecialBold"/>
              </w:rPr>
              <w:t xml:space="preserve">3) </w:t>
            </w:r>
          </w:p>
        </w:tc>
      </w:tr>
      <w:tr w:rsidTr="0054066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9B35B8" w:rsidP="009B35B8">
            <w:pPr>
              <w:pStyle w:val="BodyText"/>
            </w:pPr>
            <w:r w:rsidRPr="009B35B8">
              <w:t>The skills and knowledge described in this unit do require an Australian Communications and Media Authority (ACMA) license to practice in the workplace provided equipment is not connected to permanent installation wiring at voltage above 50 V a.c. or 12</w:t>
            </w:r>
            <w:r w:rsidRPr="009B35B8">
              <w:t xml:space="preserve">0 V d.c. However, </w:t>
            </w:r>
            <w:r w:rsidRPr="009B35B8">
              <w:t>practice in this unit is subject to regulations directly related to occupational health and safety and where applicable contracts of training such as apprenticeships.</w:t>
            </w:r>
          </w:p>
        </w:tc>
      </w:tr>
    </w:tbl>
    <w:p w:rsidR="00000000" w:rsidRPr="009B35B8" w:rsidP="009B35B8">
      <w:pPr>
        <w:pStyle w:val="BodyText"/>
      </w:pPr>
    </w:p>
    <w:p w:rsidR="00000000" w:rsidRPr="009B35B8" w:rsidP="009B35B8">
      <w:pPr>
        <w:pStyle w:val="AllowPageBreak"/>
      </w:pPr>
    </w:p>
    <w:p w:rsidR="00000000" w:rsidRPr="009B35B8" w:rsidP="009B35B8">
      <w:pPr>
        <w:pStyle w:val="Heading1"/>
      </w:pPr>
      <w:bookmarkStart w:id="5" w:name="O_416115"/>
      <w:bookmarkEnd w:id="5"/>
      <w:r w:rsidRPr="009B35B8">
        <w:t>Pre-Requisites</w:t>
      </w:r>
    </w:p>
    <w:tbl>
      <w:tblPr>
        <w:tblW w:w="0" w:type="auto"/>
        <w:tblLayout w:type="fixed"/>
        <w:tblCellMar>
          <w:left w:w="62" w:type="dxa"/>
          <w:right w:w="62" w:type="dxa"/>
        </w:tblCellMar>
        <w:tblLook w:val="0000"/>
      </w:tblPr>
      <w:tblGrid>
        <w:gridCol w:w="2700"/>
        <w:gridCol w:w="1440"/>
        <w:gridCol w:w="4320"/>
      </w:tblGrid>
      <w:tr w:rsidTr="0054066A">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9B35B8" w:rsidP="009B35B8">
            <w:pPr>
              <w:pStyle w:val="BodyText"/>
            </w:pPr>
            <w:r w:rsidRPr="009B35B8">
              <w:rPr>
                <w:rStyle w:val="SpecialBold"/>
              </w:rPr>
              <w:t>Prerequisite Unit(s)</w:t>
            </w:r>
          </w:p>
        </w:tc>
        <w:tc>
          <w:tcPr>
            <w:tcW w:w="5760" w:type="dxa"/>
            <w:gridSpan w:val="2"/>
            <w:tcBorders>
              <w:top w:val="nil"/>
              <w:left w:val="nil"/>
              <w:bottom w:val="nil"/>
              <w:right w:val="nil"/>
            </w:tcBorders>
            <w:tcMar>
              <w:top w:w="0" w:type="dxa"/>
              <w:left w:w="62" w:type="dxa"/>
              <w:bottom w:w="0" w:type="dxa"/>
              <w:right w:w="62" w:type="dxa"/>
            </w:tcMar>
          </w:tcPr>
          <w:p w:rsidR="00000000" w:rsidP="009B35B8">
            <w:pPr>
              <w:pStyle w:val="BodyText"/>
              <w:rPr>
                <w:lang w:val="en-NZ"/>
              </w:rPr>
            </w:pPr>
            <w:r w:rsidRPr="009B35B8">
              <w:rPr>
                <w:rStyle w:val="SpecialBold"/>
              </w:rPr>
              <w:t xml:space="preserve">4) </w:t>
            </w:r>
          </w:p>
        </w:tc>
      </w:tr>
      <w:tr w:rsidTr="0054066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9B35B8" w:rsidP="009B35B8">
            <w:pPr>
              <w:pStyle w:val="BodyText"/>
            </w:pPr>
            <w:r w:rsidRPr="009B35B8">
              <w:rPr>
                <w:rStyle w:val="SpecialBold"/>
              </w:rPr>
              <w:t>Competencies</w:t>
            </w:r>
          </w:p>
        </w:tc>
        <w:tc>
          <w:tcPr>
            <w:tcW w:w="5760" w:type="dxa"/>
            <w:gridSpan w:val="2"/>
            <w:tcBorders>
              <w:top w:val="nil"/>
              <w:left w:val="nil"/>
              <w:bottom w:val="nil"/>
              <w:right w:val="nil"/>
            </w:tcBorders>
            <w:tcMar>
              <w:top w:w="0" w:type="dxa"/>
              <w:left w:w="62" w:type="dxa"/>
              <w:bottom w:w="0" w:type="dxa"/>
              <w:right w:w="62" w:type="dxa"/>
            </w:tcMar>
          </w:tcPr>
          <w:p w:rsidR="00000000" w:rsidP="009B35B8">
            <w:pPr>
              <w:pStyle w:val="BodyText"/>
              <w:rPr>
                <w:lang w:val="en-NZ"/>
              </w:rPr>
            </w:pPr>
            <w:r w:rsidRPr="009B35B8">
              <w:rPr>
                <w:rStyle w:val="SpecialBold"/>
              </w:rPr>
              <w:t>4.1)</w:t>
            </w:r>
          </w:p>
        </w:tc>
      </w:tr>
      <w:tr w:rsidTr="0054066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2"/>
            <w:tcBorders>
              <w:top w:val="nil"/>
              <w:left w:val="nil"/>
              <w:bottom w:val="nil"/>
              <w:right w:val="nil"/>
            </w:tcBorders>
            <w:tcMar>
              <w:top w:w="0" w:type="dxa"/>
              <w:left w:w="62" w:type="dxa"/>
              <w:bottom w:w="0" w:type="dxa"/>
              <w:right w:w="62" w:type="dxa"/>
            </w:tcMar>
          </w:tcPr>
          <w:p w:rsidR="00000000" w:rsidP="009B35B8">
            <w:pPr>
              <w:pStyle w:val="BodyText"/>
              <w:rPr>
                <w:lang w:val="en-NZ"/>
              </w:rPr>
            </w:pPr>
            <w:r w:rsidRPr="009B35B8">
              <w:t xml:space="preserve">Granting competency in this unit shall be made only after competency in the following unit(s) has/have been confirmed. </w:t>
            </w:r>
          </w:p>
        </w:tc>
      </w:tr>
      <w:tr w:rsidTr="0054066A">
        <w:tblPrEx>
          <w:tblW w:w="0" w:type="auto"/>
          <w:tblLayout w:type="fixed"/>
          <w:tblCellMar>
            <w:left w:w="62" w:type="dxa"/>
            <w:right w:w="62" w:type="dxa"/>
          </w:tblCellMar>
          <w:tblLook w:val="0000"/>
        </w:tblPrEx>
        <w:trPr>
          <w:trHeight w:val="318"/>
        </w:trPr>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9B35B8">
            <w:pPr>
              <w:pStyle w:val="BodyText"/>
              <w:rPr>
                <w:lang w:val="en-NZ"/>
              </w:rPr>
            </w:pPr>
            <w:r w:rsidRPr="009B35B8">
              <w:t>UEENEEE101A</w:t>
            </w:r>
          </w:p>
        </w:tc>
        <w:tc>
          <w:tcPr>
            <w:tcW w:w="4320" w:type="dxa"/>
            <w:tcBorders>
              <w:top w:val="nil"/>
              <w:left w:val="nil"/>
              <w:bottom w:val="nil"/>
              <w:right w:val="nil"/>
            </w:tcBorders>
            <w:tcMar>
              <w:top w:w="0" w:type="dxa"/>
              <w:left w:w="62" w:type="dxa"/>
              <w:bottom w:w="0" w:type="dxa"/>
              <w:right w:w="62" w:type="dxa"/>
            </w:tcMar>
          </w:tcPr>
          <w:p w:rsidR="00000000" w:rsidRPr="009B35B8" w:rsidP="009B35B8">
            <w:pPr>
              <w:pStyle w:val="BodyText"/>
            </w:pPr>
            <w:r w:rsidRPr="009B35B8">
              <w:t xml:space="preserve">Apply Occupational Health and Safety regulations, codes and practices in the workplace              </w:t>
            </w:r>
          </w:p>
        </w:tc>
      </w:tr>
    </w:tbl>
    <w:p w:rsidR="00000000" w:rsidRPr="009B35B8" w:rsidP="009B35B8">
      <w:pPr>
        <w:pStyle w:val="BodyText"/>
      </w:pPr>
    </w:p>
    <w:tbl>
      <w:tblPr>
        <w:tblW w:w="0" w:type="auto"/>
        <w:tblLayout w:type="fixed"/>
        <w:tblCellMar>
          <w:left w:w="62" w:type="dxa"/>
          <w:right w:w="62" w:type="dxa"/>
        </w:tblCellMar>
        <w:tblLook w:val="0000"/>
      </w:tblPr>
      <w:tblGrid>
        <w:gridCol w:w="2700"/>
        <w:gridCol w:w="1080"/>
        <w:gridCol w:w="810"/>
        <w:gridCol w:w="990"/>
        <w:gridCol w:w="900"/>
        <w:gridCol w:w="1260"/>
        <w:gridCol w:w="720"/>
      </w:tblGrid>
      <w:tr w:rsidTr="0054066A">
        <w:tblPrEx>
          <w:tblW w:w="0" w:type="auto"/>
          <w:tblLayout w:type="fixed"/>
          <w:tblCellMar>
            <w:left w:w="62" w:type="dxa"/>
            <w:right w:w="62" w:type="dxa"/>
          </w:tblCellMar>
          <w:tblLook w:val="0000"/>
        </w:tblPrEx>
        <w:trPr>
          <w:trHeight w:val="212"/>
        </w:trPr>
        <w:tc>
          <w:tcPr>
            <w:tcW w:w="2700" w:type="dxa"/>
            <w:tcBorders>
              <w:top w:val="nil"/>
              <w:left w:val="nil"/>
              <w:bottom w:val="nil"/>
              <w:right w:val="nil"/>
            </w:tcBorders>
            <w:tcMar>
              <w:top w:w="0" w:type="dxa"/>
              <w:left w:w="62" w:type="dxa"/>
              <w:bottom w:w="0" w:type="dxa"/>
              <w:right w:w="62" w:type="dxa"/>
            </w:tcMar>
          </w:tcPr>
          <w:p w:rsidR="00000000" w:rsidRPr="009B35B8" w:rsidP="009B35B8">
            <w:pPr>
              <w:pStyle w:val="BodyText"/>
            </w:pPr>
            <w:r w:rsidRPr="009B35B8">
              <w:rPr>
                <w:rStyle w:val="SpecialBold"/>
              </w:rPr>
              <w:t>Literacy and numeracy skills</w:t>
            </w:r>
          </w:p>
        </w:tc>
        <w:tc>
          <w:tcPr>
            <w:tcW w:w="5760" w:type="dxa"/>
            <w:gridSpan w:val="6"/>
            <w:tcBorders>
              <w:top w:val="nil"/>
              <w:left w:val="nil"/>
              <w:bottom w:val="nil"/>
              <w:right w:val="nil"/>
            </w:tcBorders>
            <w:tcMar>
              <w:top w:w="0" w:type="dxa"/>
              <w:left w:w="62" w:type="dxa"/>
              <w:bottom w:w="0" w:type="dxa"/>
              <w:right w:w="62" w:type="dxa"/>
            </w:tcMar>
          </w:tcPr>
          <w:p w:rsidR="00000000" w:rsidP="009B35B8">
            <w:pPr>
              <w:pStyle w:val="BodyText"/>
              <w:rPr>
                <w:lang w:val="en-NZ"/>
              </w:rPr>
            </w:pPr>
            <w:r w:rsidRPr="009B35B8">
              <w:rPr>
                <w:rStyle w:val="SpecialBold"/>
              </w:rPr>
              <w:t xml:space="preserve">4.2) </w:t>
            </w:r>
          </w:p>
        </w:tc>
      </w:tr>
      <w:tr w:rsidTr="0054066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6"/>
            <w:tcBorders>
              <w:top w:val="nil"/>
              <w:left w:val="nil"/>
              <w:bottom w:val="nil"/>
              <w:right w:val="nil"/>
            </w:tcBorders>
            <w:tcMar>
              <w:top w:w="0" w:type="dxa"/>
              <w:left w:w="62" w:type="dxa"/>
              <w:bottom w:w="0" w:type="dxa"/>
              <w:right w:w="62" w:type="dxa"/>
            </w:tcMar>
          </w:tcPr>
          <w:p w:rsidR="00000000" w:rsidP="009B35B8">
            <w:pPr>
              <w:pStyle w:val="BodyText"/>
              <w:rPr>
                <w:lang w:val="en-NZ"/>
              </w:rPr>
            </w:pPr>
            <w:r w:rsidRPr="009B35B8">
              <w:t>Participants are best equipped to achieve competency in this unit if they have reading, writing and Numeracy skills indicated by the following scales. Description of each scale is given in Volume 2, Part 3 ‘</w:t>
            </w:r>
            <w:r w:rsidRPr="009B35B8">
              <w:t>Literacy and Numeracy’</w:t>
            </w:r>
          </w:p>
        </w:tc>
      </w:tr>
      <w:tr w:rsidTr="0054066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9B35B8">
            <w:pPr>
              <w:pStyle w:val="BodyText"/>
              <w:rPr>
                <w:lang w:val="en-NZ"/>
              </w:rPr>
            </w:pPr>
            <w:r w:rsidRPr="009B35B8">
              <w:t>Reading</w:t>
            </w:r>
          </w:p>
        </w:tc>
        <w:tc>
          <w:tcPr>
            <w:tcW w:w="810" w:type="dxa"/>
            <w:tcBorders>
              <w:top w:val="nil"/>
              <w:left w:val="nil"/>
              <w:bottom w:val="nil"/>
              <w:right w:val="nil"/>
            </w:tcBorders>
            <w:tcMar>
              <w:top w:w="0" w:type="dxa"/>
              <w:left w:w="62" w:type="dxa"/>
              <w:bottom w:w="0" w:type="dxa"/>
              <w:right w:w="62" w:type="dxa"/>
            </w:tcMar>
          </w:tcPr>
          <w:p w:rsidR="00000000" w:rsidP="009B35B8">
            <w:pPr>
              <w:pStyle w:val="BodyText"/>
              <w:rPr>
                <w:lang w:val="en-NZ"/>
              </w:rPr>
            </w:pPr>
            <w:r w:rsidRPr="009B35B8">
              <w:t>3</w:t>
            </w:r>
          </w:p>
        </w:tc>
        <w:tc>
          <w:tcPr>
            <w:tcW w:w="990" w:type="dxa"/>
            <w:tcBorders>
              <w:top w:val="nil"/>
              <w:left w:val="nil"/>
              <w:bottom w:val="nil"/>
              <w:right w:val="nil"/>
            </w:tcBorders>
            <w:tcMar>
              <w:top w:w="0" w:type="dxa"/>
              <w:left w:w="62" w:type="dxa"/>
              <w:bottom w:w="0" w:type="dxa"/>
              <w:right w:w="62" w:type="dxa"/>
            </w:tcMar>
          </w:tcPr>
          <w:p w:rsidR="00000000" w:rsidP="009B35B8">
            <w:pPr>
              <w:pStyle w:val="BodyText"/>
              <w:rPr>
                <w:lang w:val="en-NZ"/>
              </w:rPr>
            </w:pPr>
            <w:r w:rsidRPr="009B35B8">
              <w:t>Writing</w:t>
            </w:r>
          </w:p>
        </w:tc>
        <w:tc>
          <w:tcPr>
            <w:tcW w:w="900" w:type="dxa"/>
            <w:tcBorders>
              <w:top w:val="nil"/>
              <w:left w:val="nil"/>
              <w:bottom w:val="nil"/>
              <w:right w:val="nil"/>
            </w:tcBorders>
            <w:tcMar>
              <w:top w:w="0" w:type="dxa"/>
              <w:left w:w="62" w:type="dxa"/>
              <w:bottom w:w="0" w:type="dxa"/>
              <w:right w:w="62" w:type="dxa"/>
            </w:tcMar>
          </w:tcPr>
          <w:p w:rsidR="00000000" w:rsidP="009B35B8">
            <w:pPr>
              <w:pStyle w:val="BodyText"/>
              <w:rPr>
                <w:lang w:val="en-NZ"/>
              </w:rPr>
            </w:pPr>
            <w:r w:rsidRPr="009B35B8">
              <w:t>3</w:t>
            </w:r>
          </w:p>
        </w:tc>
        <w:tc>
          <w:tcPr>
            <w:tcW w:w="1260" w:type="dxa"/>
            <w:tcBorders>
              <w:top w:val="nil"/>
              <w:left w:val="nil"/>
              <w:bottom w:val="nil"/>
              <w:right w:val="nil"/>
            </w:tcBorders>
            <w:tcMar>
              <w:top w:w="0" w:type="dxa"/>
              <w:left w:w="62" w:type="dxa"/>
              <w:bottom w:w="0" w:type="dxa"/>
              <w:right w:w="62" w:type="dxa"/>
            </w:tcMar>
          </w:tcPr>
          <w:p w:rsidR="00000000" w:rsidP="009B35B8">
            <w:pPr>
              <w:pStyle w:val="BodyText"/>
              <w:rPr>
                <w:lang w:val="en-NZ"/>
              </w:rPr>
            </w:pPr>
            <w:r w:rsidRPr="009B35B8">
              <w:t>Numeracy</w:t>
            </w:r>
          </w:p>
        </w:tc>
        <w:tc>
          <w:tcPr>
            <w:tcW w:w="720" w:type="dxa"/>
            <w:tcBorders>
              <w:top w:val="nil"/>
              <w:left w:val="nil"/>
              <w:bottom w:val="nil"/>
              <w:right w:val="nil"/>
            </w:tcBorders>
            <w:tcMar>
              <w:top w:w="0" w:type="dxa"/>
              <w:left w:w="62" w:type="dxa"/>
              <w:bottom w:w="0" w:type="dxa"/>
              <w:right w:w="62" w:type="dxa"/>
            </w:tcMar>
          </w:tcPr>
          <w:p w:rsidR="00000000" w:rsidRPr="009B35B8" w:rsidP="009B35B8">
            <w:pPr>
              <w:pStyle w:val="BodyText"/>
            </w:pPr>
            <w:r w:rsidRPr="009B35B8">
              <w:t>3</w:t>
            </w:r>
          </w:p>
        </w:tc>
      </w:tr>
    </w:tbl>
    <w:p w:rsidR="00000000" w:rsidRPr="009B35B8" w:rsidP="009B35B8">
      <w:pPr>
        <w:pStyle w:val="BodyText"/>
      </w:pPr>
    </w:p>
    <w:p w:rsidR="00000000" w:rsidRPr="009B35B8" w:rsidP="009B35B8">
      <w:pPr>
        <w:pStyle w:val="AllowPageBreak"/>
      </w:pPr>
    </w:p>
    <w:p w:rsidR="00000000" w:rsidRPr="009B35B8" w:rsidP="009B35B8">
      <w:pPr>
        <w:pStyle w:val="Heading1"/>
      </w:pPr>
      <w:bookmarkStart w:id="6" w:name="O_416111"/>
      <w:bookmarkEnd w:id="6"/>
      <w:r w:rsidRPr="009B35B8">
        <w:t>Employability Skills Information</w:t>
      </w:r>
    </w:p>
    <w:tbl>
      <w:tblPr>
        <w:tblW w:w="0" w:type="auto"/>
        <w:tblLayout w:type="fixed"/>
        <w:tblCellMar>
          <w:left w:w="62" w:type="dxa"/>
          <w:right w:w="62" w:type="dxa"/>
        </w:tblCellMar>
        <w:tblLook w:val="0000"/>
      </w:tblPr>
      <w:tblGrid>
        <w:gridCol w:w="2700"/>
        <w:gridCol w:w="5760"/>
      </w:tblGrid>
      <w:tr w:rsidTr="0054066A">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9B35B8" w:rsidP="009B35B8">
            <w:pPr>
              <w:pStyle w:val="BodyText"/>
            </w:pPr>
            <w:r w:rsidRPr="009B35B8">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P="009B35B8">
            <w:pPr>
              <w:pStyle w:val="BodyText"/>
              <w:rPr>
                <w:lang w:val="en-NZ"/>
              </w:rPr>
            </w:pPr>
            <w:r w:rsidRPr="009B35B8">
              <w:rPr>
                <w:rStyle w:val="SpecialBold"/>
              </w:rPr>
              <w:t xml:space="preserve">5) </w:t>
            </w:r>
          </w:p>
        </w:tc>
      </w:tr>
      <w:tr w:rsidTr="0054066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9B35B8" w:rsidP="009B35B8">
            <w:pPr>
              <w:pStyle w:val="BodyText"/>
            </w:pPr>
            <w:r w:rsidRPr="009B35B8">
              <w:t>The require</w:t>
            </w:r>
            <w:r w:rsidRPr="009B35B8">
              <w:t>d outcomes described in this unit of competency contain applicable facets of Employability Skills. The Employability Skills Summary of the qualification in which this unit of competency is packaged will assist in identifying Employability Skill requirement</w:t>
            </w:r>
            <w:r w:rsidRPr="009B35B8">
              <w:t>s.</w:t>
            </w:r>
          </w:p>
        </w:tc>
      </w:tr>
    </w:tbl>
    <w:p w:rsidR="00000000" w:rsidRPr="009B35B8" w:rsidP="009B35B8">
      <w:pPr>
        <w:pStyle w:val="BodyText"/>
      </w:pPr>
    </w:p>
    <w:p w:rsidR="00000000" w:rsidRPr="009B35B8" w:rsidP="009B35B8">
      <w:pPr>
        <w:pStyle w:val="AllowPageBreak"/>
      </w:pPr>
    </w:p>
    <w:p w:rsidR="00000000" w:rsidRPr="009B35B8" w:rsidP="009B35B8">
      <w:pPr>
        <w:pStyle w:val="Heading1"/>
      </w:pPr>
      <w:bookmarkStart w:id="7" w:name="O_416110"/>
      <w:bookmarkEnd w:id="7"/>
      <w:r w:rsidRPr="009B35B8">
        <w:t>Elements and Performance Criteria Pre-Content</w:t>
      </w:r>
    </w:p>
    <w:tbl>
      <w:tblPr>
        <w:tblW w:w="0" w:type="auto"/>
        <w:tblLayout w:type="fixed"/>
        <w:tblCellMar>
          <w:left w:w="62" w:type="dxa"/>
          <w:right w:w="62" w:type="dxa"/>
        </w:tblCellMar>
        <w:tblLook w:val="0000"/>
      </w:tblPr>
      <w:tblGrid>
        <w:gridCol w:w="2700"/>
        <w:gridCol w:w="5760"/>
      </w:tblGrid>
      <w:tr w:rsidTr="0054066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9B35B8">
            <w:pPr>
              <w:pStyle w:val="BodyText"/>
              <w:rPr>
                <w:lang w:val="en-NZ"/>
              </w:rPr>
            </w:pPr>
            <w:r w:rsidRPr="009B35B8">
              <w:rPr>
                <w:rStyle w:val="SpecialBold"/>
              </w:rPr>
              <w:t>6)</w:t>
            </w:r>
            <w:r w:rsidRPr="009B35B8">
              <w:t xml:space="preserve"> Elements describe the essential outcomes of a competency standard unit</w:t>
            </w:r>
          </w:p>
        </w:tc>
        <w:tc>
          <w:tcPr>
            <w:tcW w:w="5760" w:type="dxa"/>
            <w:tcBorders>
              <w:top w:val="nil"/>
              <w:left w:val="nil"/>
              <w:bottom w:val="nil"/>
              <w:right w:val="nil"/>
            </w:tcBorders>
            <w:tcMar>
              <w:top w:w="0" w:type="dxa"/>
              <w:left w:w="62" w:type="dxa"/>
              <w:bottom w:w="0" w:type="dxa"/>
              <w:right w:w="62" w:type="dxa"/>
            </w:tcMar>
          </w:tcPr>
          <w:p w:rsidR="00000000" w:rsidRPr="009B35B8" w:rsidP="009B35B8">
            <w:pPr>
              <w:pStyle w:val="BodyText"/>
            </w:pPr>
            <w:r w:rsidRPr="009B35B8">
              <w:t>Performance Criteria describe the required performance needed to demonstrate achievement of the element. Assessme</w:t>
            </w:r>
            <w:r w:rsidRPr="009B35B8">
              <w:t>nt of performance is to be consistent with the Evidence Guide.</w:t>
            </w:r>
          </w:p>
        </w:tc>
      </w:tr>
    </w:tbl>
    <w:p w:rsidR="00000000" w:rsidRPr="009B35B8" w:rsidP="009B35B8">
      <w:pPr>
        <w:pStyle w:val="BodyText"/>
      </w:pPr>
    </w:p>
    <w:p w:rsidR="00000000" w:rsidRPr="009B35B8" w:rsidP="009B35B8">
      <w:pPr>
        <w:pStyle w:val="AllowPageBreak"/>
      </w:pPr>
    </w:p>
    <w:p w:rsidR="00000000" w:rsidRPr="009B35B8" w:rsidP="009B35B8">
      <w:pPr>
        <w:pStyle w:val="Heading1"/>
      </w:pPr>
      <w:bookmarkStart w:id="8" w:name="O_416109"/>
      <w:bookmarkEnd w:id="8"/>
      <w:r w:rsidRPr="009B35B8">
        <w:t>Elements and Performance Criteria</w:t>
      </w:r>
    </w:p>
    <w:tbl>
      <w:tblPr>
        <w:tblW w:w="0" w:type="auto"/>
        <w:tblLayout w:type="fixed"/>
        <w:tblCellMar>
          <w:left w:w="62" w:type="dxa"/>
          <w:right w:w="62" w:type="dxa"/>
        </w:tblCellMar>
        <w:tblLook w:val="0000"/>
      </w:tblPr>
      <w:tblGrid>
        <w:gridCol w:w="404"/>
        <w:gridCol w:w="2296"/>
        <w:gridCol w:w="900"/>
        <w:gridCol w:w="4860"/>
      </w:tblGrid>
      <w:tr w:rsidTr="0054066A">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9B35B8" w:rsidP="009B35B8">
            <w:pPr>
              <w:pStyle w:val="BodyText"/>
            </w:pPr>
            <w:r w:rsidRPr="009B35B8">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9B35B8">
            <w:pPr>
              <w:pStyle w:val="BodyText"/>
              <w:rPr>
                <w:lang w:val="en-NZ"/>
              </w:rPr>
            </w:pPr>
            <w:r w:rsidRPr="009B35B8">
              <w:rPr>
                <w:rStyle w:val="SpecialBold"/>
              </w:rPr>
              <w:t>PERFORMANCE CRITERIA</w:t>
            </w:r>
          </w:p>
        </w:tc>
      </w:tr>
      <w:tr w:rsidTr="0054066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9B35B8">
            <w:pPr>
              <w:pStyle w:val="BodyText"/>
              <w:rPr>
                <w:lang w:val="en-NZ"/>
              </w:rPr>
            </w:pPr>
            <w:r w:rsidRPr="009B35B8">
              <w:t>1</w:t>
            </w:r>
          </w:p>
        </w:tc>
        <w:tc>
          <w:tcPr>
            <w:tcW w:w="2296" w:type="dxa"/>
            <w:tcBorders>
              <w:top w:val="nil"/>
              <w:left w:val="nil"/>
              <w:bottom w:val="nil"/>
              <w:right w:val="nil"/>
            </w:tcBorders>
            <w:tcMar>
              <w:top w:w="0" w:type="dxa"/>
              <w:left w:w="62" w:type="dxa"/>
              <w:bottom w:w="0" w:type="dxa"/>
              <w:right w:w="62" w:type="dxa"/>
            </w:tcMar>
          </w:tcPr>
          <w:p w:rsidR="00000000" w:rsidP="009B35B8">
            <w:pPr>
              <w:pStyle w:val="BodyText"/>
              <w:rPr>
                <w:lang w:val="en-NZ"/>
              </w:rPr>
            </w:pPr>
            <w:r w:rsidRPr="009B35B8">
              <w:t>Prepare to operate an amateur radio communication station.</w:t>
            </w:r>
          </w:p>
        </w:tc>
        <w:tc>
          <w:tcPr>
            <w:tcW w:w="900" w:type="dxa"/>
            <w:tcBorders>
              <w:top w:val="nil"/>
              <w:left w:val="nil"/>
              <w:bottom w:val="nil"/>
              <w:right w:val="nil"/>
            </w:tcBorders>
            <w:tcMar>
              <w:top w:w="0" w:type="dxa"/>
              <w:left w:w="62" w:type="dxa"/>
              <w:bottom w:w="0" w:type="dxa"/>
              <w:right w:w="62" w:type="dxa"/>
            </w:tcMar>
          </w:tcPr>
          <w:p w:rsidR="00000000" w:rsidP="009B35B8">
            <w:pPr>
              <w:pStyle w:val="BodyText"/>
              <w:rPr>
                <w:lang w:val="en-NZ"/>
              </w:rPr>
            </w:pPr>
            <w:r w:rsidRPr="009B35B8">
              <w:t>1.1</w:t>
            </w:r>
          </w:p>
        </w:tc>
        <w:tc>
          <w:tcPr>
            <w:tcW w:w="4860" w:type="dxa"/>
            <w:tcBorders>
              <w:top w:val="nil"/>
              <w:left w:val="nil"/>
              <w:bottom w:val="nil"/>
              <w:right w:val="nil"/>
            </w:tcBorders>
            <w:tcMar>
              <w:top w:w="0" w:type="dxa"/>
              <w:left w:w="62" w:type="dxa"/>
              <w:bottom w:w="0" w:type="dxa"/>
              <w:right w:w="62" w:type="dxa"/>
            </w:tcMar>
          </w:tcPr>
          <w:p w:rsidR="00000000" w:rsidP="009B35B8">
            <w:pPr>
              <w:pStyle w:val="BodyText"/>
              <w:rPr>
                <w:lang w:val="en-NZ"/>
              </w:rPr>
            </w:pPr>
            <w:r w:rsidRPr="009B35B8">
              <w:t>OHS procedures for a given work area are identified, obtained and understood through established routines and procedures</w:t>
            </w:r>
          </w:p>
        </w:tc>
      </w:tr>
      <w:tr w:rsidTr="0054066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B35B8">
            <w:pPr>
              <w:pStyle w:val="BodyText"/>
              <w:rPr>
                <w:lang w:val="en-NZ"/>
              </w:rPr>
            </w:pPr>
            <w:r w:rsidRPr="009B35B8">
              <w:t>1.2</w:t>
            </w:r>
          </w:p>
        </w:tc>
        <w:tc>
          <w:tcPr>
            <w:tcW w:w="4860" w:type="dxa"/>
            <w:tcBorders>
              <w:top w:val="nil"/>
              <w:left w:val="nil"/>
              <w:bottom w:val="nil"/>
              <w:right w:val="nil"/>
            </w:tcBorders>
            <w:tcMar>
              <w:top w:w="0" w:type="dxa"/>
              <w:left w:w="62" w:type="dxa"/>
              <w:bottom w:w="0" w:type="dxa"/>
              <w:right w:w="62" w:type="dxa"/>
            </w:tcMar>
          </w:tcPr>
          <w:p w:rsidR="00000000" w:rsidP="009B35B8">
            <w:pPr>
              <w:pStyle w:val="BodyText"/>
              <w:rPr>
                <w:lang w:val="en-NZ"/>
              </w:rPr>
            </w:pPr>
            <w:r w:rsidRPr="009B35B8">
              <w:t xml:space="preserve">Established OHS risk control measures and procedures are followed in preparation for amateur radio activities </w:t>
            </w:r>
          </w:p>
        </w:tc>
      </w:tr>
      <w:tr w:rsidTr="0054066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B35B8">
            <w:pPr>
              <w:pStyle w:val="BodyText"/>
              <w:rPr>
                <w:lang w:val="en-NZ"/>
              </w:rPr>
            </w:pPr>
            <w:r w:rsidRPr="009B35B8">
              <w:t>1.3</w:t>
            </w:r>
          </w:p>
        </w:tc>
        <w:tc>
          <w:tcPr>
            <w:tcW w:w="4860" w:type="dxa"/>
            <w:tcBorders>
              <w:top w:val="nil"/>
              <w:left w:val="nil"/>
              <w:bottom w:val="nil"/>
              <w:right w:val="nil"/>
            </w:tcBorders>
            <w:tcMar>
              <w:top w:w="0" w:type="dxa"/>
              <w:left w:w="62" w:type="dxa"/>
              <w:bottom w:w="0" w:type="dxa"/>
              <w:right w:w="62" w:type="dxa"/>
            </w:tcMar>
          </w:tcPr>
          <w:p w:rsidR="00000000" w:rsidP="009B35B8">
            <w:pPr>
              <w:pStyle w:val="BodyText"/>
              <w:rPr>
                <w:lang w:val="en-NZ"/>
              </w:rPr>
            </w:pPr>
            <w:r w:rsidRPr="009B35B8">
              <w:t>The nature</w:t>
            </w:r>
            <w:r w:rsidRPr="009B35B8">
              <w:t xml:space="preserve"> of the operation of activity is identified to be within the Amateur Radio Standard Licence Conditions Determination</w:t>
            </w:r>
          </w:p>
        </w:tc>
      </w:tr>
      <w:tr w:rsidTr="0054066A">
        <w:tblPrEx>
          <w:tblW w:w="0" w:type="auto"/>
          <w:tblLayout w:type="fixed"/>
          <w:tblCellMar>
            <w:left w:w="62" w:type="dxa"/>
            <w:right w:w="62" w:type="dxa"/>
          </w:tblCellMar>
          <w:tblLook w:val="0000"/>
        </w:tblPrEx>
        <w:trPr>
          <w:trHeight w:val="361"/>
        </w:trPr>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B35B8">
            <w:pPr>
              <w:pStyle w:val="BodyText"/>
              <w:rPr>
                <w:lang w:val="en-NZ"/>
              </w:rPr>
            </w:pPr>
            <w:r w:rsidRPr="009B35B8">
              <w:t>1.4</w:t>
            </w:r>
          </w:p>
        </w:tc>
        <w:tc>
          <w:tcPr>
            <w:tcW w:w="4860" w:type="dxa"/>
            <w:tcBorders>
              <w:top w:val="nil"/>
              <w:left w:val="nil"/>
              <w:bottom w:val="nil"/>
              <w:right w:val="nil"/>
            </w:tcBorders>
            <w:tcMar>
              <w:top w:w="0" w:type="dxa"/>
              <w:left w:w="62" w:type="dxa"/>
              <w:bottom w:w="0" w:type="dxa"/>
              <w:right w:w="62" w:type="dxa"/>
            </w:tcMar>
          </w:tcPr>
          <w:p w:rsidR="00000000" w:rsidP="009B35B8">
            <w:pPr>
              <w:pStyle w:val="BodyText"/>
              <w:rPr>
                <w:lang w:val="en-NZ"/>
              </w:rPr>
            </w:pPr>
            <w:r w:rsidRPr="009B35B8">
              <w:t>S</w:t>
            </w:r>
            <w:r w:rsidRPr="009B35B8">
              <w:t>ources of materials that may be required for the Amateur Radio activities are identified and utilised according to manufacturer specifications and established routines and procedures</w:t>
            </w:r>
          </w:p>
        </w:tc>
      </w:tr>
      <w:tr w:rsidTr="0054066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B35B8">
            <w:pPr>
              <w:pStyle w:val="BodyText"/>
              <w:rPr>
                <w:lang w:val="en-NZ"/>
              </w:rPr>
            </w:pPr>
            <w:r w:rsidRPr="009B35B8">
              <w:t>1.5</w:t>
            </w:r>
          </w:p>
        </w:tc>
        <w:tc>
          <w:tcPr>
            <w:tcW w:w="4860" w:type="dxa"/>
            <w:tcBorders>
              <w:top w:val="nil"/>
              <w:left w:val="nil"/>
              <w:bottom w:val="nil"/>
              <w:right w:val="nil"/>
            </w:tcBorders>
            <w:tcMar>
              <w:top w:w="0" w:type="dxa"/>
              <w:left w:w="62" w:type="dxa"/>
              <w:bottom w:w="0" w:type="dxa"/>
              <w:right w:w="62" w:type="dxa"/>
            </w:tcMar>
          </w:tcPr>
          <w:p w:rsidR="00000000" w:rsidP="009B35B8">
            <w:pPr>
              <w:pStyle w:val="BodyText"/>
              <w:rPr>
                <w:lang w:val="en-NZ"/>
              </w:rPr>
            </w:pPr>
            <w:r w:rsidRPr="009B35B8">
              <w:t>Interference to other services is recognised and attended to by go</w:t>
            </w:r>
            <w:r w:rsidRPr="009B35B8">
              <w:t>od operating practices, and advice is sought from the ACMA to ensure interference to other services does not occur</w:t>
            </w:r>
          </w:p>
        </w:tc>
      </w:tr>
      <w:tr w:rsidTr="0054066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B35B8">
            <w:pPr>
              <w:pStyle w:val="BodyText"/>
              <w:rPr>
                <w:lang w:val="en-NZ"/>
              </w:rPr>
            </w:pPr>
            <w:r w:rsidRPr="009B35B8">
              <w:t>1.6</w:t>
            </w:r>
          </w:p>
        </w:tc>
        <w:tc>
          <w:tcPr>
            <w:tcW w:w="4860" w:type="dxa"/>
            <w:tcBorders>
              <w:top w:val="nil"/>
              <w:left w:val="nil"/>
              <w:bottom w:val="nil"/>
              <w:right w:val="nil"/>
            </w:tcBorders>
            <w:tcMar>
              <w:top w:w="0" w:type="dxa"/>
              <w:left w:w="62" w:type="dxa"/>
              <w:bottom w:w="0" w:type="dxa"/>
              <w:right w:w="62" w:type="dxa"/>
            </w:tcMar>
          </w:tcPr>
          <w:p w:rsidR="00000000" w:rsidP="009B35B8">
            <w:pPr>
              <w:pStyle w:val="BodyText"/>
              <w:rPr>
                <w:lang w:val="en-NZ"/>
              </w:rPr>
            </w:pPr>
            <w:r w:rsidRPr="009B35B8">
              <w:t>Resources, tools, apparatus and testing devices needed to carry out work are obtained and checked for correct operation and safety</w:t>
            </w:r>
          </w:p>
        </w:tc>
      </w:tr>
      <w:tr w:rsidTr="0054066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9B35B8">
            <w:pPr>
              <w:pStyle w:val="BodyText"/>
              <w:rPr>
                <w:lang w:val="en-NZ"/>
              </w:rPr>
            </w:pPr>
            <w:r w:rsidRPr="009B35B8">
              <w:t>2</w:t>
            </w:r>
          </w:p>
        </w:tc>
        <w:tc>
          <w:tcPr>
            <w:tcW w:w="2296" w:type="dxa"/>
            <w:tcBorders>
              <w:top w:val="nil"/>
              <w:left w:val="nil"/>
              <w:bottom w:val="nil"/>
              <w:right w:val="nil"/>
            </w:tcBorders>
            <w:tcMar>
              <w:top w:w="0" w:type="dxa"/>
              <w:left w:w="62" w:type="dxa"/>
              <w:bottom w:w="0" w:type="dxa"/>
              <w:right w:w="62" w:type="dxa"/>
            </w:tcMar>
          </w:tcPr>
          <w:p w:rsidR="00000000" w:rsidP="009B35B8">
            <w:pPr>
              <w:pStyle w:val="BodyText"/>
              <w:rPr>
                <w:lang w:val="en-NZ"/>
              </w:rPr>
            </w:pPr>
            <w:r w:rsidRPr="009B35B8">
              <w:t>Operate an amateur radio communication station.</w:t>
            </w:r>
          </w:p>
        </w:tc>
        <w:tc>
          <w:tcPr>
            <w:tcW w:w="900" w:type="dxa"/>
            <w:tcBorders>
              <w:top w:val="nil"/>
              <w:left w:val="nil"/>
              <w:bottom w:val="nil"/>
              <w:right w:val="nil"/>
            </w:tcBorders>
            <w:tcMar>
              <w:top w:w="0" w:type="dxa"/>
              <w:left w:w="62" w:type="dxa"/>
              <w:bottom w:w="0" w:type="dxa"/>
              <w:right w:w="62" w:type="dxa"/>
            </w:tcMar>
          </w:tcPr>
          <w:p w:rsidR="00000000" w:rsidP="009B35B8">
            <w:pPr>
              <w:pStyle w:val="BodyText"/>
              <w:rPr>
                <w:lang w:val="en-NZ"/>
              </w:rPr>
            </w:pPr>
            <w:r w:rsidRPr="009B35B8">
              <w:t>2.1</w:t>
            </w:r>
          </w:p>
        </w:tc>
        <w:tc>
          <w:tcPr>
            <w:tcW w:w="4860" w:type="dxa"/>
            <w:tcBorders>
              <w:top w:val="nil"/>
              <w:left w:val="nil"/>
              <w:bottom w:val="nil"/>
              <w:right w:val="nil"/>
            </w:tcBorders>
            <w:tcMar>
              <w:top w:w="0" w:type="dxa"/>
              <w:left w:w="62" w:type="dxa"/>
              <w:bottom w:w="0" w:type="dxa"/>
              <w:right w:w="62" w:type="dxa"/>
            </w:tcMar>
          </w:tcPr>
          <w:p w:rsidR="00000000" w:rsidP="009B35B8">
            <w:pPr>
              <w:pStyle w:val="BodyText"/>
              <w:rPr>
                <w:lang w:val="en-NZ"/>
              </w:rPr>
            </w:pPr>
            <w:r w:rsidRPr="009B35B8">
              <w:t>Established OHS risk control measures and procedures for carrying out the work are followed</w:t>
            </w:r>
          </w:p>
        </w:tc>
      </w:tr>
      <w:tr w:rsidTr="0054066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B35B8">
            <w:pPr>
              <w:pStyle w:val="BodyText"/>
              <w:rPr>
                <w:lang w:val="en-NZ"/>
              </w:rPr>
            </w:pPr>
            <w:r w:rsidRPr="009B35B8">
              <w:t>2.2</w:t>
            </w:r>
          </w:p>
        </w:tc>
        <w:tc>
          <w:tcPr>
            <w:tcW w:w="4860" w:type="dxa"/>
            <w:tcBorders>
              <w:top w:val="nil"/>
              <w:left w:val="nil"/>
              <w:bottom w:val="nil"/>
              <w:right w:val="nil"/>
            </w:tcBorders>
            <w:tcMar>
              <w:top w:w="0" w:type="dxa"/>
              <w:left w:w="62" w:type="dxa"/>
              <w:bottom w:w="0" w:type="dxa"/>
              <w:right w:w="62" w:type="dxa"/>
            </w:tcMar>
          </w:tcPr>
          <w:p w:rsidR="00000000" w:rsidP="009B35B8">
            <w:pPr>
              <w:pStyle w:val="BodyText"/>
              <w:rPr>
                <w:lang w:val="en-NZ"/>
              </w:rPr>
            </w:pPr>
            <w:r w:rsidRPr="009B35B8">
              <w:t>The need to test or measure equipment is determined in strict accordance with OHS requirements and when n</w:t>
            </w:r>
            <w:r w:rsidRPr="009B35B8">
              <w:t>ecessary conducted within established safety procedures</w:t>
            </w:r>
          </w:p>
        </w:tc>
      </w:tr>
      <w:tr w:rsidTr="0054066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B35B8">
            <w:pPr>
              <w:pStyle w:val="BodyText"/>
              <w:rPr>
                <w:lang w:val="en-NZ"/>
              </w:rPr>
            </w:pPr>
            <w:r w:rsidRPr="009B35B8">
              <w:t>2.3</w:t>
            </w:r>
          </w:p>
        </w:tc>
        <w:tc>
          <w:tcPr>
            <w:tcW w:w="4860" w:type="dxa"/>
            <w:tcBorders>
              <w:top w:val="nil"/>
              <w:left w:val="nil"/>
              <w:bottom w:val="nil"/>
              <w:right w:val="nil"/>
            </w:tcBorders>
            <w:tcMar>
              <w:top w:w="0" w:type="dxa"/>
              <w:left w:w="62" w:type="dxa"/>
              <w:bottom w:w="0" w:type="dxa"/>
              <w:right w:w="62" w:type="dxa"/>
            </w:tcMar>
          </w:tcPr>
          <w:p w:rsidR="00000000" w:rsidP="009B35B8">
            <w:pPr>
              <w:pStyle w:val="BodyText"/>
              <w:rPr>
                <w:lang w:val="en-NZ"/>
              </w:rPr>
            </w:pPr>
            <w:r w:rsidRPr="009B35B8">
              <w:t>Circuits/apparatus are checked as being isolated where necessary in strict accordance with OHS requirements and procedures</w:t>
            </w:r>
          </w:p>
        </w:tc>
      </w:tr>
      <w:tr w:rsidTr="0054066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B35B8">
            <w:pPr>
              <w:pStyle w:val="BodyText"/>
              <w:rPr>
                <w:lang w:val="en-NZ"/>
              </w:rPr>
            </w:pPr>
            <w:r w:rsidRPr="009B35B8">
              <w:t>2.4</w:t>
            </w:r>
          </w:p>
        </w:tc>
        <w:tc>
          <w:tcPr>
            <w:tcW w:w="4860" w:type="dxa"/>
            <w:tcBorders>
              <w:top w:val="nil"/>
              <w:left w:val="nil"/>
              <w:bottom w:val="nil"/>
              <w:right w:val="nil"/>
            </w:tcBorders>
            <w:tcMar>
              <w:top w:w="0" w:type="dxa"/>
              <w:left w:w="62" w:type="dxa"/>
              <w:bottom w:w="0" w:type="dxa"/>
              <w:right w:w="62" w:type="dxa"/>
            </w:tcMar>
          </w:tcPr>
          <w:p w:rsidR="00000000" w:rsidP="009B35B8">
            <w:pPr>
              <w:pStyle w:val="BodyText"/>
              <w:rPr>
                <w:lang w:val="en-NZ"/>
              </w:rPr>
            </w:pPr>
            <w:r w:rsidRPr="009B35B8">
              <w:t>Radio communications operating practices and procedures are dem</w:t>
            </w:r>
            <w:r w:rsidRPr="009B35B8">
              <w:t>onstrated and are in accordance with established requirements</w:t>
            </w:r>
          </w:p>
        </w:tc>
      </w:tr>
      <w:tr w:rsidTr="0054066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B35B8">
            <w:pPr>
              <w:pStyle w:val="BodyText"/>
              <w:rPr>
                <w:lang w:val="en-NZ"/>
              </w:rPr>
            </w:pPr>
            <w:r w:rsidRPr="009B35B8">
              <w:t>2.5</w:t>
            </w:r>
          </w:p>
        </w:tc>
        <w:tc>
          <w:tcPr>
            <w:tcW w:w="4860" w:type="dxa"/>
            <w:tcBorders>
              <w:top w:val="nil"/>
              <w:left w:val="nil"/>
              <w:bottom w:val="nil"/>
              <w:right w:val="nil"/>
            </w:tcBorders>
            <w:tcMar>
              <w:top w:w="0" w:type="dxa"/>
              <w:left w:w="62" w:type="dxa"/>
              <w:bottom w:w="0" w:type="dxa"/>
              <w:right w:w="62" w:type="dxa"/>
            </w:tcMar>
          </w:tcPr>
          <w:p w:rsidR="00000000" w:rsidP="009B35B8">
            <w:pPr>
              <w:pStyle w:val="BodyText"/>
              <w:rPr>
                <w:lang w:val="en-NZ"/>
              </w:rPr>
            </w:pPr>
            <w:r w:rsidRPr="009B35B8">
              <w:t>Amateur radio communication station is operated in accordance with Standard Licence Operator’s level as prescribed by the Australian Communication Media Authority</w:t>
            </w:r>
          </w:p>
        </w:tc>
      </w:tr>
      <w:tr w:rsidTr="0054066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B35B8">
            <w:pPr>
              <w:pStyle w:val="BodyText"/>
              <w:rPr>
                <w:lang w:val="en-NZ"/>
              </w:rPr>
            </w:pPr>
            <w:r w:rsidRPr="009B35B8">
              <w:t>2.6</w:t>
            </w:r>
          </w:p>
        </w:tc>
        <w:tc>
          <w:tcPr>
            <w:tcW w:w="4860" w:type="dxa"/>
            <w:tcBorders>
              <w:top w:val="nil"/>
              <w:left w:val="nil"/>
              <w:bottom w:val="nil"/>
              <w:right w:val="nil"/>
            </w:tcBorders>
            <w:tcMar>
              <w:top w:w="0" w:type="dxa"/>
              <w:left w:w="62" w:type="dxa"/>
              <w:bottom w:w="0" w:type="dxa"/>
              <w:right w:w="62" w:type="dxa"/>
            </w:tcMar>
          </w:tcPr>
          <w:p w:rsidR="00000000" w:rsidP="009B35B8">
            <w:pPr>
              <w:pStyle w:val="BodyText"/>
              <w:rPr>
                <w:lang w:val="en-NZ"/>
              </w:rPr>
            </w:pPr>
            <w:r w:rsidRPr="009B35B8">
              <w:t>Methods for dealing with unexpected situations are selected on the basis of safety, discussions with appropriate persons and specified work outcomes</w:t>
            </w:r>
          </w:p>
        </w:tc>
      </w:tr>
      <w:tr w:rsidTr="0054066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B35B8">
            <w:pPr>
              <w:pStyle w:val="BodyText"/>
              <w:rPr>
                <w:lang w:val="en-NZ"/>
              </w:rPr>
            </w:pPr>
            <w:r w:rsidRPr="009B35B8">
              <w:t>2.7</w:t>
            </w:r>
          </w:p>
        </w:tc>
        <w:tc>
          <w:tcPr>
            <w:tcW w:w="4860" w:type="dxa"/>
            <w:tcBorders>
              <w:top w:val="nil"/>
              <w:left w:val="nil"/>
              <w:bottom w:val="nil"/>
              <w:right w:val="nil"/>
            </w:tcBorders>
            <w:tcMar>
              <w:top w:w="0" w:type="dxa"/>
              <w:left w:w="62" w:type="dxa"/>
              <w:bottom w:w="0" w:type="dxa"/>
              <w:right w:w="62" w:type="dxa"/>
            </w:tcMar>
          </w:tcPr>
          <w:p w:rsidR="00000000" w:rsidP="009B35B8">
            <w:pPr>
              <w:pStyle w:val="BodyText"/>
              <w:rPr>
                <w:lang w:val="en-NZ"/>
              </w:rPr>
            </w:pPr>
            <w:r w:rsidRPr="009B35B8">
              <w:t>Set-up is carried out efficiently without waste of materials or damage to apparatus, the surrounding</w:t>
            </w:r>
            <w:r w:rsidRPr="009B35B8">
              <w:t xml:space="preserve"> environment or services and using sustainable energy principles</w:t>
            </w:r>
          </w:p>
        </w:tc>
      </w:tr>
      <w:tr w:rsidTr="0054066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9B35B8">
            <w:pPr>
              <w:pStyle w:val="BodyText"/>
              <w:rPr>
                <w:lang w:val="en-NZ"/>
              </w:rPr>
            </w:pPr>
            <w:r w:rsidRPr="009B35B8">
              <w:t>3</w:t>
            </w:r>
          </w:p>
        </w:tc>
        <w:tc>
          <w:tcPr>
            <w:tcW w:w="2296" w:type="dxa"/>
            <w:tcBorders>
              <w:top w:val="nil"/>
              <w:left w:val="nil"/>
              <w:bottom w:val="nil"/>
              <w:right w:val="nil"/>
            </w:tcBorders>
            <w:tcMar>
              <w:top w:w="0" w:type="dxa"/>
              <w:left w:w="62" w:type="dxa"/>
              <w:bottom w:w="0" w:type="dxa"/>
              <w:right w:w="62" w:type="dxa"/>
            </w:tcMar>
          </w:tcPr>
          <w:p w:rsidR="00000000" w:rsidP="009B35B8">
            <w:pPr>
              <w:pStyle w:val="BodyText"/>
              <w:rPr>
                <w:lang w:val="en-NZ"/>
              </w:rPr>
            </w:pPr>
            <w:r w:rsidRPr="009B35B8">
              <w:t>Maintain an amateur radio communication station</w:t>
            </w:r>
          </w:p>
        </w:tc>
        <w:tc>
          <w:tcPr>
            <w:tcW w:w="900" w:type="dxa"/>
            <w:tcBorders>
              <w:top w:val="nil"/>
              <w:left w:val="nil"/>
              <w:bottom w:val="nil"/>
              <w:right w:val="nil"/>
            </w:tcBorders>
            <w:tcMar>
              <w:top w:w="0" w:type="dxa"/>
              <w:left w:w="62" w:type="dxa"/>
              <w:bottom w:w="0" w:type="dxa"/>
              <w:right w:w="62" w:type="dxa"/>
            </w:tcMar>
          </w:tcPr>
          <w:p w:rsidR="00000000" w:rsidP="009B35B8">
            <w:pPr>
              <w:pStyle w:val="BodyText"/>
              <w:rPr>
                <w:lang w:val="en-NZ"/>
              </w:rPr>
            </w:pPr>
            <w:r w:rsidRPr="009B35B8">
              <w:t>3.1</w:t>
            </w:r>
          </w:p>
        </w:tc>
        <w:tc>
          <w:tcPr>
            <w:tcW w:w="4860" w:type="dxa"/>
            <w:tcBorders>
              <w:top w:val="nil"/>
              <w:left w:val="nil"/>
              <w:bottom w:val="nil"/>
              <w:right w:val="nil"/>
            </w:tcBorders>
            <w:tcMar>
              <w:top w:w="0" w:type="dxa"/>
              <w:left w:w="62" w:type="dxa"/>
              <w:bottom w:w="0" w:type="dxa"/>
              <w:right w:w="62" w:type="dxa"/>
            </w:tcMar>
          </w:tcPr>
          <w:p w:rsidR="00000000" w:rsidP="009B35B8">
            <w:pPr>
              <w:pStyle w:val="BodyText"/>
              <w:rPr>
                <w:lang w:val="en-NZ"/>
              </w:rPr>
            </w:pPr>
            <w:r w:rsidRPr="009B35B8">
              <w:t>OHS work completion risk control measures and procedures are followed.</w:t>
            </w:r>
          </w:p>
        </w:tc>
      </w:tr>
      <w:tr w:rsidTr="0054066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B35B8">
            <w:pPr>
              <w:pStyle w:val="BodyText"/>
              <w:rPr>
                <w:lang w:val="en-NZ"/>
              </w:rPr>
            </w:pPr>
            <w:r w:rsidRPr="009B35B8">
              <w:t>3.2</w:t>
            </w:r>
          </w:p>
        </w:tc>
        <w:tc>
          <w:tcPr>
            <w:tcW w:w="4860" w:type="dxa"/>
            <w:tcBorders>
              <w:top w:val="nil"/>
              <w:left w:val="nil"/>
              <w:bottom w:val="nil"/>
              <w:right w:val="nil"/>
            </w:tcBorders>
            <w:tcMar>
              <w:top w:w="0" w:type="dxa"/>
              <w:left w:w="62" w:type="dxa"/>
              <w:bottom w:w="0" w:type="dxa"/>
              <w:right w:w="62" w:type="dxa"/>
            </w:tcMar>
          </w:tcPr>
          <w:p w:rsidR="00000000" w:rsidP="009B35B8">
            <w:pPr>
              <w:pStyle w:val="BodyText"/>
              <w:rPr>
                <w:lang w:val="en-NZ"/>
              </w:rPr>
            </w:pPr>
            <w:r w:rsidRPr="009B35B8">
              <w:t>Modules/sub-assemblies are tagged during the dismantling to help ensure correct and efficient reassembly and stored to protect them against loss or damage.</w:t>
            </w:r>
          </w:p>
        </w:tc>
      </w:tr>
      <w:tr w:rsidTr="0054066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B35B8">
            <w:pPr>
              <w:pStyle w:val="BodyText"/>
              <w:rPr>
                <w:lang w:val="en-NZ"/>
              </w:rPr>
            </w:pPr>
            <w:r w:rsidRPr="009B35B8">
              <w:t>3.3</w:t>
            </w:r>
          </w:p>
        </w:tc>
        <w:tc>
          <w:tcPr>
            <w:tcW w:w="4860" w:type="dxa"/>
            <w:tcBorders>
              <w:top w:val="nil"/>
              <w:left w:val="nil"/>
              <w:bottom w:val="nil"/>
              <w:right w:val="nil"/>
            </w:tcBorders>
            <w:tcMar>
              <w:top w:w="0" w:type="dxa"/>
              <w:left w:w="62" w:type="dxa"/>
              <w:bottom w:w="0" w:type="dxa"/>
              <w:right w:w="62" w:type="dxa"/>
            </w:tcMar>
          </w:tcPr>
          <w:p w:rsidR="00000000" w:rsidP="009B35B8">
            <w:pPr>
              <w:pStyle w:val="BodyText"/>
              <w:rPr>
                <w:lang w:val="en-NZ"/>
              </w:rPr>
            </w:pPr>
            <w:r w:rsidRPr="009B35B8">
              <w:t>Apparatus is dismantled and assembled in accordance with manufacturer guidelines.</w:t>
            </w:r>
          </w:p>
        </w:tc>
      </w:tr>
      <w:tr w:rsidTr="0054066A">
        <w:tblPrEx>
          <w:tblW w:w="0" w:type="auto"/>
          <w:tblLayout w:type="fixed"/>
          <w:tblCellMar>
            <w:left w:w="62" w:type="dxa"/>
            <w:right w:w="62" w:type="dxa"/>
          </w:tblCellMar>
          <w:tblLook w:val="0000"/>
        </w:tblPrEx>
        <w:trPr>
          <w:trHeight w:val="843"/>
        </w:trPr>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B35B8">
            <w:pPr>
              <w:pStyle w:val="BodyText"/>
              <w:rPr>
                <w:lang w:val="en-NZ"/>
              </w:rPr>
            </w:pPr>
            <w:r w:rsidRPr="009B35B8">
              <w:t>3.4</w:t>
            </w:r>
          </w:p>
        </w:tc>
        <w:tc>
          <w:tcPr>
            <w:tcW w:w="4860" w:type="dxa"/>
            <w:tcBorders>
              <w:top w:val="nil"/>
              <w:left w:val="nil"/>
              <w:bottom w:val="nil"/>
              <w:right w:val="nil"/>
            </w:tcBorders>
            <w:tcMar>
              <w:top w:w="0" w:type="dxa"/>
              <w:left w:w="62" w:type="dxa"/>
              <w:bottom w:w="0" w:type="dxa"/>
              <w:right w:w="62" w:type="dxa"/>
            </w:tcMar>
          </w:tcPr>
          <w:p w:rsidR="00000000" w:rsidP="009B35B8">
            <w:pPr>
              <w:pStyle w:val="BodyText"/>
              <w:rPr>
                <w:lang w:val="en-NZ"/>
              </w:rPr>
            </w:pPr>
            <w:r w:rsidRPr="009B35B8">
              <w:t>Repa</w:t>
            </w:r>
            <w:r w:rsidRPr="009B35B8">
              <w:t>irs are affected efficiently without damage to other components, apparatus or circuits and in accordance with established procedures</w:t>
            </w:r>
          </w:p>
        </w:tc>
      </w:tr>
      <w:tr w:rsidTr="0054066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B35B8">
            <w:pPr>
              <w:pStyle w:val="BodyText"/>
              <w:rPr>
                <w:lang w:val="en-NZ"/>
              </w:rPr>
            </w:pPr>
            <w:r w:rsidRPr="009B35B8">
              <w:t>3.5</w:t>
            </w:r>
          </w:p>
        </w:tc>
        <w:tc>
          <w:tcPr>
            <w:tcW w:w="4860" w:type="dxa"/>
            <w:tcBorders>
              <w:top w:val="nil"/>
              <w:left w:val="nil"/>
              <w:bottom w:val="nil"/>
              <w:right w:val="nil"/>
            </w:tcBorders>
            <w:tcMar>
              <w:top w:w="0" w:type="dxa"/>
              <w:left w:w="62" w:type="dxa"/>
              <w:bottom w:w="0" w:type="dxa"/>
              <w:right w:w="62" w:type="dxa"/>
            </w:tcMar>
          </w:tcPr>
          <w:p w:rsidR="00000000" w:rsidP="009B35B8">
            <w:pPr>
              <w:pStyle w:val="BodyText"/>
              <w:rPr>
                <w:lang w:val="en-NZ"/>
              </w:rPr>
            </w:pPr>
            <w:r w:rsidRPr="009B35B8">
              <w:t>Repairs are carried out efficiently without unnecessary waste of materials or damage to apparatus and the surrounding environment or services and using sustainable energy practices</w:t>
            </w:r>
          </w:p>
        </w:tc>
      </w:tr>
      <w:tr w:rsidTr="0054066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B35B8">
            <w:pPr>
              <w:pStyle w:val="BodyText"/>
              <w:rPr>
                <w:lang w:val="en-NZ"/>
              </w:rPr>
            </w:pPr>
            <w:r w:rsidRPr="009B35B8">
              <w:t>3.6</w:t>
            </w:r>
          </w:p>
        </w:tc>
        <w:tc>
          <w:tcPr>
            <w:tcW w:w="4860" w:type="dxa"/>
            <w:tcBorders>
              <w:top w:val="nil"/>
              <w:left w:val="nil"/>
              <w:bottom w:val="nil"/>
              <w:right w:val="nil"/>
            </w:tcBorders>
            <w:tcMar>
              <w:top w:w="0" w:type="dxa"/>
              <w:left w:w="62" w:type="dxa"/>
              <w:bottom w:w="0" w:type="dxa"/>
              <w:right w:w="62" w:type="dxa"/>
            </w:tcMar>
          </w:tcPr>
          <w:p w:rsidR="00000000" w:rsidP="009B35B8">
            <w:pPr>
              <w:pStyle w:val="BodyText"/>
              <w:rPr>
                <w:lang w:val="en-NZ"/>
              </w:rPr>
            </w:pPr>
            <w:r w:rsidRPr="009B35B8">
              <w:t>Apparatus is assembled in an appropriate sequence with all modules/s</w:t>
            </w:r>
            <w:r w:rsidRPr="009B35B8">
              <w:t>ub-assemblies and parts correctly placed, secured and connected in accordance with manufacturer guidelines and industry practice</w:t>
            </w:r>
          </w:p>
        </w:tc>
      </w:tr>
      <w:tr w:rsidTr="0054066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B35B8">
            <w:pPr>
              <w:pStyle w:val="BodyText"/>
              <w:rPr>
                <w:lang w:val="en-NZ"/>
              </w:rPr>
            </w:pPr>
            <w:r w:rsidRPr="009B35B8">
              <w:t>3.7</w:t>
            </w:r>
          </w:p>
        </w:tc>
        <w:tc>
          <w:tcPr>
            <w:tcW w:w="4860" w:type="dxa"/>
            <w:tcBorders>
              <w:top w:val="nil"/>
              <w:left w:val="nil"/>
              <w:bottom w:val="nil"/>
              <w:right w:val="nil"/>
            </w:tcBorders>
            <w:tcMar>
              <w:top w:w="0" w:type="dxa"/>
              <w:left w:w="62" w:type="dxa"/>
              <w:bottom w:w="0" w:type="dxa"/>
              <w:right w:w="62" w:type="dxa"/>
            </w:tcMar>
          </w:tcPr>
          <w:p w:rsidR="00000000" w:rsidP="009B35B8">
            <w:pPr>
              <w:pStyle w:val="BodyText"/>
              <w:rPr>
                <w:lang w:val="en-NZ"/>
              </w:rPr>
            </w:pPr>
            <w:r w:rsidRPr="009B35B8">
              <w:t>Repaired radio equipment, where appropriate, is tested and returned to service to ensure operating parameters are not ex</w:t>
            </w:r>
            <w:r w:rsidRPr="009B35B8">
              <w:t>ceeded</w:t>
            </w:r>
          </w:p>
        </w:tc>
      </w:tr>
      <w:tr w:rsidTr="0054066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B35B8">
            <w:pPr>
              <w:pStyle w:val="BodyText"/>
              <w:rPr>
                <w:lang w:val="en-NZ"/>
              </w:rPr>
            </w:pPr>
            <w:r w:rsidRPr="009B35B8">
              <w:t>3.8</w:t>
            </w:r>
          </w:p>
        </w:tc>
        <w:tc>
          <w:tcPr>
            <w:tcW w:w="4860" w:type="dxa"/>
            <w:tcBorders>
              <w:top w:val="nil"/>
              <w:left w:val="nil"/>
              <w:bottom w:val="nil"/>
              <w:right w:val="nil"/>
            </w:tcBorders>
            <w:tcMar>
              <w:top w:w="0" w:type="dxa"/>
              <w:left w:w="62" w:type="dxa"/>
              <w:bottom w:w="0" w:type="dxa"/>
              <w:right w:w="62" w:type="dxa"/>
            </w:tcMar>
          </w:tcPr>
          <w:p w:rsidR="00000000" w:rsidP="009B35B8">
            <w:pPr>
              <w:pStyle w:val="BodyText"/>
              <w:rPr>
                <w:lang w:val="en-NZ"/>
              </w:rPr>
            </w:pPr>
            <w:r w:rsidRPr="009B35B8">
              <w:t>Procedures for referring non-routine events to appropriate authorities are followed</w:t>
            </w:r>
          </w:p>
        </w:tc>
      </w:tr>
      <w:tr w:rsidTr="0054066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B35B8">
            <w:pPr>
              <w:pStyle w:val="BodyText"/>
              <w:rPr>
                <w:lang w:val="en-NZ"/>
              </w:rPr>
            </w:pPr>
            <w:r w:rsidRPr="009B35B8">
              <w:t>3.9</w:t>
            </w:r>
          </w:p>
        </w:tc>
        <w:tc>
          <w:tcPr>
            <w:tcW w:w="4860" w:type="dxa"/>
            <w:tcBorders>
              <w:top w:val="nil"/>
              <w:left w:val="nil"/>
              <w:bottom w:val="nil"/>
              <w:right w:val="nil"/>
            </w:tcBorders>
            <w:tcMar>
              <w:top w:w="0" w:type="dxa"/>
              <w:left w:w="62" w:type="dxa"/>
              <w:bottom w:w="0" w:type="dxa"/>
              <w:right w:w="62" w:type="dxa"/>
            </w:tcMar>
          </w:tcPr>
          <w:p w:rsidR="00000000" w:rsidP="009B35B8">
            <w:pPr>
              <w:pStyle w:val="BodyText"/>
              <w:rPr>
                <w:lang w:val="en-NZ"/>
              </w:rPr>
            </w:pPr>
            <w:r w:rsidRPr="009B35B8">
              <w:t>Work and operating area is cleaned and made safe in accordance with established procedures</w:t>
            </w:r>
          </w:p>
        </w:tc>
      </w:tr>
      <w:tr w:rsidTr="0054066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9B35B8">
            <w:pPr>
              <w:pStyle w:val="BodyText"/>
              <w:rPr>
                <w:lang w:val="en-NZ"/>
              </w:rPr>
            </w:pPr>
            <w:r w:rsidRPr="009B35B8">
              <w:t>4</w:t>
            </w:r>
          </w:p>
        </w:tc>
        <w:tc>
          <w:tcPr>
            <w:tcW w:w="2296" w:type="dxa"/>
            <w:tcBorders>
              <w:top w:val="nil"/>
              <w:left w:val="nil"/>
              <w:bottom w:val="nil"/>
              <w:right w:val="nil"/>
            </w:tcBorders>
            <w:tcMar>
              <w:top w:w="0" w:type="dxa"/>
              <w:left w:w="62" w:type="dxa"/>
              <w:bottom w:w="0" w:type="dxa"/>
              <w:right w:w="62" w:type="dxa"/>
            </w:tcMar>
          </w:tcPr>
          <w:p w:rsidR="00000000" w:rsidP="009B35B8">
            <w:pPr>
              <w:pStyle w:val="BodyText"/>
              <w:rPr>
                <w:lang w:val="en-NZ"/>
              </w:rPr>
            </w:pPr>
            <w:r w:rsidRPr="009B35B8">
              <w:t>Identify and assemble amateur radio communication equipment and associated apparatus</w:t>
            </w:r>
          </w:p>
        </w:tc>
        <w:tc>
          <w:tcPr>
            <w:tcW w:w="900" w:type="dxa"/>
            <w:tcBorders>
              <w:top w:val="nil"/>
              <w:left w:val="nil"/>
              <w:bottom w:val="nil"/>
              <w:right w:val="nil"/>
            </w:tcBorders>
            <w:tcMar>
              <w:top w:w="0" w:type="dxa"/>
              <w:left w:w="62" w:type="dxa"/>
              <w:bottom w:w="0" w:type="dxa"/>
              <w:right w:w="62" w:type="dxa"/>
            </w:tcMar>
          </w:tcPr>
          <w:p w:rsidR="00000000" w:rsidP="009B35B8">
            <w:pPr>
              <w:pStyle w:val="BodyText"/>
              <w:rPr>
                <w:lang w:val="en-NZ"/>
              </w:rPr>
            </w:pPr>
            <w:r w:rsidRPr="009B35B8">
              <w:t>4.1</w:t>
            </w:r>
          </w:p>
        </w:tc>
        <w:tc>
          <w:tcPr>
            <w:tcW w:w="4860" w:type="dxa"/>
            <w:tcBorders>
              <w:top w:val="nil"/>
              <w:left w:val="nil"/>
              <w:bottom w:val="nil"/>
              <w:right w:val="nil"/>
            </w:tcBorders>
            <w:tcMar>
              <w:top w:w="0" w:type="dxa"/>
              <w:left w:w="62" w:type="dxa"/>
              <w:bottom w:w="0" w:type="dxa"/>
              <w:right w:w="62" w:type="dxa"/>
            </w:tcMar>
          </w:tcPr>
          <w:p w:rsidR="00000000" w:rsidP="009B35B8">
            <w:pPr>
              <w:pStyle w:val="BodyText"/>
              <w:rPr>
                <w:lang w:val="en-NZ"/>
              </w:rPr>
            </w:pPr>
            <w:r w:rsidRPr="009B35B8">
              <w:t>Established OHS risk control measures and procedures for carrying out the work are followed</w:t>
            </w:r>
          </w:p>
        </w:tc>
      </w:tr>
      <w:tr w:rsidTr="0054066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B35B8">
            <w:pPr>
              <w:pStyle w:val="BodyText"/>
              <w:rPr>
                <w:lang w:val="en-NZ"/>
              </w:rPr>
            </w:pPr>
            <w:r w:rsidRPr="009B35B8">
              <w:t>4.2</w:t>
            </w:r>
          </w:p>
        </w:tc>
        <w:tc>
          <w:tcPr>
            <w:tcW w:w="4860" w:type="dxa"/>
            <w:tcBorders>
              <w:top w:val="nil"/>
              <w:left w:val="nil"/>
              <w:bottom w:val="nil"/>
              <w:right w:val="nil"/>
            </w:tcBorders>
            <w:tcMar>
              <w:top w:w="0" w:type="dxa"/>
              <w:left w:w="62" w:type="dxa"/>
              <w:bottom w:w="0" w:type="dxa"/>
              <w:right w:w="62" w:type="dxa"/>
            </w:tcMar>
          </w:tcPr>
          <w:p w:rsidR="00000000" w:rsidP="009B35B8">
            <w:pPr>
              <w:pStyle w:val="BodyText"/>
              <w:rPr>
                <w:lang w:val="en-NZ"/>
              </w:rPr>
            </w:pPr>
            <w:r w:rsidRPr="009B35B8">
              <w:t>Requirements for the item to be assembled are identified</w:t>
            </w:r>
          </w:p>
        </w:tc>
      </w:tr>
      <w:tr w:rsidTr="0054066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B35B8">
            <w:pPr>
              <w:pStyle w:val="BodyText"/>
              <w:rPr>
                <w:lang w:val="en-NZ"/>
              </w:rPr>
            </w:pPr>
            <w:r w:rsidRPr="009B35B8">
              <w:t>4.3</w:t>
            </w:r>
          </w:p>
        </w:tc>
        <w:tc>
          <w:tcPr>
            <w:tcW w:w="4860" w:type="dxa"/>
            <w:tcBorders>
              <w:top w:val="nil"/>
              <w:left w:val="nil"/>
              <w:bottom w:val="nil"/>
              <w:right w:val="nil"/>
            </w:tcBorders>
            <w:tcMar>
              <w:top w:w="0" w:type="dxa"/>
              <w:left w:w="62" w:type="dxa"/>
              <w:bottom w:w="0" w:type="dxa"/>
              <w:right w:w="62" w:type="dxa"/>
            </w:tcMar>
          </w:tcPr>
          <w:p w:rsidR="00000000" w:rsidP="009B35B8">
            <w:pPr>
              <w:pStyle w:val="BodyText"/>
              <w:rPr>
                <w:lang w:val="en-NZ"/>
              </w:rPr>
            </w:pPr>
            <w:r w:rsidRPr="009B35B8">
              <w:t>Item</w:t>
            </w:r>
            <w:r w:rsidRPr="009B35B8">
              <w:t xml:space="preserve"> is assembled in accordance with established procedures and relevant engineering standards</w:t>
            </w:r>
          </w:p>
        </w:tc>
      </w:tr>
      <w:tr w:rsidTr="0054066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B35B8">
            <w:pPr>
              <w:pStyle w:val="BodyText"/>
              <w:rPr>
                <w:lang w:val="en-NZ"/>
              </w:rPr>
            </w:pPr>
            <w:r w:rsidRPr="009B35B8">
              <w:t>4.4</w:t>
            </w:r>
          </w:p>
        </w:tc>
        <w:tc>
          <w:tcPr>
            <w:tcW w:w="4860" w:type="dxa"/>
            <w:tcBorders>
              <w:top w:val="nil"/>
              <w:left w:val="nil"/>
              <w:bottom w:val="nil"/>
              <w:right w:val="nil"/>
            </w:tcBorders>
            <w:tcMar>
              <w:top w:w="0" w:type="dxa"/>
              <w:left w:w="62" w:type="dxa"/>
              <w:bottom w:w="0" w:type="dxa"/>
              <w:right w:w="62" w:type="dxa"/>
            </w:tcMar>
          </w:tcPr>
          <w:p w:rsidR="00000000" w:rsidP="009B35B8">
            <w:pPr>
              <w:pStyle w:val="BodyText"/>
              <w:rPr>
                <w:lang w:val="en-NZ"/>
              </w:rPr>
            </w:pPr>
            <w:r w:rsidRPr="009B35B8">
              <w:t>Assembled unit is tested to ensure that the operating parameters of the station will not be compromised</w:t>
            </w:r>
          </w:p>
        </w:tc>
      </w:tr>
      <w:tr w:rsidTr="0054066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B35B8">
            <w:pPr>
              <w:pStyle w:val="BodyText"/>
              <w:rPr>
                <w:lang w:val="en-NZ"/>
              </w:rPr>
            </w:pPr>
            <w:r w:rsidRPr="009B35B8">
              <w:t>4.5</w:t>
            </w:r>
          </w:p>
        </w:tc>
        <w:tc>
          <w:tcPr>
            <w:tcW w:w="4860" w:type="dxa"/>
            <w:tcBorders>
              <w:top w:val="nil"/>
              <w:left w:val="nil"/>
              <w:bottom w:val="nil"/>
              <w:right w:val="nil"/>
            </w:tcBorders>
            <w:tcMar>
              <w:top w:w="0" w:type="dxa"/>
              <w:left w:w="62" w:type="dxa"/>
              <w:bottom w:w="0" w:type="dxa"/>
              <w:right w:w="62" w:type="dxa"/>
            </w:tcMar>
          </w:tcPr>
          <w:p w:rsidR="00000000" w:rsidP="009B35B8">
            <w:pPr>
              <w:pStyle w:val="BodyText"/>
              <w:rPr>
                <w:lang w:val="en-NZ"/>
              </w:rPr>
            </w:pPr>
            <w:r w:rsidRPr="009B35B8">
              <w:t>Adjustments are made to the equipment where required to optimise reception</w:t>
            </w:r>
          </w:p>
        </w:tc>
      </w:tr>
      <w:tr w:rsidTr="0054066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B35B8">
            <w:pPr>
              <w:pStyle w:val="BodyText"/>
              <w:rPr>
                <w:lang w:val="en-NZ"/>
              </w:rPr>
            </w:pPr>
            <w:r w:rsidRPr="009B35B8">
              <w:t>4.6</w:t>
            </w:r>
          </w:p>
        </w:tc>
        <w:tc>
          <w:tcPr>
            <w:tcW w:w="4860" w:type="dxa"/>
            <w:tcBorders>
              <w:top w:val="nil"/>
              <w:left w:val="nil"/>
              <w:bottom w:val="nil"/>
              <w:right w:val="nil"/>
            </w:tcBorders>
            <w:tcMar>
              <w:top w:w="0" w:type="dxa"/>
              <w:left w:w="62" w:type="dxa"/>
              <w:bottom w:w="0" w:type="dxa"/>
              <w:right w:w="62" w:type="dxa"/>
            </w:tcMar>
          </w:tcPr>
          <w:p w:rsidR="00000000" w:rsidP="009B35B8">
            <w:pPr>
              <w:pStyle w:val="BodyText"/>
              <w:rPr>
                <w:lang w:val="en-NZ"/>
              </w:rPr>
            </w:pPr>
            <w:r w:rsidRPr="009B35B8">
              <w:t>Commission the equipment as constructed for on air performance.</w:t>
            </w:r>
          </w:p>
        </w:tc>
      </w:tr>
      <w:tr w:rsidTr="0054066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9B35B8">
            <w:pPr>
              <w:pStyle w:val="BodyText"/>
              <w:rPr>
                <w:lang w:val="en-NZ"/>
              </w:rPr>
            </w:pPr>
            <w:r w:rsidRPr="009B35B8">
              <w:t>5</w:t>
            </w:r>
          </w:p>
        </w:tc>
        <w:tc>
          <w:tcPr>
            <w:tcW w:w="2296" w:type="dxa"/>
            <w:tcBorders>
              <w:top w:val="nil"/>
              <w:left w:val="nil"/>
              <w:bottom w:val="nil"/>
              <w:right w:val="nil"/>
            </w:tcBorders>
            <w:tcMar>
              <w:top w:w="0" w:type="dxa"/>
              <w:left w:w="62" w:type="dxa"/>
              <w:bottom w:w="0" w:type="dxa"/>
              <w:right w:w="62" w:type="dxa"/>
            </w:tcMar>
          </w:tcPr>
          <w:p w:rsidR="00000000" w:rsidP="009B35B8">
            <w:pPr>
              <w:pStyle w:val="BodyText"/>
              <w:rPr>
                <w:lang w:val="en-NZ"/>
              </w:rPr>
            </w:pPr>
            <w:r w:rsidRPr="009B35B8">
              <w:t>Complete work and maintain reports</w:t>
            </w:r>
          </w:p>
        </w:tc>
        <w:tc>
          <w:tcPr>
            <w:tcW w:w="900" w:type="dxa"/>
            <w:tcBorders>
              <w:top w:val="nil"/>
              <w:left w:val="nil"/>
              <w:bottom w:val="nil"/>
              <w:right w:val="nil"/>
            </w:tcBorders>
            <w:tcMar>
              <w:top w:w="0" w:type="dxa"/>
              <w:left w:w="62" w:type="dxa"/>
              <w:bottom w:w="0" w:type="dxa"/>
              <w:right w:w="62" w:type="dxa"/>
            </w:tcMar>
          </w:tcPr>
          <w:p w:rsidR="00000000" w:rsidP="009B35B8">
            <w:pPr>
              <w:pStyle w:val="BodyText"/>
              <w:rPr>
                <w:lang w:val="en-NZ"/>
              </w:rPr>
            </w:pPr>
            <w:r w:rsidRPr="009B35B8">
              <w:t>5.1</w:t>
            </w:r>
          </w:p>
        </w:tc>
        <w:tc>
          <w:tcPr>
            <w:tcW w:w="4860" w:type="dxa"/>
            <w:tcBorders>
              <w:top w:val="nil"/>
              <w:left w:val="nil"/>
              <w:bottom w:val="nil"/>
              <w:right w:val="nil"/>
            </w:tcBorders>
            <w:tcMar>
              <w:top w:w="0" w:type="dxa"/>
              <w:left w:w="62" w:type="dxa"/>
              <w:bottom w:w="0" w:type="dxa"/>
              <w:right w:w="62" w:type="dxa"/>
            </w:tcMar>
          </w:tcPr>
          <w:p w:rsidR="00000000" w:rsidP="009B35B8">
            <w:pPr>
              <w:pStyle w:val="BodyText"/>
              <w:rPr>
                <w:lang w:val="en-NZ"/>
              </w:rPr>
            </w:pPr>
            <w:r w:rsidRPr="009B35B8">
              <w:t>OHS work completion risk control measures and procedures are followe</w:t>
            </w:r>
            <w:r w:rsidRPr="009B35B8">
              <w:t>d</w:t>
            </w:r>
          </w:p>
        </w:tc>
      </w:tr>
      <w:tr w:rsidTr="0054066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B35B8">
            <w:pPr>
              <w:pStyle w:val="BodyText"/>
              <w:rPr>
                <w:lang w:val="en-NZ"/>
              </w:rPr>
            </w:pPr>
            <w:r w:rsidRPr="009B35B8">
              <w:t>5.2</w:t>
            </w:r>
          </w:p>
        </w:tc>
        <w:tc>
          <w:tcPr>
            <w:tcW w:w="4860" w:type="dxa"/>
            <w:tcBorders>
              <w:top w:val="nil"/>
              <w:left w:val="nil"/>
              <w:bottom w:val="nil"/>
              <w:right w:val="nil"/>
            </w:tcBorders>
            <w:tcMar>
              <w:top w:w="0" w:type="dxa"/>
              <w:left w:w="62" w:type="dxa"/>
              <w:bottom w:w="0" w:type="dxa"/>
              <w:right w:w="62" w:type="dxa"/>
            </w:tcMar>
          </w:tcPr>
          <w:p w:rsidR="00000000" w:rsidP="009B35B8">
            <w:pPr>
              <w:pStyle w:val="BodyText"/>
              <w:rPr>
                <w:lang w:val="en-NZ"/>
              </w:rPr>
            </w:pPr>
            <w:r w:rsidRPr="009B35B8">
              <w:t>Work site is cleaned and made safe in accordance with established procedures</w:t>
            </w:r>
          </w:p>
        </w:tc>
      </w:tr>
      <w:tr w:rsidTr="0054066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B35B8">
            <w:pPr>
              <w:pStyle w:val="BodyText"/>
              <w:rPr>
                <w:lang w:val="en-NZ"/>
              </w:rPr>
            </w:pPr>
            <w:r w:rsidRPr="009B35B8">
              <w:t>5.3</w:t>
            </w:r>
          </w:p>
        </w:tc>
        <w:tc>
          <w:tcPr>
            <w:tcW w:w="4860" w:type="dxa"/>
            <w:tcBorders>
              <w:top w:val="nil"/>
              <w:left w:val="nil"/>
              <w:bottom w:val="nil"/>
              <w:right w:val="nil"/>
            </w:tcBorders>
            <w:tcMar>
              <w:top w:w="0" w:type="dxa"/>
              <w:left w:w="62" w:type="dxa"/>
              <w:bottom w:w="0" w:type="dxa"/>
              <w:right w:w="62" w:type="dxa"/>
            </w:tcMar>
          </w:tcPr>
          <w:p w:rsidR="00000000" w:rsidRPr="009B35B8" w:rsidP="009B35B8">
            <w:pPr>
              <w:pStyle w:val="BodyText"/>
            </w:pPr>
            <w:r w:rsidRPr="009B35B8">
              <w:t>Adjustment settings are documented and appropriate person(s) notified in accordance with established procedures</w:t>
            </w:r>
          </w:p>
        </w:tc>
      </w:tr>
    </w:tbl>
    <w:p w:rsidR="00000000" w:rsidRPr="009B35B8" w:rsidP="009B35B8">
      <w:pPr>
        <w:pStyle w:val="BodyText"/>
      </w:pPr>
    </w:p>
    <w:p w:rsidR="00000000" w:rsidRPr="009B35B8" w:rsidP="009B35B8">
      <w:pPr>
        <w:pStyle w:val="AllowPageBreak"/>
      </w:pPr>
    </w:p>
    <w:p w:rsidR="00000000" w:rsidRPr="009B35B8" w:rsidP="009B35B8">
      <w:pPr>
        <w:pStyle w:val="Heading1"/>
      </w:pPr>
      <w:bookmarkStart w:id="9" w:name="O_416117"/>
      <w:bookmarkEnd w:id="9"/>
      <w:r w:rsidRPr="009B35B8">
        <w:t>Required Skills and Knowledge</w:t>
      </w:r>
    </w:p>
    <w:tbl>
      <w:tblPr>
        <w:tblW w:w="0" w:type="auto"/>
        <w:tblLayout w:type="fixed"/>
        <w:tblCellMar>
          <w:left w:w="62" w:type="dxa"/>
          <w:right w:w="62" w:type="dxa"/>
        </w:tblCellMar>
        <w:tblLook w:val="0000"/>
      </w:tblPr>
      <w:tblGrid>
        <w:gridCol w:w="8460"/>
      </w:tblGrid>
      <w:tr w:rsidTr="0054066A">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9B35B8">
            <w:pPr>
              <w:pStyle w:val="BodyText"/>
              <w:rPr>
                <w:lang w:val="en-NZ"/>
              </w:rPr>
            </w:pPr>
            <w:r w:rsidRPr="009B35B8">
              <w:rPr>
                <w:rStyle w:val="SpecialBold"/>
              </w:rPr>
              <w:t>REQUIRED SKILLS AND KNOWLEDGE</w:t>
            </w:r>
          </w:p>
        </w:tc>
      </w:tr>
      <w:tr w:rsidTr="0054066A">
        <w:tblPrEx>
          <w:tblW w:w="0" w:type="auto"/>
          <w:tblLayout w:type="fixed"/>
          <w:tblCellMar>
            <w:left w:w="62" w:type="dxa"/>
            <w:right w:w="62" w:type="dxa"/>
          </w:tblCellMar>
          <w:tblLook w:val="0000"/>
        </w:tblPrEx>
        <w:trPr>
          <w:trHeight w:val="226"/>
        </w:trPr>
        <w:tc>
          <w:tcPr>
            <w:tcW w:w="8460" w:type="dxa"/>
            <w:tcBorders>
              <w:top w:val="nil"/>
              <w:left w:val="nil"/>
              <w:bottom w:val="nil"/>
              <w:right w:val="nil"/>
            </w:tcBorders>
            <w:tcMar>
              <w:top w:w="0" w:type="dxa"/>
              <w:left w:w="62" w:type="dxa"/>
              <w:bottom w:w="0" w:type="dxa"/>
              <w:right w:w="62" w:type="dxa"/>
            </w:tcMar>
          </w:tcPr>
          <w:p w:rsidR="00000000" w:rsidRPr="009B35B8" w:rsidP="009B35B8">
            <w:pPr>
              <w:pStyle w:val="BodyText"/>
            </w:pPr>
            <w:r w:rsidRPr="009B35B8">
              <w:rPr>
                <w:rStyle w:val="SpecialBold"/>
              </w:rPr>
              <w:t>8)</w:t>
            </w:r>
            <w:r w:rsidRPr="009B35B8">
              <w:t xml:space="preserve">  This describes the essential skills and knowledge and their level, required for this unit.</w:t>
            </w:r>
          </w:p>
          <w:p w:rsidR="00000000" w:rsidRPr="009B35B8" w:rsidP="009B35B8">
            <w:pPr>
              <w:pStyle w:val="BodyText"/>
            </w:pPr>
            <w:r w:rsidRPr="009B35B8">
              <w:t>Evidence shall show that knowledge has been acquired of safe working practices and carrying out radio station operation, basic mai</w:t>
            </w:r>
            <w:r w:rsidRPr="009B35B8">
              <w:t>ntenance and assembly of radio communication equipment.</w:t>
            </w:r>
          </w:p>
          <w:p w:rsidR="00000000" w:rsidRPr="009B35B8" w:rsidP="009B35B8">
            <w:pPr>
              <w:pStyle w:val="BodyText"/>
            </w:pPr>
            <w:r w:rsidRPr="009B35B8">
              <w:t>All knowledge and skills detailed in this unit should be contextualised to current industry practices and technologies.</w:t>
            </w:r>
          </w:p>
          <w:p w:rsidR="00000000" w:rsidRPr="009B35B8" w:rsidP="009B35B8">
            <w:pPr>
              <w:pStyle w:val="BodyText"/>
            </w:pPr>
            <w:r w:rsidRPr="009B35B8">
              <w:rPr>
                <w:rStyle w:val="SpecialBold"/>
              </w:rPr>
              <w:t>KS01-EB101A                       Amateur radio communication principles, operat</w:t>
            </w:r>
            <w:r w:rsidRPr="009B35B8">
              <w:rPr>
                <w:rStyle w:val="SpecialBold"/>
              </w:rPr>
              <w:t>ion and maintenance</w:t>
            </w:r>
          </w:p>
          <w:p w:rsidR="00000000" w:rsidRPr="009B35B8" w:rsidP="009B35B8">
            <w:pPr>
              <w:pStyle w:val="BodyText"/>
            </w:pPr>
            <w:r w:rsidRPr="009B35B8">
              <w:t>Evidence shall show an understanding of amateur radio communication principles, operation and maintenance practices, and technical overview, applying safe working practices and relevant Standards, Codes and Regulations to an extent indi</w:t>
            </w:r>
            <w:r w:rsidRPr="009B35B8">
              <w:t>cated by the following aspects:</w:t>
            </w:r>
          </w:p>
          <w:p w:rsidR="00000000" w:rsidRPr="009B35B8" w:rsidP="009B35B8">
            <w:pPr>
              <w:pStyle w:val="BodyText"/>
            </w:pPr>
            <w:r w:rsidRPr="009B35B8">
              <w:t>T1.</w:t>
            </w:r>
            <w:r w:rsidRPr="009B35B8">
              <w:tab/>
              <w:t>Nature of Amateur Radio encompassing:</w:t>
            </w:r>
          </w:p>
          <w:p w:rsidR="00000000" w:rsidRPr="009B35B8" w:rsidP="009B35B8">
            <w:pPr>
              <w:pStyle w:val="ListBullet"/>
            </w:pPr>
            <w:r w:rsidRPr="009B35B8">
              <w:t>Nature of Amateur radio</w:t>
            </w:r>
          </w:p>
          <w:p w:rsidR="00000000" w:rsidRPr="009B35B8" w:rsidP="009B35B8">
            <w:pPr>
              <w:pStyle w:val="ListBullet"/>
            </w:pPr>
            <w:r w:rsidRPr="009B35B8">
              <w:t>Types of licences</w:t>
            </w:r>
          </w:p>
          <w:p w:rsidR="00000000" w:rsidRPr="009B35B8" w:rsidP="009B35B8">
            <w:pPr>
              <w:pStyle w:val="ListBullet"/>
            </w:pPr>
            <w:r w:rsidRPr="009B35B8">
              <w:t>Allocation of frequency bands</w:t>
            </w:r>
          </w:p>
          <w:p w:rsidR="00000000" w:rsidRPr="009B35B8" w:rsidP="009B35B8">
            <w:pPr>
              <w:pStyle w:val="BodyText"/>
            </w:pPr>
            <w:r w:rsidRPr="009B35B8">
              <w:t>T2.</w:t>
            </w:r>
            <w:r w:rsidRPr="009B35B8">
              <w:tab/>
              <w:t>Licence Conditions encompassing:</w:t>
            </w:r>
          </w:p>
          <w:p w:rsidR="00000000" w:rsidRPr="009B35B8" w:rsidP="009B35B8">
            <w:pPr>
              <w:pStyle w:val="ListBullet"/>
            </w:pPr>
            <w:r w:rsidRPr="009B35B8">
              <w:t>Conditions of licences</w:t>
            </w:r>
          </w:p>
          <w:p w:rsidR="00000000" w:rsidRPr="009B35B8" w:rsidP="009B35B8">
            <w:pPr>
              <w:pStyle w:val="ListBullet"/>
            </w:pPr>
            <w:r w:rsidRPr="009B35B8">
              <w:t>Purpose of the Amateur Service</w:t>
            </w:r>
          </w:p>
          <w:p w:rsidR="00000000" w:rsidRPr="009B35B8" w:rsidP="009B35B8">
            <w:pPr>
              <w:pStyle w:val="ListBullet"/>
            </w:pPr>
            <w:r w:rsidRPr="009B35B8">
              <w:t>Communications by Amateur stations</w:t>
            </w:r>
          </w:p>
          <w:p w:rsidR="00000000" w:rsidRPr="009B35B8" w:rsidP="009B35B8">
            <w:pPr>
              <w:pStyle w:val="ListBullet"/>
            </w:pPr>
            <w:r w:rsidRPr="009B35B8">
              <w:t>Distress and Urgency signals</w:t>
            </w:r>
          </w:p>
          <w:p w:rsidR="00000000" w:rsidRPr="009B35B8" w:rsidP="009B35B8">
            <w:pPr>
              <w:pStyle w:val="ListBullet"/>
            </w:pPr>
            <w:r w:rsidRPr="009B35B8">
              <w:t>Station identification</w:t>
            </w:r>
          </w:p>
          <w:p w:rsidR="00000000" w:rsidRPr="009B35B8" w:rsidP="009B35B8">
            <w:pPr>
              <w:pStyle w:val="ListBullet"/>
            </w:pPr>
            <w:r w:rsidRPr="009B35B8">
              <w:t>Amateur call signs</w:t>
            </w:r>
          </w:p>
          <w:p w:rsidR="00000000" w:rsidRPr="009B35B8" w:rsidP="009B35B8">
            <w:pPr>
              <w:pStyle w:val="ListBullet"/>
            </w:pPr>
            <w:r w:rsidRPr="009B35B8">
              <w:t>Secret messages</w:t>
            </w:r>
          </w:p>
          <w:p w:rsidR="00000000" w:rsidRPr="009B35B8" w:rsidP="009B35B8">
            <w:pPr>
              <w:pStyle w:val="ListBullet"/>
            </w:pPr>
            <w:r w:rsidRPr="009B35B8">
              <w:t>Entertainment not permitted</w:t>
            </w:r>
          </w:p>
          <w:p w:rsidR="00000000" w:rsidRPr="009B35B8" w:rsidP="009B35B8">
            <w:pPr>
              <w:pStyle w:val="ListBullet"/>
            </w:pPr>
            <w:r w:rsidRPr="009B35B8">
              <w:t>Amateur frequency bands and emissions</w:t>
            </w:r>
          </w:p>
          <w:p w:rsidR="00000000" w:rsidRPr="009B35B8" w:rsidP="009B35B8">
            <w:pPr>
              <w:pStyle w:val="ListBullet"/>
            </w:pPr>
            <w:r w:rsidRPr="009B35B8">
              <w:t>Permitted power output</w:t>
            </w:r>
          </w:p>
          <w:p w:rsidR="00000000" w:rsidRPr="009B35B8" w:rsidP="009B35B8">
            <w:pPr>
              <w:pStyle w:val="ListBullet"/>
            </w:pPr>
            <w:r w:rsidRPr="009B35B8">
              <w:t>Notification of change of address</w:t>
            </w:r>
          </w:p>
          <w:p w:rsidR="00000000" w:rsidRPr="009B35B8" w:rsidP="009B35B8">
            <w:pPr>
              <w:pStyle w:val="ListBullet"/>
            </w:pPr>
            <w:r w:rsidRPr="009B35B8">
              <w:t>Harmful int</w:t>
            </w:r>
            <w:r w:rsidRPr="009B35B8">
              <w:t>erference</w:t>
            </w:r>
          </w:p>
          <w:p w:rsidR="00000000" w:rsidRPr="009B35B8" w:rsidP="009B35B8">
            <w:pPr>
              <w:pStyle w:val="ListBullet"/>
            </w:pPr>
            <w:r w:rsidRPr="009B35B8">
              <w:t>Authorised use of Amateur stations</w:t>
            </w:r>
          </w:p>
          <w:p w:rsidR="00000000" w:rsidRPr="009B35B8" w:rsidP="009B35B8">
            <w:pPr>
              <w:pStyle w:val="ListBullet"/>
            </w:pPr>
            <w:r w:rsidRPr="009B35B8">
              <w:t>Inspection of Amateur licences</w:t>
            </w:r>
          </w:p>
          <w:p w:rsidR="00000000" w:rsidRPr="009B35B8" w:rsidP="009B35B8">
            <w:pPr>
              <w:pStyle w:val="ListBullet"/>
            </w:pPr>
            <w:r w:rsidRPr="009B35B8">
              <w:t>Restriction of operation to avoid interference</w:t>
            </w:r>
          </w:p>
          <w:p w:rsidR="00000000" w:rsidRPr="009B35B8" w:rsidP="009B35B8">
            <w:pPr>
              <w:pStyle w:val="ListBullet"/>
            </w:pPr>
            <w:r w:rsidRPr="009B35B8">
              <w:t>Use of the Licence Condition Determinations</w:t>
            </w:r>
          </w:p>
          <w:p w:rsidR="00000000" w:rsidRPr="009B35B8" w:rsidP="009B35B8">
            <w:pPr>
              <w:pStyle w:val="BodyText"/>
            </w:pPr>
            <w:r w:rsidRPr="009B35B8">
              <w:t>T3.</w:t>
            </w:r>
            <w:r w:rsidRPr="009B35B8">
              <w:tab/>
              <w:t>Mathematics used for Amateur radio operation encompassing:</w:t>
            </w:r>
          </w:p>
          <w:p w:rsidR="00000000" w:rsidRPr="009B35B8" w:rsidP="009B35B8">
            <w:pPr>
              <w:pStyle w:val="ListBullet"/>
            </w:pPr>
            <w:r w:rsidRPr="009B35B8">
              <w:t>addition, subtraction, multiplication and division</w:t>
            </w:r>
          </w:p>
          <w:p w:rsidR="00000000" w:rsidRPr="009B35B8" w:rsidP="009B35B8">
            <w:pPr>
              <w:pStyle w:val="ListBullet"/>
            </w:pPr>
            <w:r w:rsidRPr="009B35B8">
              <w:t>fractions, percentage, and decimal notation</w:t>
            </w:r>
          </w:p>
          <w:p w:rsidR="00000000" w:rsidRPr="009B35B8" w:rsidP="009B35B8">
            <w:pPr>
              <w:pStyle w:val="ListBullet"/>
            </w:pPr>
            <w:r w:rsidRPr="009B35B8">
              <w:t>units and sub-units; (mega, kilo, UNIT, micro, and pico)</w:t>
            </w:r>
          </w:p>
          <w:p w:rsidR="00000000" w:rsidRPr="009B35B8" w:rsidP="009B35B8">
            <w:pPr>
              <w:pStyle w:val="ListBullet"/>
            </w:pPr>
            <w:r w:rsidRPr="009B35B8">
              <w:t>calculations using simple formulae</w:t>
            </w:r>
          </w:p>
          <w:p w:rsidR="00000000" w:rsidRPr="009B35B8" w:rsidP="009B35B8">
            <w:pPr>
              <w:pStyle w:val="BodyText"/>
            </w:pPr>
            <w:r w:rsidRPr="009B35B8">
              <w:t>T4.</w:t>
            </w:r>
            <w:r w:rsidRPr="009B35B8">
              <w:tab/>
              <w:t>Amateur radio technical basics encompassing:</w:t>
            </w:r>
          </w:p>
          <w:p w:rsidR="00000000" w:rsidRPr="009B35B8" w:rsidP="009B35B8">
            <w:pPr>
              <w:pStyle w:val="ListBullet"/>
            </w:pPr>
            <w:r w:rsidRPr="009B35B8">
              <w:t>Mains power overvie</w:t>
            </w:r>
            <w:r w:rsidRPr="009B35B8">
              <w:t>w</w:t>
            </w:r>
          </w:p>
          <w:p w:rsidR="00000000" w:rsidRPr="009B35B8" w:rsidP="009B35B8">
            <w:pPr>
              <w:pStyle w:val="ListBullet"/>
            </w:pPr>
            <w:r w:rsidRPr="009B35B8">
              <w:t>Mains power supplies overview</w:t>
            </w:r>
          </w:p>
          <w:p w:rsidR="00000000" w:rsidRPr="009B35B8" w:rsidP="009B35B8">
            <w:pPr>
              <w:pStyle w:val="ListBullet"/>
            </w:pPr>
            <w:r w:rsidRPr="009B35B8">
              <w:t>Voltage and current overview</w:t>
            </w:r>
          </w:p>
          <w:p w:rsidR="00000000" w:rsidRPr="009B35B8" w:rsidP="009B35B8">
            <w:pPr>
              <w:pStyle w:val="ListBullet"/>
            </w:pPr>
            <w:r w:rsidRPr="009B35B8">
              <w:t>Resistance overview</w:t>
            </w:r>
          </w:p>
          <w:p w:rsidR="00000000" w:rsidRPr="009B35B8" w:rsidP="009B35B8">
            <w:pPr>
              <w:pStyle w:val="ListBullet"/>
            </w:pPr>
            <w:r w:rsidRPr="009B35B8">
              <w:t>Ohm’s Law overview and the relationship between voltage, current and resistance</w:t>
            </w:r>
          </w:p>
          <w:p w:rsidR="00000000" w:rsidRPr="009B35B8" w:rsidP="009B35B8">
            <w:pPr>
              <w:pStyle w:val="ListBullet"/>
            </w:pPr>
            <w:r w:rsidRPr="009B35B8">
              <w:t>Power in DC circuits overview including calculations related to power in a DC circuit using cur</w:t>
            </w:r>
            <w:r w:rsidRPr="009B35B8">
              <w:t>rent and voltage, current and resistance or voltage and resistance.</w:t>
            </w:r>
          </w:p>
          <w:p w:rsidR="00000000" w:rsidRPr="009B35B8" w:rsidP="009B35B8">
            <w:pPr>
              <w:pStyle w:val="ListBullet"/>
            </w:pPr>
            <w:r w:rsidRPr="009B35B8">
              <w:t>Capacitance overview</w:t>
            </w:r>
          </w:p>
          <w:p w:rsidR="00000000" w:rsidRPr="009B35B8" w:rsidP="009B35B8">
            <w:pPr>
              <w:pStyle w:val="ListBullet"/>
            </w:pPr>
            <w:r w:rsidRPr="009B35B8">
              <w:t>Inductance overview</w:t>
            </w:r>
          </w:p>
          <w:p w:rsidR="00000000" w:rsidRPr="009B35B8" w:rsidP="009B35B8">
            <w:pPr>
              <w:pStyle w:val="ListBullet"/>
            </w:pPr>
            <w:r w:rsidRPr="009B35B8">
              <w:t>AC circuits overview</w:t>
            </w:r>
          </w:p>
          <w:p w:rsidR="00000000" w:rsidRPr="009B35B8" w:rsidP="009B35B8">
            <w:pPr>
              <w:pStyle w:val="ListBullet"/>
            </w:pPr>
            <w:r w:rsidRPr="009B35B8">
              <w:t>Impedance and reactance overview</w:t>
            </w:r>
          </w:p>
          <w:p w:rsidR="00000000" w:rsidRPr="009B35B8" w:rsidP="009B35B8">
            <w:pPr>
              <w:pStyle w:val="ListBullet"/>
            </w:pPr>
            <w:r w:rsidRPr="009B35B8">
              <w:t>Tuned circuits overview</w:t>
            </w:r>
          </w:p>
          <w:p w:rsidR="00000000" w:rsidRPr="009B35B8" w:rsidP="009B35B8">
            <w:pPr>
              <w:pStyle w:val="ListBullet"/>
            </w:pPr>
            <w:r w:rsidRPr="009B35B8">
              <w:t>Transformers overview</w:t>
            </w:r>
          </w:p>
          <w:p w:rsidR="00000000" w:rsidRPr="009B35B8" w:rsidP="009B35B8">
            <w:pPr>
              <w:pStyle w:val="ListBullet"/>
            </w:pPr>
            <w:r w:rsidRPr="009B35B8">
              <w:t>Solid state devices overview</w:t>
            </w:r>
          </w:p>
          <w:p w:rsidR="00000000" w:rsidRPr="009B35B8" w:rsidP="009B35B8">
            <w:pPr>
              <w:pStyle w:val="BodyText"/>
            </w:pPr>
            <w:r w:rsidRPr="009B35B8">
              <w:t>T5.</w:t>
            </w:r>
            <w:r w:rsidRPr="009B35B8">
              <w:tab/>
              <w:t>Transmitters a</w:t>
            </w:r>
            <w:r w:rsidRPr="009B35B8">
              <w:t>nd Receivers – basic overview encompassing:</w:t>
            </w:r>
          </w:p>
          <w:p w:rsidR="00000000" w:rsidRPr="009B35B8" w:rsidP="009B35B8">
            <w:pPr>
              <w:pStyle w:val="ListBullet"/>
            </w:pPr>
            <w:r w:rsidRPr="009B35B8">
              <w:t xml:space="preserve">Block diagrams of simple transmitters </w:t>
            </w:r>
          </w:p>
          <w:p w:rsidR="00000000" w:rsidRPr="009B35B8" w:rsidP="009B35B8">
            <w:pPr>
              <w:pStyle w:val="ListBullet"/>
            </w:pPr>
            <w:r w:rsidRPr="009B35B8">
              <w:t>Mixers</w:t>
            </w:r>
          </w:p>
          <w:p w:rsidR="00000000" w:rsidRPr="009B35B8" w:rsidP="009B35B8">
            <w:pPr>
              <w:pStyle w:val="ListBullet"/>
            </w:pPr>
            <w:r w:rsidRPr="009B35B8">
              <w:t>Modulation</w:t>
            </w:r>
          </w:p>
          <w:p w:rsidR="00000000" w:rsidRPr="009B35B8" w:rsidP="009B35B8">
            <w:pPr>
              <w:pStyle w:val="ListBullet"/>
            </w:pPr>
            <w:r w:rsidRPr="009B35B8">
              <w:t>Amplifiers</w:t>
            </w:r>
          </w:p>
          <w:p w:rsidR="00000000" w:rsidRPr="009B35B8" w:rsidP="009B35B8">
            <w:pPr>
              <w:pStyle w:val="ListBullet"/>
            </w:pPr>
            <w:r w:rsidRPr="009B35B8">
              <w:t>Transmission quality</w:t>
            </w:r>
          </w:p>
          <w:p w:rsidR="00000000" w:rsidRPr="009B35B8" w:rsidP="009B35B8">
            <w:pPr>
              <w:pStyle w:val="ListBullet"/>
            </w:pPr>
            <w:r w:rsidRPr="009B35B8">
              <w:t>Receiver parameters and terminology</w:t>
            </w:r>
          </w:p>
          <w:p w:rsidR="00000000" w:rsidRPr="009B35B8" w:rsidP="009B35B8">
            <w:pPr>
              <w:pStyle w:val="ListBullet"/>
            </w:pPr>
            <w:r w:rsidRPr="009B35B8">
              <w:t>Simple block diagrams of a Receiver</w:t>
            </w:r>
          </w:p>
          <w:p w:rsidR="00000000" w:rsidRPr="009B35B8" w:rsidP="009B35B8">
            <w:pPr>
              <w:pStyle w:val="ListBullet"/>
            </w:pPr>
            <w:r w:rsidRPr="009B35B8">
              <w:t>Frequency converters</w:t>
            </w:r>
          </w:p>
          <w:p w:rsidR="00000000" w:rsidRPr="009B35B8" w:rsidP="009B35B8">
            <w:pPr>
              <w:pStyle w:val="ListBullet"/>
            </w:pPr>
            <w:r w:rsidRPr="009B35B8">
              <w:t>IF amplifier</w:t>
            </w:r>
          </w:p>
          <w:p w:rsidR="00000000" w:rsidRPr="009B35B8" w:rsidP="009B35B8">
            <w:pPr>
              <w:pStyle w:val="ListBullet"/>
            </w:pPr>
            <w:r w:rsidRPr="009B35B8">
              <w:t>Automatic Gain Control</w:t>
            </w:r>
          </w:p>
          <w:p w:rsidR="00000000" w:rsidRPr="009B35B8" w:rsidP="009B35B8">
            <w:pPr>
              <w:pStyle w:val="ListBullet"/>
            </w:pPr>
            <w:r w:rsidRPr="009B35B8">
              <w:t>Transceivers</w:t>
            </w:r>
          </w:p>
          <w:p w:rsidR="00000000" w:rsidRPr="009B35B8" w:rsidP="009B35B8">
            <w:pPr>
              <w:pStyle w:val="BodyText"/>
            </w:pPr>
            <w:r w:rsidRPr="009B35B8">
              <w:t>T6.</w:t>
            </w:r>
            <w:r w:rsidRPr="009B35B8">
              <w:tab/>
              <w:t>Transmission lines and Antennas overview encompassing:</w:t>
            </w:r>
          </w:p>
          <w:p w:rsidR="00000000" w:rsidRPr="009B35B8" w:rsidP="009B35B8">
            <w:pPr>
              <w:pStyle w:val="ListBullet"/>
            </w:pPr>
            <w:r w:rsidRPr="009B35B8">
              <w:t>Transmission line basics</w:t>
            </w:r>
          </w:p>
          <w:p w:rsidR="00000000" w:rsidRPr="009B35B8" w:rsidP="009B35B8">
            <w:pPr>
              <w:pStyle w:val="ListBullet"/>
            </w:pPr>
            <w:r w:rsidRPr="009B35B8">
              <w:t>Baluns</w:t>
            </w:r>
          </w:p>
          <w:p w:rsidR="00000000" w:rsidRPr="009B35B8" w:rsidP="009B35B8">
            <w:pPr>
              <w:pStyle w:val="ListBullet"/>
            </w:pPr>
            <w:r w:rsidRPr="009B35B8">
              <w:t>Standing waves</w:t>
            </w:r>
          </w:p>
          <w:p w:rsidR="00000000" w:rsidRPr="009B35B8" w:rsidP="009B35B8">
            <w:pPr>
              <w:pStyle w:val="ListBullet"/>
            </w:pPr>
            <w:r w:rsidRPr="009B35B8">
              <w:t>Antenna Matching Units (ATU)</w:t>
            </w:r>
          </w:p>
          <w:p w:rsidR="00000000" w:rsidRPr="009B35B8" w:rsidP="009B35B8">
            <w:pPr>
              <w:pStyle w:val="ListBullet"/>
            </w:pPr>
            <w:r w:rsidRPr="009B35B8">
              <w:t>Antennas</w:t>
            </w:r>
          </w:p>
          <w:p w:rsidR="00000000" w:rsidRPr="009B35B8" w:rsidP="009B35B8">
            <w:pPr>
              <w:pStyle w:val="ListBullet"/>
            </w:pPr>
            <w:r w:rsidRPr="009B35B8">
              <w:t>Identification of common antennas</w:t>
            </w:r>
          </w:p>
          <w:p w:rsidR="00000000" w:rsidRPr="009B35B8" w:rsidP="009B35B8">
            <w:pPr>
              <w:pStyle w:val="ListBullet"/>
            </w:pPr>
            <w:r w:rsidRPr="009B35B8">
              <w:t>Radiated Power</w:t>
            </w:r>
          </w:p>
          <w:p w:rsidR="00000000" w:rsidRPr="009B35B8" w:rsidP="009B35B8">
            <w:pPr>
              <w:pStyle w:val="BodyText"/>
            </w:pPr>
            <w:r w:rsidRPr="009B35B8">
              <w:t>T7.</w:t>
            </w:r>
            <w:r w:rsidRPr="009B35B8">
              <w:tab/>
              <w:t>Propagation overview e</w:t>
            </w:r>
            <w:r w:rsidRPr="009B35B8">
              <w:t>ncompassing:</w:t>
            </w:r>
          </w:p>
          <w:p w:rsidR="00000000" w:rsidRPr="009B35B8" w:rsidP="009B35B8">
            <w:pPr>
              <w:pStyle w:val="ListBullet"/>
            </w:pPr>
            <w:r w:rsidRPr="009B35B8">
              <w:t>Electromagnetic radiation</w:t>
            </w:r>
          </w:p>
          <w:p w:rsidR="00000000" w:rsidRPr="009B35B8" w:rsidP="009B35B8">
            <w:pPr>
              <w:pStyle w:val="ListBullet"/>
            </w:pPr>
            <w:r w:rsidRPr="009B35B8">
              <w:t>Ionosphere</w:t>
            </w:r>
          </w:p>
          <w:p w:rsidR="00000000" w:rsidRPr="009B35B8" w:rsidP="009B35B8">
            <w:pPr>
              <w:pStyle w:val="BodyText"/>
            </w:pPr>
            <w:r w:rsidRPr="009B35B8">
              <w:t>T8.</w:t>
            </w:r>
            <w:r w:rsidRPr="009B35B8">
              <w:tab/>
              <w:t>Interference and Electromagnetic Compatibility (EMC) overview encompassing:</w:t>
            </w:r>
          </w:p>
          <w:p w:rsidR="00000000" w:rsidRPr="009B35B8" w:rsidP="009B35B8">
            <w:pPr>
              <w:pStyle w:val="ListBullet"/>
            </w:pPr>
            <w:r w:rsidRPr="009B35B8">
              <w:t>Interference - Points of entry into electronic equipment</w:t>
            </w:r>
          </w:p>
          <w:p w:rsidR="00000000" w:rsidRPr="009B35B8" w:rsidP="009B35B8">
            <w:pPr>
              <w:pStyle w:val="ListBullet"/>
            </w:pPr>
            <w:r w:rsidRPr="009B35B8">
              <w:t>Filters</w:t>
            </w:r>
          </w:p>
          <w:p w:rsidR="00000000" w:rsidRPr="009B35B8" w:rsidP="009B35B8">
            <w:pPr>
              <w:pStyle w:val="ListBullet"/>
            </w:pPr>
            <w:r w:rsidRPr="009B35B8">
              <w:t>EMC</w:t>
            </w:r>
          </w:p>
          <w:p w:rsidR="00000000" w:rsidRPr="009B35B8" w:rsidP="009B35B8">
            <w:pPr>
              <w:pStyle w:val="BodyText"/>
            </w:pPr>
            <w:r w:rsidRPr="009B35B8">
              <w:t>T9.</w:t>
            </w:r>
            <w:r w:rsidRPr="009B35B8">
              <w:tab/>
            </w:r>
            <w:r w:rsidRPr="009B35B8">
              <w:t>Operating Practices and Procedures overview encompassing:</w:t>
            </w:r>
          </w:p>
          <w:p w:rsidR="00000000" w:rsidRPr="009B35B8" w:rsidP="009B35B8">
            <w:pPr>
              <w:pStyle w:val="ListBullet"/>
            </w:pPr>
            <w:r w:rsidRPr="009B35B8">
              <w:t>Equipment practices</w:t>
            </w:r>
          </w:p>
          <w:p w:rsidR="00000000" w:rsidRPr="009B35B8" w:rsidP="009B35B8">
            <w:pPr>
              <w:pStyle w:val="ListBullet"/>
            </w:pPr>
            <w:r w:rsidRPr="009B35B8">
              <w:t>Authorised frequencies and emissions</w:t>
            </w:r>
          </w:p>
          <w:p w:rsidR="00000000" w:rsidRPr="009B35B8" w:rsidP="009B35B8">
            <w:pPr>
              <w:pStyle w:val="ListBullet"/>
            </w:pPr>
            <w:r w:rsidRPr="009B35B8">
              <w:t>Requirement not to transmit on  frequencies in use</w:t>
            </w:r>
          </w:p>
          <w:p w:rsidR="00000000" w:rsidRPr="009B35B8" w:rsidP="009B35B8">
            <w:pPr>
              <w:pStyle w:val="ListBullet"/>
            </w:pPr>
            <w:r w:rsidRPr="009B35B8">
              <w:t>Operating practices</w:t>
            </w:r>
          </w:p>
          <w:p w:rsidR="00000000" w:rsidRPr="009B35B8" w:rsidP="009B35B8">
            <w:pPr>
              <w:pStyle w:val="ListBullet"/>
            </w:pPr>
            <w:r w:rsidRPr="009B35B8">
              <w:t>Operating through a repeater</w:t>
            </w:r>
          </w:p>
          <w:p w:rsidR="00000000" w:rsidRPr="009B35B8" w:rsidP="009B35B8">
            <w:pPr>
              <w:pStyle w:val="ListBullet"/>
            </w:pPr>
            <w:r w:rsidRPr="009B35B8">
              <w:t>Make an all-stations call and change fre</w:t>
            </w:r>
            <w:r w:rsidRPr="009B35B8">
              <w:t>quency</w:t>
            </w:r>
          </w:p>
          <w:p w:rsidR="00000000" w:rsidRPr="009B35B8" w:rsidP="009B35B8">
            <w:pPr>
              <w:pStyle w:val="ListBullet"/>
            </w:pPr>
            <w:r w:rsidRPr="009B35B8">
              <w:t>Transmitter measurements</w:t>
            </w:r>
          </w:p>
          <w:p w:rsidR="00000000" w:rsidRPr="009B35B8" w:rsidP="009B35B8">
            <w:pPr>
              <w:pStyle w:val="ListBullet"/>
            </w:pPr>
            <w:r w:rsidRPr="009B35B8">
              <w:t>Correcting simple equipment maladjustments</w:t>
            </w:r>
          </w:p>
          <w:p w:rsidR="00000000" w:rsidRPr="009B35B8" w:rsidP="009B35B8">
            <w:pPr>
              <w:pStyle w:val="ListBullet"/>
            </w:pPr>
            <w:r w:rsidRPr="009B35B8">
              <w:t>Recognised abbreviations</w:t>
            </w:r>
          </w:p>
          <w:p w:rsidR="00000000" w:rsidRPr="009B35B8" w:rsidP="009B35B8">
            <w:pPr>
              <w:pStyle w:val="ListBullet"/>
            </w:pPr>
            <w:r w:rsidRPr="009B35B8">
              <w:t>Phonetic alphabet</w:t>
            </w:r>
          </w:p>
          <w:p w:rsidR="00000000" w:rsidRPr="009B35B8" w:rsidP="009B35B8">
            <w:pPr>
              <w:pStyle w:val="BodyText"/>
            </w:pPr>
            <w:r w:rsidRPr="009B35B8">
              <w:t>T10.</w:t>
            </w:r>
            <w:r w:rsidRPr="009B35B8">
              <w:tab/>
              <w:t>Safety overview encompassing:</w:t>
            </w:r>
          </w:p>
          <w:p w:rsidR="00000000" w:rsidRPr="009B35B8" w:rsidP="009B35B8">
            <w:pPr>
              <w:pStyle w:val="ListBullet"/>
            </w:pPr>
            <w:r w:rsidRPr="009B35B8">
              <w:t>Dangerous voltages</w:t>
            </w:r>
          </w:p>
          <w:p w:rsidR="00000000" w:rsidRPr="009B35B8" w:rsidP="009B35B8">
            <w:pPr>
              <w:pStyle w:val="ListBullet"/>
            </w:pPr>
            <w:r w:rsidRPr="009B35B8">
              <w:t>Electrical safety - equipment to be approved</w:t>
            </w:r>
          </w:p>
          <w:p w:rsidR="00000000" w:rsidRPr="009B35B8" w:rsidP="009B35B8">
            <w:pPr>
              <w:pStyle w:val="ListBullet"/>
            </w:pPr>
            <w:r w:rsidRPr="009B35B8">
              <w:t>Awareness of State Electricity Authori</w:t>
            </w:r>
            <w:r w:rsidRPr="009B35B8">
              <w:t>ty requirements</w:t>
            </w:r>
          </w:p>
          <w:p w:rsidR="00000000" w:rsidRPr="009B35B8" w:rsidP="009B35B8">
            <w:pPr>
              <w:pStyle w:val="ListBullet"/>
            </w:pPr>
            <w:r w:rsidRPr="009B35B8">
              <w:t>Electrical earthing</w:t>
            </w:r>
          </w:p>
          <w:p w:rsidR="00000000" w:rsidRPr="009B35B8" w:rsidP="009B35B8">
            <w:pPr>
              <w:pStyle w:val="ListBullet"/>
            </w:pPr>
            <w:r w:rsidRPr="009B35B8">
              <w:t>Fuses</w:t>
            </w:r>
          </w:p>
          <w:p w:rsidR="00000000" w:rsidRPr="009B35B8" w:rsidP="009B35B8">
            <w:pPr>
              <w:pStyle w:val="ListBullet"/>
            </w:pPr>
            <w:r w:rsidRPr="009B35B8">
              <w:t>Correct fuses to be used</w:t>
            </w:r>
          </w:p>
          <w:p w:rsidR="00000000" w:rsidRPr="009B35B8" w:rsidP="009B35B8">
            <w:pPr>
              <w:pStyle w:val="ListBullet"/>
            </w:pPr>
            <w:r w:rsidRPr="009B35B8">
              <w:t>Replacing fuses</w:t>
            </w:r>
          </w:p>
          <w:p w:rsidR="00000000" w:rsidRPr="009B35B8" w:rsidP="009B35B8">
            <w:pPr>
              <w:pStyle w:val="ListBullet"/>
            </w:pPr>
            <w:r w:rsidRPr="009B35B8">
              <w:t>Station layout for safety</w:t>
            </w:r>
          </w:p>
          <w:p w:rsidR="00000000" w:rsidRPr="009B35B8" w:rsidP="009B35B8">
            <w:pPr>
              <w:pStyle w:val="ListBullet"/>
            </w:pPr>
            <w:r w:rsidRPr="009B35B8">
              <w:t>Power lead safety</w:t>
            </w:r>
          </w:p>
          <w:p w:rsidR="00000000" w:rsidRPr="009B35B8" w:rsidP="009B35B8">
            <w:pPr>
              <w:pStyle w:val="ListBullet"/>
            </w:pPr>
            <w:r w:rsidRPr="009B35B8">
              <w:t>Know location and desirability of a mains OFF switch</w:t>
            </w:r>
          </w:p>
          <w:p w:rsidR="00000000" w:rsidRPr="009B35B8" w:rsidP="009B35B8">
            <w:pPr>
              <w:pStyle w:val="ListBullet"/>
            </w:pPr>
            <w:r w:rsidRPr="009B35B8">
              <w:t>Actions to be taken in the event of an accident involving electricity</w:t>
            </w:r>
          </w:p>
          <w:p w:rsidR="00000000" w:rsidRPr="009B35B8" w:rsidP="009B35B8">
            <w:pPr>
              <w:pStyle w:val="ListBullet"/>
            </w:pPr>
            <w:r w:rsidRPr="009B35B8">
              <w:t>Electric shocks</w:t>
            </w:r>
          </w:p>
          <w:p w:rsidR="00000000" w:rsidRPr="009B35B8" w:rsidP="009B35B8">
            <w:pPr>
              <w:pStyle w:val="ListBullet"/>
            </w:pPr>
            <w:r w:rsidRPr="009B35B8">
              <w:t>Call for help – use of resuscitation techniques</w:t>
            </w:r>
          </w:p>
          <w:p w:rsidR="00000000" w:rsidRPr="009B35B8" w:rsidP="009B35B8">
            <w:pPr>
              <w:pStyle w:val="ListBullet"/>
            </w:pPr>
            <w:r w:rsidRPr="009B35B8">
              <w:t>Battery safety</w:t>
            </w:r>
          </w:p>
          <w:p w:rsidR="00000000" w:rsidRPr="009B35B8" w:rsidP="009B35B8">
            <w:pPr>
              <w:pStyle w:val="ListBullet"/>
            </w:pPr>
            <w:r w:rsidRPr="009B35B8">
              <w:t>Antennas and safety</w:t>
            </w:r>
          </w:p>
          <w:p w:rsidR="00000000" w:rsidRPr="009B35B8" w:rsidP="009B35B8">
            <w:pPr>
              <w:pStyle w:val="ListBullet"/>
            </w:pPr>
            <w:r w:rsidRPr="009B35B8">
              <w:t>Radio waves can be dangerous</w:t>
            </w:r>
          </w:p>
          <w:p w:rsidR="00000000" w:rsidRPr="009B35B8" w:rsidP="009B35B8">
            <w:pPr>
              <w:pStyle w:val="ListBullet"/>
            </w:pPr>
            <w:r w:rsidRPr="009B35B8">
              <w:t>Safe distance from an antenna</w:t>
            </w:r>
          </w:p>
          <w:p w:rsidR="00000000" w:rsidRPr="009B35B8" w:rsidP="009B35B8">
            <w:pPr>
              <w:pStyle w:val="ListBullet"/>
            </w:pPr>
            <w:r w:rsidRPr="009B35B8">
              <w:t>Antenna erection</w:t>
            </w:r>
          </w:p>
          <w:p w:rsidR="00000000" w:rsidRPr="009B35B8" w:rsidP="009B35B8">
            <w:pPr>
              <w:pStyle w:val="ListBullet"/>
            </w:pPr>
            <w:r w:rsidRPr="009B35B8">
              <w:t>Securing and siting antennas</w:t>
            </w:r>
          </w:p>
          <w:p w:rsidR="00000000" w:rsidRPr="009B35B8" w:rsidP="009B35B8">
            <w:pPr>
              <w:pStyle w:val="ListBullet"/>
            </w:pPr>
            <w:r w:rsidRPr="009B35B8">
              <w:t>Lightning protection</w:t>
            </w:r>
          </w:p>
          <w:p w:rsidR="00000000" w:rsidRPr="009B35B8" w:rsidP="009B35B8">
            <w:pPr>
              <w:pStyle w:val="ListBullet"/>
            </w:pPr>
            <w:r w:rsidRPr="009B35B8">
              <w:t>Safe use of headphones</w:t>
            </w:r>
          </w:p>
          <w:p w:rsidR="00000000" w:rsidRPr="009B35B8" w:rsidP="009B35B8">
            <w:pPr>
              <w:pStyle w:val="ListBullet"/>
            </w:pPr>
            <w:r w:rsidRPr="009B35B8">
              <w:t xml:space="preserve">Station </w:t>
            </w:r>
            <w:r w:rsidRPr="009B35B8">
              <w:t>security</w:t>
            </w:r>
          </w:p>
          <w:p w:rsidR="00000000" w:rsidRPr="009B35B8" w:rsidP="009B35B8">
            <w:pPr>
              <w:pStyle w:val="BodyText"/>
            </w:pPr>
            <w:r w:rsidRPr="009B35B8">
              <w:t>T11.</w:t>
            </w:r>
            <w:r w:rsidRPr="009B35B8">
              <w:tab/>
              <w:t>Measurements encompassing:</w:t>
            </w:r>
          </w:p>
          <w:p w:rsidR="00000000" w:rsidRPr="009B35B8" w:rsidP="009B35B8">
            <w:pPr>
              <w:pStyle w:val="ListBullet"/>
            </w:pPr>
            <w:r w:rsidRPr="009B35B8">
              <w:t>Frequency measurements</w:t>
            </w:r>
          </w:p>
          <w:p w:rsidR="00000000" w:rsidRPr="009B35B8" w:rsidP="009B35B8">
            <w:pPr>
              <w:pStyle w:val="ListBullet"/>
            </w:pPr>
            <w:r w:rsidRPr="009B35B8">
              <w:t>RF Power measurements</w:t>
            </w:r>
          </w:p>
          <w:p w:rsidR="00000000" w:rsidRPr="009B35B8" w:rsidP="009B35B8">
            <w:pPr>
              <w:pStyle w:val="ListBullet"/>
            </w:pPr>
            <w:r w:rsidRPr="009B35B8">
              <w:t>SWR measurements</w:t>
            </w:r>
          </w:p>
          <w:p w:rsidR="00000000" w:rsidRPr="009B35B8" w:rsidP="009B35B8">
            <w:pPr>
              <w:pStyle w:val="ListBullet"/>
            </w:pPr>
            <w:r w:rsidRPr="009B35B8">
              <w:t>Multimeter measurements</w:t>
            </w:r>
          </w:p>
        </w:tc>
      </w:tr>
    </w:tbl>
    <w:p w:rsidR="00000000" w:rsidRPr="009B35B8" w:rsidP="009B35B8">
      <w:pPr>
        <w:pStyle w:val="BodyText"/>
      </w:pPr>
    </w:p>
    <w:p w:rsidR="00000000" w:rsidRPr="009B35B8" w:rsidP="009B35B8">
      <w:pPr>
        <w:pStyle w:val="AllowPageBreak"/>
      </w:pPr>
    </w:p>
    <w:p w:rsidR="00000000" w:rsidRPr="009B35B8" w:rsidP="009B35B8">
      <w:pPr>
        <w:pStyle w:val="Heading1"/>
      </w:pPr>
      <w:bookmarkStart w:id="10" w:name="O_416112"/>
      <w:bookmarkEnd w:id="10"/>
      <w:r w:rsidRPr="009B35B8">
        <w:t>Evidence Guide</w:t>
      </w:r>
    </w:p>
    <w:tbl>
      <w:tblPr>
        <w:tblW w:w="0" w:type="auto"/>
        <w:tblLayout w:type="fixed"/>
        <w:tblCellMar>
          <w:left w:w="62" w:type="dxa"/>
          <w:right w:w="62" w:type="dxa"/>
        </w:tblCellMar>
        <w:tblLook w:val="0000"/>
      </w:tblPr>
      <w:tblGrid>
        <w:gridCol w:w="8460"/>
      </w:tblGrid>
      <w:tr w:rsidTr="0054066A">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9B35B8">
            <w:pPr>
              <w:pStyle w:val="BodyText"/>
              <w:rPr>
                <w:lang w:val="en-NZ"/>
              </w:rPr>
            </w:pPr>
            <w:r w:rsidRPr="009B35B8">
              <w:rPr>
                <w:rStyle w:val="SpecialBold"/>
              </w:rPr>
              <w:t>EVIDENCE GUIDE</w:t>
            </w:r>
          </w:p>
        </w:tc>
      </w:tr>
      <w:tr w:rsidTr="0054066A">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9B35B8" w:rsidP="009B35B8">
            <w:pPr>
              <w:pStyle w:val="BodyText"/>
            </w:pPr>
            <w:r w:rsidRPr="009B35B8">
              <w:rPr>
                <w:rStyle w:val="SpecialBold"/>
              </w:rPr>
              <w:t>9)</w:t>
            </w:r>
            <w:r w:rsidRPr="009B35B8">
              <w:t xml:space="preserve"> This provides essential advice for assessment of the unit. It must be read in conjunction with the performance criteria and the range statement of the unit and the Training Package Assessment Guidelines.</w:t>
            </w:r>
          </w:p>
          <w:p w:rsidR="00000000" w:rsidRPr="009B35B8" w:rsidP="009B35B8">
            <w:pPr>
              <w:pStyle w:val="BodyText"/>
            </w:pPr>
            <w:r w:rsidRPr="009B35B8">
              <w:t>The Evidence Guide forms an integral part of this u</w:t>
            </w:r>
            <w:r w:rsidRPr="009B35B8">
              <w:t>nit. It must be used in conjunction with all parts of the unit and performed in accordance with the Assessment Guidelines of this Training Package.</w:t>
            </w:r>
          </w:p>
        </w:tc>
      </w:tr>
    </w:tbl>
    <w:p w:rsidR="00000000" w:rsidRPr="009B35B8" w:rsidP="009B35B8">
      <w:pPr>
        <w:pStyle w:val="BodyText"/>
      </w:pPr>
    </w:p>
    <w:tbl>
      <w:tblPr>
        <w:tblW w:w="0" w:type="auto"/>
        <w:tblLayout w:type="fixed"/>
        <w:tblCellMar>
          <w:left w:w="62" w:type="dxa"/>
          <w:right w:w="62" w:type="dxa"/>
        </w:tblCellMar>
        <w:tblLook w:val="0000"/>
      </w:tblPr>
      <w:tblGrid>
        <w:gridCol w:w="1890"/>
        <w:gridCol w:w="6570"/>
      </w:tblGrid>
      <w:tr w:rsidTr="0054066A">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9B35B8" w:rsidP="009B35B8">
            <w:pPr>
              <w:pStyle w:val="BodyText"/>
            </w:pPr>
            <w:r w:rsidRPr="009B35B8">
              <w:rPr>
                <w:rStyle w:val="SpecialBold"/>
              </w:rPr>
              <w:t>Overview of Assessment</w:t>
            </w:r>
          </w:p>
        </w:tc>
        <w:tc>
          <w:tcPr>
            <w:tcW w:w="6570" w:type="dxa"/>
            <w:tcBorders>
              <w:top w:val="nil"/>
              <w:left w:val="nil"/>
              <w:bottom w:val="nil"/>
              <w:right w:val="nil"/>
            </w:tcBorders>
            <w:tcMar>
              <w:top w:w="0" w:type="dxa"/>
              <w:left w:w="62" w:type="dxa"/>
              <w:bottom w:w="0" w:type="dxa"/>
              <w:right w:w="62" w:type="dxa"/>
            </w:tcMar>
          </w:tcPr>
          <w:p w:rsidR="00000000" w:rsidP="009B35B8">
            <w:pPr>
              <w:pStyle w:val="BodyText"/>
              <w:rPr>
                <w:lang w:val="en-NZ"/>
              </w:rPr>
            </w:pPr>
            <w:r w:rsidRPr="009B35B8">
              <w:rPr>
                <w:rStyle w:val="SpecialBold"/>
              </w:rPr>
              <w:t>9.1)</w:t>
            </w:r>
          </w:p>
        </w:tc>
      </w:tr>
      <w:tr w:rsidTr="0054066A">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9B35B8" w:rsidP="009B35B8">
            <w:pPr>
              <w:pStyle w:val="BodyText"/>
            </w:pPr>
            <w:r w:rsidRPr="009B35B8">
              <w:t>The Australian Communications and Media Authority and the Wireless of Austra</w:t>
            </w:r>
            <w:r w:rsidRPr="009B35B8">
              <w:t>lia have established agreed minimal assessment requirements for licensing of amateur radio stations, including the minimal requirements for assessors.</w:t>
            </w:r>
          </w:p>
          <w:p w:rsidR="00000000" w:rsidRPr="009B35B8" w:rsidP="009B35B8">
            <w:pPr>
              <w:pStyle w:val="BodyText"/>
            </w:pPr>
            <w:r w:rsidRPr="009B35B8">
              <w:t>Longitudinal competency development approaches to assessment, such as Profiling, require data to be relia</w:t>
            </w:r>
            <w:r w:rsidRPr="009B35B8">
              <w:t>bly gathered in a form that can be consistently interpreted over time. This approach is best utilised in Apprenticeship programs and reduces assessment intervention. It is the industry-preferred model for apprenticeships. However, where summative (or final</w:t>
            </w:r>
            <w:r w:rsidRPr="009B35B8">
              <w:t>) assessment is used it is to include the application of the competency in the normal work environment or, at a minimum, the application of the competency in a realistically simulated work environment. It is recognised that, in some circumstances, assessme</w:t>
            </w:r>
            <w:r w:rsidRPr="009B35B8">
              <w:t>nt in part or full can occur outside the workplace. However, it must be in accord with industry and regulatory policy.</w:t>
            </w:r>
          </w:p>
          <w:p w:rsidR="00000000" w:rsidRPr="009B35B8" w:rsidP="009B35B8">
            <w:pPr>
              <w:pStyle w:val="BodyText"/>
            </w:pPr>
            <w:r w:rsidRPr="009B35B8">
              <w:t>Methods chosen for a particular assessment will be influenced by various factors. These include the extent of the assessment, the most ef</w:t>
            </w:r>
            <w:r w:rsidRPr="009B35B8">
              <w:t>fective locations for the assessment activities to take place, access to physical resources, additional safety measures that may be required, regulatory requirements and the critical nature of the competencies being assessed.</w:t>
            </w:r>
          </w:p>
          <w:p w:rsidR="00000000" w:rsidRPr="009B35B8" w:rsidP="009B35B8">
            <w:pPr>
              <w:pStyle w:val="BodyText"/>
            </w:pPr>
            <w:r w:rsidRPr="009B35B8">
              <w:t>The critical safety nature of working with electricity, electrical equipment, gas or any other hazardous substance/material carries risk in deeming a person competent. Sources of evidence need to be ‘rich’ in nature to minimise error in judgment.</w:t>
            </w:r>
          </w:p>
          <w:p w:rsidR="00000000" w:rsidRPr="009B35B8" w:rsidP="009B35B8">
            <w:pPr>
              <w:pStyle w:val="BodyText"/>
            </w:pPr>
            <w:r w:rsidRPr="009B35B8">
              <w:t>Activitie</w:t>
            </w:r>
            <w:r w:rsidRPr="009B35B8">
              <w:t>s associated with normal everyday work have a bearing on the decision as to how much and how detailed the data gathered will contribute to its ‘richness’. Some skills are more critical to safety and operational requirements while the same skills may be mor</w:t>
            </w:r>
            <w:r w:rsidRPr="009B35B8">
              <w:t>e or less frequently practised. These points are raised for the assessors to consider when choosing an assessment method and developing assessment instruments. Sample assessment instruments are included for Assessors in the Assessment Guidelines of this Tr</w:t>
            </w:r>
            <w:r w:rsidRPr="009B35B8">
              <w:t>aining Package.</w:t>
            </w:r>
          </w:p>
        </w:tc>
      </w:tr>
    </w:tbl>
    <w:p w:rsidR="00000000" w:rsidRPr="009B35B8" w:rsidP="009B35B8">
      <w:pPr>
        <w:pStyle w:val="BodyText"/>
      </w:pPr>
    </w:p>
    <w:tbl>
      <w:tblPr>
        <w:tblW w:w="0" w:type="auto"/>
        <w:tblLayout w:type="fixed"/>
        <w:tblCellMar>
          <w:left w:w="62" w:type="dxa"/>
          <w:right w:w="62" w:type="dxa"/>
        </w:tblCellMar>
        <w:tblLook w:val="0000"/>
      </w:tblPr>
      <w:tblGrid>
        <w:gridCol w:w="1890"/>
        <w:gridCol w:w="1530"/>
        <w:gridCol w:w="5040"/>
      </w:tblGrid>
      <w:tr w:rsidTr="0054066A">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9B35B8" w:rsidP="009B35B8">
            <w:pPr>
              <w:pStyle w:val="BodyText"/>
            </w:pPr>
            <w:r w:rsidRPr="009B35B8">
              <w:rPr>
                <w:rStyle w:val="SpecialBold"/>
              </w:rPr>
              <w:t>Critical aspects of evidence required to demonstrate competency in this unit</w:t>
            </w:r>
          </w:p>
        </w:tc>
        <w:tc>
          <w:tcPr>
            <w:tcW w:w="6570" w:type="dxa"/>
            <w:gridSpan w:val="2"/>
            <w:tcBorders>
              <w:top w:val="nil"/>
              <w:left w:val="nil"/>
              <w:bottom w:val="nil"/>
              <w:right w:val="nil"/>
            </w:tcBorders>
            <w:tcMar>
              <w:top w:w="0" w:type="dxa"/>
              <w:left w:w="62" w:type="dxa"/>
              <w:bottom w:w="0" w:type="dxa"/>
              <w:right w:w="62" w:type="dxa"/>
            </w:tcMar>
          </w:tcPr>
          <w:p w:rsidR="00000000" w:rsidP="009B35B8">
            <w:pPr>
              <w:pStyle w:val="BodyText"/>
              <w:rPr>
                <w:lang w:val="en-NZ"/>
              </w:rPr>
            </w:pPr>
            <w:r w:rsidRPr="009B35B8">
              <w:rPr>
                <w:rStyle w:val="SpecialBold"/>
              </w:rPr>
              <w:t>9.2)</w:t>
            </w:r>
          </w:p>
        </w:tc>
      </w:tr>
      <w:tr w:rsidTr="0054066A">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gridSpan w:val="2"/>
            <w:tcBorders>
              <w:top w:val="nil"/>
              <w:left w:val="nil"/>
              <w:bottom w:val="nil"/>
              <w:right w:val="nil"/>
            </w:tcBorders>
            <w:tcMar>
              <w:top w:w="0" w:type="dxa"/>
              <w:left w:w="62" w:type="dxa"/>
              <w:bottom w:w="0" w:type="dxa"/>
              <w:right w:w="62" w:type="dxa"/>
            </w:tcMar>
          </w:tcPr>
          <w:p w:rsidR="00000000" w:rsidRPr="009B35B8" w:rsidP="009B35B8">
            <w:pPr>
              <w:pStyle w:val="BodyText"/>
            </w:pPr>
            <w:r w:rsidRPr="009B35B8">
              <w:t>Before the critical aspects of evidence are considered all prerequisites shall be met.</w:t>
            </w:r>
          </w:p>
          <w:p w:rsidR="00000000" w:rsidRPr="009B35B8" w:rsidP="009B35B8">
            <w:pPr>
              <w:pStyle w:val="BodyText"/>
            </w:pPr>
            <w:r w:rsidRPr="009B35B8">
              <w:t>Evidence for compet</w:t>
            </w:r>
            <w:r w:rsidRPr="009B35B8">
              <w:t>ence in this unit shall be considered holistically.  Each Element and associated performance criteria shall be demonstrated on at least two occasions in accordance with the ‘Assessment Guidelines – UEE11’.  Evidence shall also comprise:</w:t>
            </w:r>
          </w:p>
          <w:p w:rsidR="00000000" w:rsidRPr="009B35B8" w:rsidP="009B35B8">
            <w:pPr>
              <w:pStyle w:val="ListBullet"/>
            </w:pPr>
            <w:r w:rsidRPr="009B35B8">
              <w:t>A representative b</w:t>
            </w:r>
            <w:r w:rsidRPr="009B35B8">
              <w:t>ody of work performance demonstrated within the timeframes typically expected of the discipline, work function and industrial environment. In particular this shall incorporate evidence that shows a candidate is able to:</w:t>
            </w:r>
          </w:p>
          <w:p w:rsidR="00000000" w:rsidRPr="009B35B8" w:rsidP="009B35B8">
            <w:pPr>
              <w:pStyle w:val="ListBullet2"/>
            </w:pPr>
            <w:r w:rsidRPr="009B35B8">
              <w:t>Implement Occupational Health and Safety workplace procedures and practices including the use of risk control measures as specified in the performance criteria and range statement</w:t>
            </w:r>
          </w:p>
          <w:p w:rsidR="00000000" w:rsidRPr="009B35B8" w:rsidP="009B35B8">
            <w:pPr>
              <w:pStyle w:val="ListBullet2"/>
            </w:pPr>
            <w:r w:rsidRPr="009B35B8">
              <w:t>Apply sustainable energy principles and practices as specified in the perfor</w:t>
            </w:r>
            <w:r w:rsidRPr="009B35B8">
              <w:t>mance criteria and range statement</w:t>
            </w:r>
          </w:p>
          <w:p w:rsidR="00000000" w:rsidRPr="009B35B8" w:rsidP="009B35B8">
            <w:pPr>
              <w:pStyle w:val="ListBullet2"/>
            </w:pPr>
            <w:r w:rsidRPr="009B35B8">
              <w:t>Demonstrate an understanding of the essential knowledge and associated skills as described in this unit.  It may be required by some jurisdictions that RTOs provide a percentile graded result for the purpose of regulatory</w:t>
            </w:r>
            <w:r w:rsidRPr="009B35B8">
              <w:t xml:space="preserve"> or licensing requirements.   </w:t>
            </w:r>
          </w:p>
          <w:p w:rsidR="00000000" w:rsidRPr="009B35B8" w:rsidP="009B35B8">
            <w:pPr>
              <w:pStyle w:val="ListBullet2"/>
            </w:pPr>
            <w:r w:rsidRPr="009B35B8">
              <w:t>Demonstrate an appropriate level of skills enabling employment</w:t>
            </w:r>
          </w:p>
          <w:p w:rsidR="00000000" w:rsidRPr="009B35B8" w:rsidP="009B35B8">
            <w:pPr>
              <w:pStyle w:val="ListBullet2"/>
            </w:pPr>
            <w:r w:rsidRPr="009B35B8">
              <w:t>Conduct work observing the relevant Anti Discrimination legislation, regulations, polices and workplace procedures</w:t>
            </w:r>
          </w:p>
          <w:p w:rsidR="00000000" w:rsidRPr="009B35B8" w:rsidP="009B35B8">
            <w:pPr>
              <w:pStyle w:val="ListBullet"/>
            </w:pPr>
            <w:r w:rsidRPr="009B35B8">
              <w:t>Demonstrated consistent performance across a r</w:t>
            </w:r>
            <w:r w:rsidRPr="009B35B8">
              <w:t>epresentative range of contexts from the prescribed items below:</w:t>
            </w:r>
          </w:p>
          <w:p w:rsidR="00000000" w:rsidP="009B35B8">
            <w:pPr>
              <w:pStyle w:val="ListBullet2"/>
              <w:rPr>
                <w:lang w:val="en-NZ"/>
              </w:rPr>
            </w:pPr>
            <w:r w:rsidRPr="009B35B8">
              <w:t>Operate and maintain an amateur radio station, dismantling and assembling apparatus and disconnecting and reconnecting components including:</w:t>
            </w:r>
          </w:p>
        </w:tc>
      </w:tr>
      <w:tr w:rsidTr="0054066A">
        <w:tblPrEx>
          <w:tblW w:w="0" w:type="auto"/>
          <w:tblLayout w:type="fixed"/>
          <w:tblCellMar>
            <w:left w:w="62" w:type="dxa"/>
            <w:right w:w="62" w:type="dxa"/>
          </w:tblCellMar>
          <w:tblLook w:val="0000"/>
        </w:tblPrEx>
        <w:trPr>
          <w:trHeight w:val="316"/>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nil"/>
              <w:bottom w:val="nil"/>
              <w:right w:val="nil"/>
            </w:tcBorders>
            <w:tcMar>
              <w:top w:w="0" w:type="dxa"/>
              <w:left w:w="62" w:type="dxa"/>
              <w:bottom w:w="0" w:type="dxa"/>
              <w:right w:w="62" w:type="dxa"/>
            </w:tcMar>
          </w:tcPr>
          <w:p w:rsidR="00000000" w:rsidP="009B35B8">
            <w:pPr>
              <w:pStyle w:val="BodyText"/>
              <w:rPr>
                <w:lang w:val="en-NZ"/>
              </w:rPr>
            </w:pPr>
            <w:r w:rsidRPr="009B35B8">
              <w:t>A</w:t>
            </w:r>
          </w:p>
        </w:tc>
        <w:tc>
          <w:tcPr>
            <w:tcW w:w="5040" w:type="dxa"/>
            <w:tcBorders>
              <w:top w:val="nil"/>
              <w:left w:val="nil"/>
              <w:bottom w:val="nil"/>
              <w:right w:val="nil"/>
            </w:tcBorders>
            <w:tcMar>
              <w:top w:w="0" w:type="dxa"/>
              <w:left w:w="62" w:type="dxa"/>
              <w:bottom w:w="0" w:type="dxa"/>
              <w:right w:w="62" w:type="dxa"/>
            </w:tcMar>
          </w:tcPr>
          <w:p w:rsidR="00000000" w:rsidP="009B35B8">
            <w:pPr>
              <w:pStyle w:val="BodyText"/>
              <w:rPr>
                <w:lang w:val="en-NZ"/>
              </w:rPr>
            </w:pPr>
            <w:r w:rsidRPr="009B35B8">
              <w:t>Following manufacturer service instructions and licence conditions determination for radio station assembly and dismantling, including transmitter, power, measurement and adjustment.</w:t>
            </w:r>
          </w:p>
        </w:tc>
      </w:tr>
      <w:tr w:rsidTr="0054066A">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nil"/>
              <w:bottom w:val="nil"/>
              <w:right w:val="nil"/>
            </w:tcBorders>
            <w:tcMar>
              <w:top w:w="0" w:type="dxa"/>
              <w:left w:w="62" w:type="dxa"/>
              <w:bottom w:w="0" w:type="dxa"/>
              <w:right w:w="62" w:type="dxa"/>
            </w:tcMar>
          </w:tcPr>
          <w:p w:rsidR="00000000" w:rsidP="009B35B8">
            <w:pPr>
              <w:pStyle w:val="BodyText"/>
              <w:rPr>
                <w:lang w:val="en-NZ"/>
              </w:rPr>
            </w:pPr>
            <w:r w:rsidRPr="009B35B8">
              <w:t>B</w:t>
            </w:r>
          </w:p>
        </w:tc>
        <w:tc>
          <w:tcPr>
            <w:tcW w:w="5040" w:type="dxa"/>
            <w:tcBorders>
              <w:top w:val="nil"/>
              <w:left w:val="nil"/>
              <w:bottom w:val="nil"/>
              <w:right w:val="nil"/>
            </w:tcBorders>
            <w:tcMar>
              <w:top w:w="0" w:type="dxa"/>
              <w:left w:w="62" w:type="dxa"/>
              <w:bottom w:w="0" w:type="dxa"/>
              <w:right w:w="62" w:type="dxa"/>
            </w:tcMar>
          </w:tcPr>
          <w:p w:rsidR="00000000" w:rsidP="009B35B8">
            <w:pPr>
              <w:pStyle w:val="BodyText"/>
              <w:rPr>
                <w:lang w:val="en-NZ"/>
              </w:rPr>
            </w:pPr>
            <w:r w:rsidRPr="009B35B8">
              <w:t>Demonstrating on HF and VHF correct operating procedure as prescribed</w:t>
            </w:r>
            <w:r w:rsidRPr="009B35B8">
              <w:t xml:space="preserve"> by the Australian Communications and Media Authority.</w:t>
            </w:r>
          </w:p>
        </w:tc>
      </w:tr>
      <w:tr w:rsidTr="0054066A">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nil"/>
              <w:bottom w:val="nil"/>
              <w:right w:val="nil"/>
            </w:tcBorders>
            <w:tcMar>
              <w:top w:w="0" w:type="dxa"/>
              <w:left w:w="62" w:type="dxa"/>
              <w:bottom w:w="0" w:type="dxa"/>
              <w:right w:w="62" w:type="dxa"/>
            </w:tcMar>
          </w:tcPr>
          <w:p w:rsidR="00000000" w:rsidP="009B35B8">
            <w:pPr>
              <w:pStyle w:val="BodyText"/>
              <w:rPr>
                <w:lang w:val="en-NZ"/>
              </w:rPr>
            </w:pPr>
            <w:r w:rsidRPr="009B35B8">
              <w:t>C</w:t>
            </w:r>
          </w:p>
        </w:tc>
        <w:tc>
          <w:tcPr>
            <w:tcW w:w="5040" w:type="dxa"/>
            <w:tcBorders>
              <w:top w:val="nil"/>
              <w:left w:val="nil"/>
              <w:bottom w:val="nil"/>
              <w:right w:val="nil"/>
            </w:tcBorders>
            <w:tcMar>
              <w:top w:w="0" w:type="dxa"/>
              <w:left w:w="62" w:type="dxa"/>
              <w:bottom w:w="0" w:type="dxa"/>
              <w:right w:w="62" w:type="dxa"/>
            </w:tcMar>
          </w:tcPr>
          <w:p w:rsidR="00000000" w:rsidP="009B35B8">
            <w:pPr>
              <w:pStyle w:val="BodyText"/>
              <w:rPr>
                <w:lang w:val="en-NZ"/>
              </w:rPr>
            </w:pPr>
            <w:r w:rsidRPr="009B35B8">
              <w:t>Connecting and disconnecting components to radio equipment manufacturer requirements and appropriate engineering requirements, including minor soldering</w:t>
            </w:r>
          </w:p>
        </w:tc>
      </w:tr>
      <w:tr w:rsidTr="0054066A">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nil"/>
              <w:bottom w:val="nil"/>
              <w:right w:val="nil"/>
            </w:tcBorders>
            <w:tcMar>
              <w:top w:w="0" w:type="dxa"/>
              <w:left w:w="62" w:type="dxa"/>
              <w:bottom w:w="0" w:type="dxa"/>
              <w:right w:w="62" w:type="dxa"/>
            </w:tcMar>
          </w:tcPr>
          <w:p w:rsidR="00000000" w:rsidP="009B35B8">
            <w:pPr>
              <w:pStyle w:val="BodyText"/>
              <w:rPr>
                <w:lang w:val="en-NZ"/>
              </w:rPr>
            </w:pPr>
            <w:r w:rsidRPr="009B35B8">
              <w:t>D</w:t>
            </w:r>
          </w:p>
        </w:tc>
        <w:tc>
          <w:tcPr>
            <w:tcW w:w="5040" w:type="dxa"/>
            <w:tcBorders>
              <w:top w:val="nil"/>
              <w:left w:val="nil"/>
              <w:bottom w:val="nil"/>
              <w:right w:val="nil"/>
            </w:tcBorders>
            <w:tcMar>
              <w:top w:w="0" w:type="dxa"/>
              <w:left w:w="62" w:type="dxa"/>
              <w:bottom w:w="0" w:type="dxa"/>
              <w:right w:w="62" w:type="dxa"/>
            </w:tcMar>
          </w:tcPr>
          <w:p w:rsidR="00000000" w:rsidP="009B35B8">
            <w:pPr>
              <w:pStyle w:val="BodyText"/>
              <w:rPr>
                <w:lang w:val="en-NZ"/>
              </w:rPr>
            </w:pPr>
            <w:r w:rsidRPr="009B35B8">
              <w:t>Identifying common types of transmission lines, coaxial connectors, antennas and symbols.</w:t>
            </w:r>
          </w:p>
        </w:tc>
      </w:tr>
      <w:tr w:rsidTr="0054066A">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nil"/>
              <w:bottom w:val="nil"/>
              <w:right w:val="nil"/>
            </w:tcBorders>
            <w:tcMar>
              <w:top w:w="0" w:type="dxa"/>
              <w:left w:w="62" w:type="dxa"/>
              <w:bottom w:w="0" w:type="dxa"/>
              <w:right w:w="62" w:type="dxa"/>
            </w:tcMar>
          </w:tcPr>
          <w:p w:rsidR="00000000" w:rsidP="009B35B8">
            <w:pPr>
              <w:pStyle w:val="BodyText"/>
              <w:rPr>
                <w:lang w:val="en-NZ"/>
              </w:rPr>
            </w:pPr>
            <w:r w:rsidRPr="009B35B8">
              <w:t>E</w:t>
            </w:r>
          </w:p>
        </w:tc>
        <w:tc>
          <w:tcPr>
            <w:tcW w:w="5040" w:type="dxa"/>
            <w:tcBorders>
              <w:top w:val="nil"/>
              <w:left w:val="nil"/>
              <w:bottom w:val="nil"/>
              <w:right w:val="nil"/>
            </w:tcBorders>
            <w:tcMar>
              <w:top w:w="0" w:type="dxa"/>
              <w:left w:w="62" w:type="dxa"/>
              <w:bottom w:w="0" w:type="dxa"/>
              <w:right w:w="62" w:type="dxa"/>
            </w:tcMar>
          </w:tcPr>
          <w:p w:rsidR="00000000" w:rsidP="009B35B8">
            <w:pPr>
              <w:pStyle w:val="BodyText"/>
              <w:rPr>
                <w:lang w:val="en-NZ"/>
              </w:rPr>
            </w:pPr>
            <w:r w:rsidRPr="009B35B8">
              <w:t>Assembling a radio frequency choke used for the elimination of potential interference.</w:t>
            </w:r>
          </w:p>
        </w:tc>
      </w:tr>
      <w:tr w:rsidTr="0054066A">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nil"/>
              <w:bottom w:val="nil"/>
              <w:right w:val="nil"/>
            </w:tcBorders>
            <w:tcMar>
              <w:top w:w="0" w:type="dxa"/>
              <w:left w:w="62" w:type="dxa"/>
              <w:bottom w:w="0" w:type="dxa"/>
              <w:right w:w="62" w:type="dxa"/>
            </w:tcMar>
          </w:tcPr>
          <w:p w:rsidR="00000000" w:rsidP="009B35B8">
            <w:pPr>
              <w:pStyle w:val="BodyText"/>
              <w:rPr>
                <w:lang w:val="en-NZ"/>
              </w:rPr>
            </w:pPr>
            <w:r w:rsidRPr="009B35B8">
              <w:t>F</w:t>
            </w:r>
          </w:p>
        </w:tc>
        <w:tc>
          <w:tcPr>
            <w:tcW w:w="5040" w:type="dxa"/>
            <w:tcBorders>
              <w:top w:val="nil"/>
              <w:left w:val="nil"/>
              <w:bottom w:val="nil"/>
              <w:right w:val="nil"/>
            </w:tcBorders>
            <w:tcMar>
              <w:top w:w="0" w:type="dxa"/>
              <w:left w:w="62" w:type="dxa"/>
              <w:bottom w:w="0" w:type="dxa"/>
              <w:right w:w="62" w:type="dxa"/>
            </w:tcMar>
          </w:tcPr>
          <w:p w:rsidR="00000000" w:rsidP="009B35B8">
            <w:pPr>
              <w:pStyle w:val="BodyText"/>
              <w:rPr>
                <w:lang w:val="en-NZ"/>
              </w:rPr>
            </w:pPr>
            <w:r w:rsidRPr="009B35B8">
              <w:t>Testing a coaxial cable for continuity and standing wave ratio, includi</w:t>
            </w:r>
            <w:r w:rsidRPr="009B35B8">
              <w:t xml:space="preserve">ng explaining how to correct a high standing wave ratio, and demonstrating the use of a signal strength metre.  </w:t>
            </w:r>
          </w:p>
        </w:tc>
      </w:tr>
      <w:tr w:rsidTr="0054066A">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nil"/>
              <w:bottom w:val="nil"/>
              <w:right w:val="nil"/>
            </w:tcBorders>
            <w:tcMar>
              <w:top w:w="0" w:type="dxa"/>
              <w:left w:w="62" w:type="dxa"/>
              <w:bottom w:w="0" w:type="dxa"/>
              <w:right w:w="62" w:type="dxa"/>
            </w:tcMar>
          </w:tcPr>
          <w:p w:rsidR="00000000" w:rsidP="009B35B8">
            <w:pPr>
              <w:pStyle w:val="BodyText"/>
              <w:rPr>
                <w:lang w:val="en-NZ"/>
              </w:rPr>
            </w:pPr>
            <w:r w:rsidRPr="009B35B8">
              <w:t>G</w:t>
            </w:r>
          </w:p>
        </w:tc>
        <w:tc>
          <w:tcPr>
            <w:tcW w:w="5040" w:type="dxa"/>
            <w:tcBorders>
              <w:top w:val="nil"/>
              <w:left w:val="nil"/>
              <w:bottom w:val="nil"/>
              <w:right w:val="nil"/>
            </w:tcBorders>
            <w:tcMar>
              <w:top w:w="0" w:type="dxa"/>
              <w:left w:w="62" w:type="dxa"/>
              <w:bottom w:w="0" w:type="dxa"/>
              <w:right w:w="62" w:type="dxa"/>
            </w:tcMar>
          </w:tcPr>
          <w:p w:rsidR="00000000" w:rsidP="009B35B8">
            <w:pPr>
              <w:pStyle w:val="BodyText"/>
              <w:rPr>
                <w:lang w:val="en-NZ"/>
              </w:rPr>
            </w:pPr>
            <w:r w:rsidRPr="009B35B8">
              <w:t>Demonstrating the correct use of voice repeaters with and without continuous tone coded squelch system (CTCSS) and/or dual tone multi frequ</w:t>
            </w:r>
            <w:r w:rsidRPr="009B35B8">
              <w:t>ency signalling.</w:t>
            </w:r>
          </w:p>
        </w:tc>
      </w:tr>
      <w:tr w:rsidTr="0054066A">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nil"/>
              <w:bottom w:val="nil"/>
              <w:right w:val="nil"/>
            </w:tcBorders>
            <w:tcMar>
              <w:top w:w="0" w:type="dxa"/>
              <w:left w:w="62" w:type="dxa"/>
              <w:bottom w:w="0" w:type="dxa"/>
              <w:right w:w="62" w:type="dxa"/>
            </w:tcMar>
          </w:tcPr>
          <w:p w:rsidR="00000000" w:rsidP="009B35B8">
            <w:pPr>
              <w:pStyle w:val="BodyText"/>
              <w:rPr>
                <w:lang w:val="en-NZ"/>
              </w:rPr>
            </w:pPr>
            <w:r w:rsidRPr="009B35B8">
              <w:t>H</w:t>
            </w:r>
          </w:p>
        </w:tc>
        <w:tc>
          <w:tcPr>
            <w:tcW w:w="5040" w:type="dxa"/>
            <w:tcBorders>
              <w:top w:val="nil"/>
              <w:left w:val="nil"/>
              <w:bottom w:val="nil"/>
              <w:right w:val="nil"/>
            </w:tcBorders>
            <w:tcMar>
              <w:top w:w="0" w:type="dxa"/>
              <w:left w:w="62" w:type="dxa"/>
              <w:bottom w:w="0" w:type="dxa"/>
              <w:right w:w="62" w:type="dxa"/>
            </w:tcMar>
          </w:tcPr>
          <w:p w:rsidR="00000000" w:rsidP="009B35B8">
            <w:pPr>
              <w:pStyle w:val="BodyText"/>
              <w:rPr>
                <w:lang w:val="en-NZ"/>
              </w:rPr>
            </w:pPr>
            <w:r w:rsidRPr="009B35B8">
              <w:t xml:space="preserve">Correctly using an amateur radio according to ACMA licence and standard operating procedures </w:t>
            </w:r>
          </w:p>
        </w:tc>
      </w:tr>
      <w:tr w:rsidTr="0054066A">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nil"/>
              <w:bottom w:val="nil"/>
              <w:right w:val="nil"/>
            </w:tcBorders>
            <w:tcMar>
              <w:top w:w="0" w:type="dxa"/>
              <w:left w:w="62" w:type="dxa"/>
              <w:bottom w:w="0" w:type="dxa"/>
              <w:right w:w="62" w:type="dxa"/>
            </w:tcMar>
          </w:tcPr>
          <w:p w:rsidR="00000000" w:rsidP="009B35B8">
            <w:pPr>
              <w:pStyle w:val="BodyText"/>
              <w:rPr>
                <w:lang w:val="en-NZ"/>
              </w:rPr>
            </w:pPr>
            <w:r w:rsidRPr="009B35B8">
              <w:t>I</w:t>
            </w:r>
          </w:p>
        </w:tc>
        <w:tc>
          <w:tcPr>
            <w:tcW w:w="5040" w:type="dxa"/>
            <w:tcBorders>
              <w:top w:val="nil"/>
              <w:left w:val="nil"/>
              <w:bottom w:val="nil"/>
              <w:right w:val="nil"/>
            </w:tcBorders>
            <w:tcMar>
              <w:top w:w="0" w:type="dxa"/>
              <w:left w:w="62" w:type="dxa"/>
              <w:bottom w:w="0" w:type="dxa"/>
              <w:right w:w="62" w:type="dxa"/>
            </w:tcMar>
          </w:tcPr>
          <w:p w:rsidR="00000000" w:rsidP="009B35B8">
            <w:pPr>
              <w:pStyle w:val="BodyText"/>
              <w:rPr>
                <w:lang w:val="en-NZ"/>
              </w:rPr>
            </w:pPr>
            <w:r w:rsidRPr="009B35B8">
              <w:t>Dealing with unplanned events by drawing on essential knowledge and skills to provide appropriate solutions incorporated in a holistic assessment with the above listed items.</w:t>
            </w:r>
          </w:p>
        </w:tc>
      </w:tr>
      <w:tr w:rsidTr="0054066A">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gridSpan w:val="2"/>
            <w:tcBorders>
              <w:top w:val="nil"/>
              <w:left w:val="nil"/>
              <w:bottom w:val="nil"/>
              <w:right w:val="nil"/>
            </w:tcBorders>
            <w:tcMar>
              <w:top w:w="0" w:type="dxa"/>
              <w:left w:w="62" w:type="dxa"/>
              <w:bottom w:w="0" w:type="dxa"/>
              <w:right w:w="62" w:type="dxa"/>
            </w:tcMar>
          </w:tcPr>
          <w:p w:rsidR="00000000" w:rsidRPr="009B35B8" w:rsidP="009B35B8">
            <w:pPr>
              <w:pStyle w:val="BodyText"/>
            </w:pPr>
            <w:r w:rsidRPr="009B35B8">
              <w:t xml:space="preserve">Note: </w:t>
            </w:r>
          </w:p>
          <w:p w:rsidR="00000000" w:rsidRPr="009B35B8" w:rsidP="009B35B8">
            <w:pPr>
              <w:pStyle w:val="BodyText"/>
            </w:pPr>
            <w:r w:rsidRPr="009B35B8">
              <w:t>Successful completion of relevant vendor training may be used to contrib</w:t>
            </w:r>
            <w:r w:rsidRPr="009B35B8">
              <w:t>ute to evidence on which competency is deemed. In these cases the alignment of outcomes of vendor training with performance criteria and critical aspects of evidence shall be clearly identified.</w:t>
            </w:r>
          </w:p>
        </w:tc>
      </w:tr>
    </w:tbl>
    <w:p w:rsidR="00000000" w:rsidRPr="009B35B8" w:rsidP="009B35B8">
      <w:pPr>
        <w:pStyle w:val="BodyText"/>
      </w:pPr>
    </w:p>
    <w:tbl>
      <w:tblPr>
        <w:tblW w:w="0" w:type="auto"/>
        <w:tblLayout w:type="fixed"/>
        <w:tblCellMar>
          <w:left w:w="62" w:type="dxa"/>
          <w:right w:w="62" w:type="dxa"/>
        </w:tblCellMar>
        <w:tblLook w:val="0000"/>
      </w:tblPr>
      <w:tblGrid>
        <w:gridCol w:w="1890"/>
        <w:gridCol w:w="6570"/>
      </w:tblGrid>
      <w:tr w:rsidTr="0054066A">
        <w:tblPrEx>
          <w:tblW w:w="0" w:type="auto"/>
          <w:tblLayout w:type="fixed"/>
          <w:tblCellMar>
            <w:left w:w="62" w:type="dxa"/>
            <w:right w:w="62" w:type="dxa"/>
          </w:tblCellMar>
          <w:tblLook w:val="0000"/>
        </w:tblPrEx>
        <w:trPr>
          <w:trHeight w:val="798"/>
        </w:trPr>
        <w:tc>
          <w:tcPr>
            <w:tcW w:w="1890" w:type="dxa"/>
            <w:tcBorders>
              <w:top w:val="nil"/>
              <w:left w:val="nil"/>
              <w:bottom w:val="nil"/>
              <w:right w:val="nil"/>
            </w:tcBorders>
            <w:tcMar>
              <w:top w:w="0" w:type="dxa"/>
              <w:left w:w="62" w:type="dxa"/>
              <w:bottom w:w="0" w:type="dxa"/>
              <w:right w:w="62" w:type="dxa"/>
            </w:tcMar>
          </w:tcPr>
          <w:p w:rsidR="00000000" w:rsidRPr="009B35B8" w:rsidP="009B35B8">
            <w:pPr>
              <w:pStyle w:val="BodyText"/>
            </w:pPr>
            <w:r w:rsidRPr="009B35B8">
              <w:rPr>
                <w:rStyle w:val="SpecialBold"/>
              </w:rPr>
              <w:t>Context of and specific resources for assessment</w:t>
            </w:r>
          </w:p>
        </w:tc>
        <w:tc>
          <w:tcPr>
            <w:tcW w:w="6570" w:type="dxa"/>
            <w:tcBorders>
              <w:top w:val="nil"/>
              <w:left w:val="nil"/>
              <w:bottom w:val="nil"/>
              <w:right w:val="nil"/>
            </w:tcBorders>
            <w:tcMar>
              <w:top w:w="0" w:type="dxa"/>
              <w:left w:w="62" w:type="dxa"/>
              <w:bottom w:w="0" w:type="dxa"/>
              <w:right w:w="62" w:type="dxa"/>
            </w:tcMar>
          </w:tcPr>
          <w:p w:rsidR="00000000" w:rsidP="009B35B8">
            <w:pPr>
              <w:pStyle w:val="BodyText"/>
              <w:rPr>
                <w:lang w:val="en-NZ"/>
              </w:rPr>
            </w:pPr>
            <w:r w:rsidRPr="009B35B8">
              <w:rPr>
                <w:rStyle w:val="SpecialBold"/>
              </w:rPr>
              <w:t>9.3)</w:t>
            </w:r>
          </w:p>
        </w:tc>
      </w:tr>
      <w:tr w:rsidTr="0054066A">
        <w:tblPrEx>
          <w:tblW w:w="0" w:type="auto"/>
          <w:tblLayout w:type="fixed"/>
          <w:tblCellMar>
            <w:left w:w="62" w:type="dxa"/>
            <w:right w:w="62" w:type="dxa"/>
          </w:tblCellMar>
          <w:tblLook w:val="0000"/>
        </w:tblPrEx>
        <w:trPr>
          <w:trHeight w:val="308"/>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9B35B8" w:rsidP="009B35B8">
            <w:pPr>
              <w:pStyle w:val="BodyText"/>
            </w:pPr>
            <w:r w:rsidRPr="009B35B8">
              <w:t>This unit must be assessed as it relates to normal work practice using procedures, information and resources typical of a workplace. This should include:</w:t>
            </w:r>
          </w:p>
          <w:p w:rsidR="00000000" w:rsidRPr="009B35B8" w:rsidP="009B35B8">
            <w:pPr>
              <w:pStyle w:val="ListBullet"/>
            </w:pPr>
            <w:r w:rsidRPr="009B35B8">
              <w:t>OHS policy and work procedures and instructions.</w:t>
            </w:r>
          </w:p>
          <w:p w:rsidR="00000000" w:rsidRPr="009B35B8" w:rsidP="009B35B8">
            <w:pPr>
              <w:pStyle w:val="ListBullet"/>
            </w:pPr>
            <w:r w:rsidRPr="009B35B8">
              <w:t xml:space="preserve">Relevant Australian and International standards for </w:t>
            </w:r>
            <w:r w:rsidRPr="009B35B8">
              <w:t>the assembly and operation of an amateur radio station.</w:t>
            </w:r>
          </w:p>
          <w:p w:rsidR="00000000" w:rsidRPr="009B35B8" w:rsidP="009B35B8">
            <w:pPr>
              <w:pStyle w:val="ListBullet"/>
            </w:pPr>
            <w:r w:rsidRPr="009B35B8">
              <w:t>Suitable work environment, facilities, equipment and materials to undertake actual work as prescribed in this unit.</w:t>
            </w:r>
          </w:p>
          <w:p w:rsidR="00000000" w:rsidRPr="009B35B8" w:rsidP="009B35B8">
            <w:pPr>
              <w:pStyle w:val="BodyText"/>
            </w:pPr>
            <w:r w:rsidRPr="009B35B8">
              <w:t>These should also be part of the formal learning/assessment environment.</w:t>
            </w:r>
          </w:p>
          <w:p w:rsidR="00000000" w:rsidRPr="009B35B8" w:rsidP="009B35B8">
            <w:pPr>
              <w:pStyle w:val="BodyText"/>
            </w:pPr>
            <w:r w:rsidRPr="009B35B8">
              <w:t>Note:</w:t>
            </w:r>
          </w:p>
          <w:p w:rsidR="00000000" w:rsidRPr="009B35B8" w:rsidP="009B35B8">
            <w:pPr>
              <w:pStyle w:val="BodyText"/>
            </w:pPr>
            <w:r w:rsidRPr="009B35B8">
              <w:t>Where</w:t>
            </w:r>
            <w:r w:rsidRPr="009B35B8">
              <w:t xml:space="preserve"> simulation is considered a suitable strategy for assessment it must ensure that the conditions for assessment are authentic and as far as possible reproduce and replicate the workplace and is consistent with the approved industry simulation policy.</w:t>
            </w:r>
          </w:p>
          <w:p w:rsidR="00000000" w:rsidRPr="009B35B8" w:rsidP="009B35B8">
            <w:pPr>
              <w:pStyle w:val="BodyText"/>
            </w:pPr>
            <w:r w:rsidRPr="009B35B8">
              <w:t>The re</w:t>
            </w:r>
            <w:r w:rsidRPr="009B35B8">
              <w:t>sources used for assessment should reflect current industry practices in relation to assembling, dismantling and operating an amateur radio station, including the assembly of an antenna, power supply unit or an equivalent circuit.</w:t>
            </w:r>
          </w:p>
        </w:tc>
      </w:tr>
    </w:tbl>
    <w:p w:rsidR="00000000" w:rsidRPr="009B35B8" w:rsidP="009B35B8">
      <w:pPr>
        <w:pStyle w:val="BodyText"/>
      </w:pPr>
    </w:p>
    <w:tbl>
      <w:tblPr>
        <w:tblW w:w="0" w:type="auto"/>
        <w:tblLayout w:type="fixed"/>
        <w:tblCellMar>
          <w:left w:w="62" w:type="dxa"/>
          <w:right w:w="62" w:type="dxa"/>
        </w:tblCellMar>
        <w:tblLook w:val="0000"/>
      </w:tblPr>
      <w:tblGrid>
        <w:gridCol w:w="1890"/>
        <w:gridCol w:w="6570"/>
      </w:tblGrid>
      <w:tr w:rsidTr="0054066A">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9B35B8" w:rsidP="009B35B8">
            <w:pPr>
              <w:pStyle w:val="BodyText"/>
            </w:pPr>
            <w:r w:rsidRPr="009B35B8">
              <w:rPr>
                <w:rStyle w:val="SpecialBold"/>
              </w:rPr>
              <w:t>Method of assessment</w:t>
            </w:r>
          </w:p>
        </w:tc>
        <w:tc>
          <w:tcPr>
            <w:tcW w:w="6570" w:type="dxa"/>
            <w:tcBorders>
              <w:top w:val="nil"/>
              <w:left w:val="nil"/>
              <w:bottom w:val="nil"/>
              <w:right w:val="nil"/>
            </w:tcBorders>
            <w:tcMar>
              <w:top w:w="0" w:type="dxa"/>
              <w:left w:w="62" w:type="dxa"/>
              <w:bottom w:w="0" w:type="dxa"/>
              <w:right w:w="62" w:type="dxa"/>
            </w:tcMar>
          </w:tcPr>
          <w:p w:rsidR="00000000" w:rsidP="009B35B8">
            <w:pPr>
              <w:pStyle w:val="BodyText"/>
              <w:rPr>
                <w:lang w:val="en-NZ"/>
              </w:rPr>
            </w:pPr>
            <w:r w:rsidRPr="009B35B8">
              <w:rPr>
                <w:rStyle w:val="SpecialBold"/>
              </w:rPr>
              <w:t>9.4)</w:t>
            </w:r>
          </w:p>
        </w:tc>
      </w:tr>
      <w:tr w:rsidTr="0054066A">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9B35B8" w:rsidP="009B35B8">
            <w:pPr>
              <w:pStyle w:val="BodyText"/>
            </w:pPr>
            <w:r w:rsidRPr="009B35B8">
              <w:t>This unit shall be assessed by methods given in Volume 1, Part 3 ‘Assessment Guidelines’.</w:t>
            </w:r>
          </w:p>
          <w:p w:rsidR="00000000" w:rsidRPr="009B35B8" w:rsidP="009B35B8">
            <w:pPr>
              <w:pStyle w:val="BodyText"/>
            </w:pPr>
            <w:r w:rsidRPr="009B35B8">
              <w:t xml:space="preserve">Note: </w:t>
            </w:r>
          </w:p>
          <w:p w:rsidR="00000000" w:rsidRPr="009B35B8" w:rsidP="009B35B8">
            <w:pPr>
              <w:pStyle w:val="BodyText"/>
            </w:pPr>
            <w:r w:rsidRPr="009B35B8">
              <w:t>Competent performance with inherent safe working practices is expected in the Industry to which this unit applies. This requires assessment in a structu</w:t>
            </w:r>
            <w:r w:rsidRPr="009B35B8">
              <w:t>red environment which is primarily intended for learning/assessment and incorporates all necessary equipment and facilities for learners to develop and demonstrate the essential knowledge and skills described in this unit.</w:t>
            </w:r>
          </w:p>
        </w:tc>
      </w:tr>
    </w:tbl>
    <w:p w:rsidR="00000000" w:rsidRPr="009B35B8" w:rsidP="009B35B8">
      <w:pPr>
        <w:pStyle w:val="BodyText"/>
      </w:pPr>
    </w:p>
    <w:tbl>
      <w:tblPr>
        <w:tblW w:w="0" w:type="auto"/>
        <w:tblLayout w:type="fixed"/>
        <w:tblCellMar>
          <w:left w:w="62" w:type="dxa"/>
          <w:right w:w="62" w:type="dxa"/>
        </w:tblCellMar>
        <w:tblLook w:val="0000"/>
      </w:tblPr>
      <w:tblGrid>
        <w:gridCol w:w="1890"/>
        <w:gridCol w:w="6570"/>
      </w:tblGrid>
      <w:tr w:rsidTr="0054066A">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9B35B8" w:rsidP="009B35B8">
            <w:pPr>
              <w:pStyle w:val="BodyText"/>
            </w:pPr>
            <w:r w:rsidRPr="009B35B8">
              <w:rPr>
                <w:rStyle w:val="SpecialBold"/>
              </w:rPr>
              <w:t>Concurrent assessment and relat</w:t>
            </w:r>
            <w:r w:rsidRPr="009B35B8">
              <w:rPr>
                <w:rStyle w:val="SpecialBold"/>
              </w:rPr>
              <w:t>ionship with other units</w:t>
            </w:r>
          </w:p>
        </w:tc>
        <w:tc>
          <w:tcPr>
            <w:tcW w:w="6570" w:type="dxa"/>
            <w:tcBorders>
              <w:top w:val="nil"/>
              <w:left w:val="nil"/>
              <w:bottom w:val="nil"/>
              <w:right w:val="nil"/>
            </w:tcBorders>
            <w:tcMar>
              <w:top w:w="0" w:type="dxa"/>
              <w:left w:w="62" w:type="dxa"/>
              <w:bottom w:w="0" w:type="dxa"/>
              <w:right w:w="62" w:type="dxa"/>
            </w:tcMar>
          </w:tcPr>
          <w:p w:rsidR="00000000" w:rsidP="009B35B8">
            <w:pPr>
              <w:pStyle w:val="BodyText"/>
              <w:rPr>
                <w:lang w:val="en-NZ"/>
              </w:rPr>
            </w:pPr>
            <w:r w:rsidRPr="009B35B8">
              <w:rPr>
                <w:rStyle w:val="SpecialBold"/>
              </w:rPr>
              <w:t>9.5)</w:t>
            </w:r>
          </w:p>
        </w:tc>
      </w:tr>
      <w:tr w:rsidTr="0054066A">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9B35B8" w:rsidP="009B35B8">
            <w:pPr>
              <w:pStyle w:val="BodyText"/>
            </w:pPr>
            <w:r w:rsidRPr="009B35B8">
              <w:t>There are no concurrent assessment recommendations for this unit.</w:t>
            </w:r>
          </w:p>
        </w:tc>
      </w:tr>
    </w:tbl>
    <w:p w:rsidR="00000000" w:rsidRPr="009B35B8" w:rsidP="009B35B8">
      <w:pPr>
        <w:pStyle w:val="BodyText"/>
      </w:pPr>
    </w:p>
    <w:p w:rsidR="00000000" w:rsidRPr="009B35B8" w:rsidP="009B35B8">
      <w:pPr>
        <w:pStyle w:val="AllowPageBreak"/>
      </w:pPr>
    </w:p>
    <w:p w:rsidR="00000000" w:rsidRPr="009B35B8" w:rsidP="009B35B8">
      <w:pPr>
        <w:pStyle w:val="Heading1"/>
      </w:pPr>
      <w:bookmarkStart w:id="11" w:name="O_416116"/>
      <w:bookmarkEnd w:id="11"/>
      <w:r w:rsidRPr="009B35B8">
        <w:t>Range Statement</w:t>
      </w:r>
    </w:p>
    <w:tbl>
      <w:tblPr>
        <w:tblW w:w="0" w:type="auto"/>
        <w:tblLayout w:type="fixed"/>
        <w:tblCellMar>
          <w:left w:w="62" w:type="dxa"/>
          <w:right w:w="62" w:type="dxa"/>
        </w:tblCellMar>
        <w:tblLook w:val="0000"/>
      </w:tblPr>
      <w:tblGrid>
        <w:gridCol w:w="8460"/>
      </w:tblGrid>
      <w:tr w:rsidTr="0054066A">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9B35B8">
            <w:pPr>
              <w:pStyle w:val="BodyText"/>
              <w:rPr>
                <w:lang w:val="en-NZ"/>
              </w:rPr>
            </w:pPr>
            <w:r w:rsidRPr="009B35B8">
              <w:rPr>
                <w:rStyle w:val="SpecialBold"/>
              </w:rPr>
              <w:t>RANGE STATEMENT</w:t>
            </w:r>
          </w:p>
        </w:tc>
      </w:tr>
      <w:tr w:rsidTr="0054066A">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9B35B8" w:rsidP="009B35B8">
            <w:pPr>
              <w:pStyle w:val="BodyText"/>
            </w:pPr>
            <w:r w:rsidRPr="009B35B8">
              <w:rPr>
                <w:rStyle w:val="SpecialBold"/>
              </w:rPr>
              <w:t xml:space="preserve">10) </w:t>
            </w:r>
            <w:r w:rsidRPr="009B35B8">
              <w:t xml:space="preserve">This relates to the unit as a whole providing the range of contexts and conditions to which </w:t>
            </w:r>
            <w:r w:rsidRPr="009B35B8">
              <w:t>the performance criteria apply. It allows for different work environments and situations that will affect performance.</w:t>
            </w:r>
          </w:p>
          <w:p w:rsidR="00000000" w:rsidRPr="009B35B8" w:rsidP="009B35B8">
            <w:pPr>
              <w:pStyle w:val="BodyText"/>
            </w:pPr>
            <w:r w:rsidRPr="009B35B8">
              <w:t>This unit must be demonstrated in relation to carrying out the operation and maintenance of an amateur radio communication station.</w:t>
            </w:r>
          </w:p>
          <w:p w:rsidR="00000000" w:rsidRPr="009B35B8" w:rsidP="009B35B8">
            <w:pPr>
              <w:pStyle w:val="BodyText"/>
            </w:pPr>
            <w:r w:rsidRPr="009B35B8">
              <w:t>The o</w:t>
            </w:r>
            <w:r w:rsidRPr="009B35B8">
              <w:t>peration and maintenance shall be limited to:</w:t>
            </w:r>
          </w:p>
          <w:p w:rsidR="00000000" w:rsidRPr="009B35B8" w:rsidP="009B35B8">
            <w:pPr>
              <w:pStyle w:val="ListBullet"/>
            </w:pPr>
            <w:r w:rsidRPr="009B35B8">
              <w:t xml:space="preserve">the requirements as prescribed by the Australian Communications and Media Authority, Amateur Operator Certificate of Proficiency (Standard) Syllabus Documentation and Licence Conditions Determination, and </w:t>
            </w:r>
          </w:p>
          <w:p w:rsidR="00000000" w:rsidRPr="009B35B8" w:rsidP="009B35B8">
            <w:pPr>
              <w:pStyle w:val="ListBullet"/>
            </w:pPr>
            <w:r w:rsidRPr="009B35B8">
              <w:t>Assembly of an antenna and power supply or equivalent item of apparatus to industry standards, that may include minor soldering</w:t>
            </w:r>
          </w:p>
          <w:p w:rsidR="00000000" w:rsidRPr="009B35B8" w:rsidP="009B35B8">
            <w:pPr>
              <w:pStyle w:val="BodyText"/>
            </w:pPr>
            <w:r w:rsidRPr="009B35B8">
              <w:t>Generic terms used throughout this Vocational Standard shall be regarded as part of the Range Statement in which competency is d</w:t>
            </w:r>
            <w:r w:rsidRPr="009B35B8">
              <w:t>emonstrated. The definition of these and other terms that apply are given in Volume 2, Part 2.1.</w:t>
            </w:r>
          </w:p>
        </w:tc>
      </w:tr>
    </w:tbl>
    <w:p w:rsidR="00000000" w:rsidRPr="009B35B8" w:rsidP="009B35B8">
      <w:pPr>
        <w:pStyle w:val="BodyText"/>
      </w:pPr>
    </w:p>
    <w:p w:rsidR="00000000" w:rsidRPr="009B35B8" w:rsidP="009B35B8">
      <w:pPr>
        <w:pStyle w:val="AllowPageBreak"/>
      </w:pPr>
    </w:p>
    <w:p w:rsidR="00000000" w:rsidRPr="009B35B8" w:rsidP="009B35B8">
      <w:pPr>
        <w:pStyle w:val="Heading1"/>
      </w:pPr>
      <w:bookmarkStart w:id="12" w:name="O_416119"/>
      <w:bookmarkEnd w:id="12"/>
      <w:r w:rsidRPr="009B35B8">
        <w:t>Unit Sector(s)</w:t>
      </w:r>
    </w:p>
    <w:p w:rsidR="00000000" w:rsidRPr="009B35B8" w:rsidP="009B35B8">
      <w:pPr>
        <w:pStyle w:val="BodyText"/>
      </w:pPr>
      <w:r w:rsidRPr="009B35B8">
        <w:t>Not applicable.</w:t>
      </w:r>
    </w:p>
    <w:p w:rsidR="00000000" w:rsidRPr="009B35B8" w:rsidP="009B35B8">
      <w:pPr>
        <w:pStyle w:val="AllowPageBreak"/>
      </w:pPr>
    </w:p>
    <w:p w:rsidR="00000000" w:rsidRPr="009B35B8" w:rsidP="009B35B8">
      <w:pPr>
        <w:pStyle w:val="Heading1"/>
      </w:pPr>
      <w:bookmarkStart w:id="13" w:name="O_416108"/>
      <w:bookmarkEnd w:id="13"/>
      <w:r w:rsidRPr="009B35B8">
        <w:t>Competency Field</w:t>
      </w:r>
    </w:p>
    <w:tbl>
      <w:tblPr>
        <w:tblW w:w="0" w:type="auto"/>
        <w:tblLayout w:type="fixed"/>
        <w:tblCellMar>
          <w:left w:w="62" w:type="dxa"/>
          <w:right w:w="62" w:type="dxa"/>
        </w:tblCellMar>
        <w:tblLook w:val="0000"/>
      </w:tblPr>
      <w:tblGrid>
        <w:gridCol w:w="2700"/>
        <w:gridCol w:w="5760"/>
      </w:tblGrid>
      <w:tr w:rsidTr="0054066A">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9B35B8" w:rsidP="009B35B8">
            <w:pPr>
              <w:pStyle w:val="BodyText"/>
            </w:pPr>
            <w:r w:rsidRPr="009B35B8">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9B35B8">
            <w:pPr>
              <w:pStyle w:val="BodyText"/>
              <w:rPr>
                <w:lang w:val="en-NZ"/>
              </w:rPr>
            </w:pPr>
            <w:r w:rsidRPr="009B35B8">
              <w:rPr>
                <w:rStyle w:val="SpecialBold"/>
              </w:rPr>
              <w:t xml:space="preserve">11) </w:t>
            </w:r>
          </w:p>
        </w:tc>
      </w:tr>
      <w:tr w:rsidTr="0054066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9B35B8" w:rsidP="009B35B8">
            <w:pPr>
              <w:pStyle w:val="BodyText"/>
            </w:pPr>
            <w:r w:rsidRPr="009B35B8">
              <w:t>Broadcast</w:t>
            </w:r>
          </w:p>
        </w:tc>
      </w:tr>
    </w:tbl>
    <w:p w:rsidR="00000000" w:rsidRPr="009B35B8" w:rsidP="009B35B8">
      <w:pPr>
        <w:pStyle w:val="BodyText"/>
      </w:pPr>
    </w:p>
    <w:p w:rsidR="00000000" w:rsidRPr="009B35B8" w:rsidP="009B35B8"/>
    <w:sectPr w:rsidSect="009B35B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35B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4066A" w:rsidP="0054066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35B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066A" w:rsidP="009B35B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54066A" w:rsidP="009B35B8">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54066A" w:rsidP="009B35B8">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35B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4066A" w:rsidP="0054066A">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35B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066A" w:rsidP="009B35B8">
    <w:pPr>
      <w:pStyle w:val="Header"/>
      <w:framePr w:wrap="around"/>
    </w:pPr>
    <w:r>
      <w:fldChar w:fldCharType="begin"/>
    </w:r>
    <w:r>
      <w:instrText xml:space="preserve"> TITLE   \* MERGEFORMAT </w:instrText>
    </w:r>
    <w:r>
      <w:fldChar w:fldCharType="separate"/>
    </w:r>
    <w:r>
      <w:t>UEENEEB101A Operate and maintain amateur radio communication stations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54066A" w:rsidP="009B35B8">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3443DF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AC6632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7F43E0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B35B8"/>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9B35B8"/>
    <w:pPr>
      <w:spacing w:before="360" w:after="60"/>
      <w:outlineLvl w:val="0"/>
    </w:pPr>
    <w:rPr>
      <w:sz w:val="32"/>
    </w:rPr>
  </w:style>
  <w:style w:type="paragraph" w:styleId="Heading2">
    <w:name w:val="heading 2"/>
    <w:basedOn w:val="HeadingBase"/>
    <w:next w:val="BodyText"/>
    <w:link w:val="Heading2Char"/>
    <w:qFormat/>
    <w:rsid w:val="009B35B8"/>
    <w:pPr>
      <w:keepLines/>
      <w:spacing w:before="240" w:after="120"/>
      <w:outlineLvl w:val="1"/>
    </w:pPr>
    <w:rPr>
      <w:sz w:val="28"/>
      <w:szCs w:val="40"/>
    </w:rPr>
  </w:style>
  <w:style w:type="paragraph" w:styleId="Heading3">
    <w:name w:val="heading 3"/>
    <w:basedOn w:val="HeadingBase"/>
    <w:next w:val="BodyText"/>
    <w:link w:val="Heading3Char"/>
    <w:qFormat/>
    <w:rsid w:val="009B35B8"/>
    <w:pPr>
      <w:spacing w:before="180" w:after="120"/>
      <w:outlineLvl w:val="2"/>
    </w:pPr>
    <w:rPr>
      <w:spacing w:val="-10"/>
      <w:kern w:val="32"/>
    </w:rPr>
  </w:style>
  <w:style w:type="paragraph" w:styleId="Heading4">
    <w:name w:val="heading 4"/>
    <w:basedOn w:val="HeadingBase"/>
    <w:next w:val="BodyText"/>
    <w:link w:val="Heading4Char"/>
    <w:qFormat/>
    <w:rsid w:val="009B35B8"/>
    <w:pPr>
      <w:spacing w:before="160" w:after="120"/>
      <w:outlineLvl w:val="3"/>
    </w:pPr>
    <w:rPr>
      <w:sz w:val="22"/>
    </w:rPr>
  </w:style>
  <w:style w:type="paragraph" w:styleId="Heading5">
    <w:name w:val="heading 5"/>
    <w:basedOn w:val="HeadingBase"/>
    <w:next w:val="Normal"/>
    <w:link w:val="Heading5Char"/>
    <w:qFormat/>
    <w:rsid w:val="009B35B8"/>
    <w:pPr>
      <w:spacing w:before="80"/>
      <w:outlineLvl w:val="4"/>
    </w:pPr>
    <w:rPr>
      <w:color w:val="918585"/>
      <w:sz w:val="20"/>
    </w:rPr>
  </w:style>
  <w:style w:type="paragraph" w:styleId="Heading6">
    <w:name w:val="heading 6"/>
    <w:basedOn w:val="HeadingBase"/>
    <w:next w:val="Normal"/>
    <w:link w:val="Heading6Char"/>
    <w:qFormat/>
    <w:rsid w:val="009B35B8"/>
    <w:pPr>
      <w:spacing w:before="60"/>
      <w:outlineLvl w:val="5"/>
    </w:pPr>
    <w:rPr>
      <w:color w:val="918585"/>
      <w:sz w:val="20"/>
    </w:rPr>
  </w:style>
  <w:style w:type="paragraph" w:styleId="Heading7">
    <w:name w:val="heading 7"/>
    <w:basedOn w:val="Normal"/>
    <w:next w:val="Normal"/>
    <w:link w:val="Heading7Char"/>
    <w:qFormat/>
    <w:rsid w:val="009B35B8"/>
    <w:pPr>
      <w:ind w:left="720"/>
      <w:outlineLvl w:val="6"/>
    </w:pPr>
    <w:rPr>
      <w:i/>
    </w:rPr>
  </w:style>
  <w:style w:type="paragraph" w:styleId="Heading8">
    <w:name w:val="heading 8"/>
    <w:basedOn w:val="Normal"/>
    <w:next w:val="Normal"/>
    <w:link w:val="Heading8Char"/>
    <w:qFormat/>
    <w:rsid w:val="009B35B8"/>
    <w:pPr>
      <w:ind w:left="720"/>
      <w:outlineLvl w:val="7"/>
    </w:pPr>
    <w:rPr>
      <w:i/>
    </w:rPr>
  </w:style>
  <w:style w:type="paragraph" w:styleId="Heading9">
    <w:name w:val="heading 9"/>
    <w:basedOn w:val="Normal"/>
    <w:next w:val="Normal"/>
    <w:link w:val="Heading9Char"/>
    <w:qFormat/>
    <w:rsid w:val="009B35B8"/>
    <w:pPr>
      <w:ind w:left="720"/>
      <w:outlineLvl w:val="8"/>
    </w:pPr>
    <w:rPr>
      <w:i/>
    </w:rPr>
  </w:style>
  <w:style w:type="character" w:default="1" w:styleId="DefaultParagraphFont">
    <w:name w:val="Default Paragraph Font"/>
    <w:uiPriority w:val="1"/>
    <w:unhideWhenUsed/>
    <w:rsid w:val="009B35B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B35B8"/>
  </w:style>
  <w:style w:type="character" w:customStyle="1" w:styleId="Heading1Char">
    <w:name w:val="Heading 1 Char"/>
    <w:link w:val="Heading1"/>
    <w:rsid w:val="009B35B8"/>
    <w:rPr>
      <w:rFonts w:ascii="Times New Roman" w:eastAsia="Times New Roman" w:hAnsi="Times New Roman" w:cs="Times New Roman"/>
      <w:b/>
      <w:sz w:val="32"/>
      <w:szCs w:val="20"/>
      <w:lang w:eastAsia="en-US"/>
    </w:rPr>
  </w:style>
  <w:style w:type="paragraph" w:styleId="BodyText">
    <w:name w:val="Body Text"/>
    <w:basedOn w:val="Normal"/>
    <w:link w:val="BodyTextChar"/>
    <w:rsid w:val="009B35B8"/>
    <w:pPr>
      <w:spacing w:before="120" w:after="120"/>
      <w:contextualSpacing/>
    </w:pPr>
    <w:rPr>
      <w:rFonts w:ascii="Times New Roman" w:hAnsi="Times New Roman"/>
      <w:sz w:val="24"/>
      <w:szCs w:val="22"/>
    </w:rPr>
  </w:style>
  <w:style w:type="character" w:customStyle="1" w:styleId="BodyTextChar">
    <w:name w:val="Body Text Char"/>
    <w:link w:val="BodyText"/>
    <w:rsid w:val="009B35B8"/>
    <w:rPr>
      <w:rFonts w:ascii="Times New Roman" w:eastAsia="Times New Roman" w:hAnsi="Times New Roman" w:cs="Times New Roman"/>
      <w:sz w:val="24"/>
      <w:lang w:val="en-US" w:eastAsia="en-US"/>
    </w:rPr>
  </w:style>
  <w:style w:type="paragraph" w:styleId="Footer">
    <w:name w:val="footer"/>
    <w:basedOn w:val="Normal"/>
    <w:link w:val="FooterChar"/>
    <w:rsid w:val="009B35B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9B35B8"/>
    <w:rPr>
      <w:rFonts w:ascii="Times New Roman" w:eastAsia="Times New Roman" w:hAnsi="Times New Roman" w:cs="Times New Roman"/>
      <w:sz w:val="16"/>
      <w:lang w:val="en-US" w:eastAsia="en-US"/>
    </w:rPr>
  </w:style>
  <w:style w:type="paragraph" w:styleId="ListBullet">
    <w:name w:val="List Bullet"/>
    <w:basedOn w:val="List"/>
    <w:rsid w:val="009B35B8"/>
    <w:pPr>
      <w:numPr>
        <w:numId w:val="13"/>
      </w:numPr>
      <w:tabs>
        <w:tab w:val="clear" w:pos="340"/>
      </w:tabs>
      <w:spacing w:before="40" w:after="40"/>
    </w:pPr>
  </w:style>
  <w:style w:type="character" w:customStyle="1" w:styleId="SpecialBold">
    <w:name w:val="Special Bold"/>
    <w:rsid w:val="009B35B8"/>
    <w:rPr>
      <w:b/>
      <w:spacing w:val="0"/>
    </w:rPr>
  </w:style>
  <w:style w:type="paragraph" w:styleId="ListBullet2">
    <w:name w:val="List Bullet 2"/>
    <w:basedOn w:val="List2"/>
    <w:rsid w:val="009B35B8"/>
    <w:pPr>
      <w:numPr>
        <w:numId w:val="14"/>
      </w:numPr>
      <w:tabs>
        <w:tab w:val="clear" w:pos="680"/>
      </w:tabs>
    </w:pPr>
  </w:style>
  <w:style w:type="paragraph" w:styleId="Header">
    <w:name w:val="header"/>
    <w:basedOn w:val="Normal"/>
    <w:link w:val="HeaderChar"/>
    <w:rsid w:val="009B35B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9B35B8"/>
    <w:rPr>
      <w:rFonts w:ascii="Times New Roman" w:eastAsia="Times New Roman" w:hAnsi="Times New Roman" w:cs="Times New Roman"/>
      <w:sz w:val="16"/>
      <w:szCs w:val="20"/>
      <w:lang w:val="en-GB" w:eastAsia="en-US"/>
    </w:rPr>
  </w:style>
  <w:style w:type="paragraph" w:customStyle="1" w:styleId="SuperHeading">
    <w:name w:val="SuperHeading"/>
    <w:basedOn w:val="Normal"/>
    <w:rsid w:val="009B35B8"/>
    <w:pPr>
      <w:spacing w:before="240" w:after="120"/>
      <w:outlineLvl w:val="0"/>
    </w:pPr>
    <w:rPr>
      <w:rFonts w:ascii="Times New Roman" w:hAnsi="Times New Roman"/>
      <w:b/>
      <w:sz w:val="28"/>
    </w:rPr>
  </w:style>
  <w:style w:type="paragraph" w:customStyle="1" w:styleId="AllowPageBreak">
    <w:name w:val="AllowPageBreak"/>
    <w:rsid w:val="009B35B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link w:val="Heading2"/>
    <w:rsid w:val="009B35B8"/>
    <w:rPr>
      <w:rFonts w:ascii="Times New Roman" w:eastAsia="Times New Roman" w:hAnsi="Times New Roman" w:cs="Times New Roman"/>
      <w:b/>
      <w:sz w:val="28"/>
      <w:szCs w:val="40"/>
      <w:lang w:eastAsia="en-US"/>
    </w:rPr>
  </w:style>
  <w:style w:type="character" w:customStyle="1" w:styleId="Heading3Char">
    <w:name w:val="Heading 3 Char"/>
    <w:link w:val="Heading3"/>
    <w:rsid w:val="009B35B8"/>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9B35B8"/>
    <w:rPr>
      <w:rFonts w:ascii="Times New Roman" w:eastAsia="Times New Roman" w:hAnsi="Times New Roman" w:cs="Times New Roman"/>
      <w:b/>
      <w:szCs w:val="20"/>
      <w:lang w:eastAsia="en-US"/>
    </w:rPr>
  </w:style>
  <w:style w:type="character" w:customStyle="1" w:styleId="Heading5Char">
    <w:name w:val="Heading 5 Char"/>
    <w:link w:val="Heading5"/>
    <w:rsid w:val="009B35B8"/>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9B35B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B35B8"/>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9B35B8"/>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9B35B8"/>
    <w:rPr>
      <w:rFonts w:ascii="Courier New" w:eastAsia="Times New Roman" w:hAnsi="Courier New" w:cs="Times New Roman"/>
      <w:i/>
      <w:szCs w:val="20"/>
      <w:lang w:val="en-US" w:eastAsia="en-US"/>
    </w:rPr>
  </w:style>
  <w:style w:type="paragraph" w:customStyle="1" w:styleId="HeadingBase">
    <w:name w:val="Heading Base"/>
    <w:rsid w:val="009B35B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B35B8"/>
    <w:pPr>
      <w:tabs>
        <w:tab w:val="right" w:leader="dot" w:pos="9072"/>
      </w:tabs>
      <w:ind w:left="567"/>
    </w:pPr>
    <w:rPr>
      <w:szCs w:val="22"/>
    </w:rPr>
  </w:style>
  <w:style w:type="paragraph" w:customStyle="1" w:styleId="TOCBase">
    <w:name w:val="TOC Base"/>
    <w:rsid w:val="009B35B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B35B8"/>
    <w:pPr>
      <w:tabs>
        <w:tab w:val="right" w:leader="dot" w:pos="9072"/>
      </w:tabs>
      <w:spacing w:before="40" w:after="40"/>
      <w:ind w:left="284"/>
    </w:pPr>
    <w:rPr>
      <w:rFonts w:ascii="Times New Roman" w:hAnsi="Times New Roman"/>
    </w:rPr>
  </w:style>
  <w:style w:type="paragraph" w:styleId="TOC1">
    <w:name w:val="toc 1"/>
    <w:basedOn w:val="TOCBase"/>
    <w:next w:val="Normal"/>
    <w:rsid w:val="009B35B8"/>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9B35B8"/>
    <w:pPr>
      <w:spacing w:before="5040"/>
      <w:jc w:val="center"/>
    </w:pPr>
    <w:rPr>
      <w:sz w:val="48"/>
      <w:szCs w:val="72"/>
      <w:lang w:val="en-US"/>
    </w:rPr>
  </w:style>
  <w:style w:type="character" w:customStyle="1" w:styleId="TitleChar">
    <w:name w:val="Title Char"/>
    <w:link w:val="Title"/>
    <w:rsid w:val="009B35B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B35B8"/>
    <w:pPr>
      <w:tabs>
        <w:tab w:val="left" w:pos="3600"/>
        <w:tab w:val="left" w:pos="3958"/>
      </w:tabs>
    </w:pPr>
  </w:style>
  <w:style w:type="paragraph" w:styleId="List">
    <w:name w:val="List"/>
    <w:basedOn w:val="BodyText"/>
    <w:next w:val="BodyText"/>
    <w:rsid w:val="009B35B8"/>
    <w:pPr>
      <w:tabs>
        <w:tab w:val="left" w:pos="340"/>
      </w:tabs>
      <w:spacing w:before="60" w:after="60"/>
      <w:ind w:left="340" w:hanging="340"/>
    </w:pPr>
  </w:style>
  <w:style w:type="paragraph" w:customStyle="1" w:styleId="Note">
    <w:name w:val="Note"/>
    <w:basedOn w:val="BodyText"/>
    <w:rsid w:val="009B35B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B35B8"/>
    <w:pPr>
      <w:framePr w:wrap="auto" w:hAnchor="text" w:y="6049"/>
    </w:pPr>
    <w:rPr>
      <w:color w:val="000000"/>
      <w:sz w:val="40"/>
    </w:rPr>
  </w:style>
  <w:style w:type="paragraph" w:customStyle="1" w:styleId="TOCTitle">
    <w:name w:val="TOCTitle"/>
    <w:basedOn w:val="Heading1"/>
    <w:rsid w:val="009B35B8"/>
    <w:pPr>
      <w:spacing w:after="240"/>
      <w:jc w:val="center"/>
      <w:outlineLvl w:val="9"/>
    </w:pPr>
    <w:rPr>
      <w:caps/>
    </w:rPr>
  </w:style>
  <w:style w:type="paragraph" w:customStyle="1" w:styleId="Version">
    <w:name w:val="Version"/>
    <w:rsid w:val="009B35B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B35B8"/>
    <w:pPr>
      <w:keepNext w:val="0"/>
      <w:tabs>
        <w:tab w:val="right" w:pos="4176"/>
      </w:tabs>
      <w:ind w:left="198" w:hanging="198"/>
    </w:pPr>
    <w:rPr>
      <w:rFonts w:ascii="Garamond" w:hAnsi="Garamond"/>
    </w:rPr>
  </w:style>
  <w:style w:type="paragraph" w:styleId="IndexHeading">
    <w:name w:val="index heading"/>
    <w:basedOn w:val="Normal"/>
    <w:next w:val="Index1"/>
    <w:semiHidden/>
    <w:rsid w:val="009B35B8"/>
    <w:pPr>
      <w:spacing w:before="120" w:after="120"/>
    </w:pPr>
    <w:rPr>
      <w:rFonts w:ascii="Arial" w:hAnsi="Arial"/>
      <w:b/>
      <w:color w:val="918585"/>
      <w:sz w:val="24"/>
    </w:rPr>
  </w:style>
  <w:style w:type="paragraph" w:customStyle="1" w:styleId="Chapter">
    <w:name w:val="Chapter"/>
    <w:basedOn w:val="Normal"/>
    <w:rsid w:val="009B35B8"/>
    <w:pPr>
      <w:spacing w:before="240"/>
    </w:pPr>
    <w:rPr>
      <w:rFonts w:ascii="Times New Roman" w:hAnsi="Times New Roman"/>
      <w:smallCaps/>
      <w:spacing w:val="80"/>
      <w:sz w:val="28"/>
    </w:rPr>
  </w:style>
  <w:style w:type="paragraph" w:customStyle="1" w:styleId="InChapter">
    <w:name w:val="InChapter"/>
    <w:basedOn w:val="Heading3"/>
    <w:rsid w:val="009B35B8"/>
    <w:pPr>
      <w:spacing w:after="240"/>
      <w:outlineLvl w:val="9"/>
    </w:pPr>
    <w:rPr>
      <w:noProof/>
    </w:rPr>
  </w:style>
  <w:style w:type="paragraph" w:styleId="Index2">
    <w:name w:val="index 2"/>
    <w:basedOn w:val="Normal"/>
    <w:next w:val="Normal"/>
    <w:semiHidden/>
    <w:rsid w:val="009B35B8"/>
    <w:pPr>
      <w:tabs>
        <w:tab w:val="right" w:pos="4176"/>
      </w:tabs>
      <w:ind w:left="568" w:hanging="284"/>
    </w:pPr>
    <w:rPr>
      <w:rFonts w:ascii="Garamond" w:hAnsi="Garamond"/>
    </w:rPr>
  </w:style>
  <w:style w:type="paragraph" w:customStyle="1" w:styleId="Byline">
    <w:name w:val="Byline"/>
    <w:rsid w:val="009B35B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B35B8"/>
    <w:pPr>
      <w:tabs>
        <w:tab w:val="clear" w:pos="3600"/>
        <w:tab w:val="clear" w:pos="3958"/>
      </w:tabs>
      <w:jc w:val="right"/>
    </w:pPr>
  </w:style>
  <w:style w:type="character" w:styleId="Emphasis">
    <w:name w:val="Emphasis"/>
    <w:qFormat/>
    <w:rsid w:val="009B35B8"/>
    <w:rPr>
      <w:i/>
    </w:rPr>
  </w:style>
  <w:style w:type="paragraph" w:styleId="Caption">
    <w:name w:val="caption"/>
    <w:basedOn w:val="BodyText"/>
    <w:next w:val="Normal"/>
    <w:qFormat/>
    <w:rsid w:val="009B35B8"/>
    <w:pPr>
      <w:framePr w:w="2268" w:hSpace="181" w:vSpace="181" w:wrap="around" w:vAnchor="text" w:hAnchor="page" w:x="1135" w:y="285" w:anchorLock="1"/>
    </w:pPr>
    <w:rPr>
      <w:i/>
    </w:rPr>
  </w:style>
  <w:style w:type="paragraph" w:customStyle="1" w:styleId="MiniTOCTitle">
    <w:name w:val="MiniTOCTitle"/>
    <w:basedOn w:val="Heading4"/>
    <w:rsid w:val="009B35B8"/>
    <w:pPr>
      <w:spacing w:before="240"/>
      <w:outlineLvl w:val="9"/>
    </w:pPr>
    <w:rPr>
      <w:noProof/>
      <w:sz w:val="24"/>
    </w:rPr>
  </w:style>
  <w:style w:type="paragraph" w:customStyle="1" w:styleId="MiniTOCItem">
    <w:name w:val="MiniTOCItem"/>
    <w:basedOn w:val="ListBullet"/>
    <w:rsid w:val="009B35B8"/>
    <w:pPr>
      <w:numPr>
        <w:numId w:val="0"/>
      </w:numPr>
      <w:tabs>
        <w:tab w:val="right" w:leader="dot" w:pos="6521"/>
      </w:tabs>
      <w:spacing w:before="0" w:after="0"/>
    </w:pPr>
  </w:style>
  <w:style w:type="paragraph" w:customStyle="1" w:styleId="TOFTitle">
    <w:name w:val="TOFTitle"/>
    <w:basedOn w:val="TOCTitle"/>
    <w:rsid w:val="009B35B8"/>
  </w:style>
  <w:style w:type="paragraph" w:styleId="TableofFigures">
    <w:name w:val="table of figures"/>
    <w:basedOn w:val="Normal"/>
    <w:next w:val="Normal"/>
    <w:semiHidden/>
    <w:rsid w:val="009B35B8"/>
    <w:pPr>
      <w:tabs>
        <w:tab w:val="right" w:leader="dot" w:pos="9072"/>
      </w:tabs>
      <w:ind w:left="970" w:hanging="403"/>
    </w:pPr>
    <w:rPr>
      <w:rFonts w:ascii="Times New Roman" w:hAnsi="Times New Roman"/>
      <w:b/>
    </w:rPr>
  </w:style>
  <w:style w:type="paragraph" w:styleId="ListNumber">
    <w:name w:val="List Number"/>
    <w:basedOn w:val="List"/>
    <w:rsid w:val="009B35B8"/>
    <w:pPr>
      <w:numPr>
        <w:numId w:val="11"/>
      </w:numPr>
    </w:pPr>
  </w:style>
  <w:style w:type="character" w:customStyle="1" w:styleId="WingdingSymbols">
    <w:name w:val="Wingding Symbols"/>
    <w:rsid w:val="009B35B8"/>
    <w:rPr>
      <w:rFonts w:ascii="Wingdings" w:hAnsi="Wingdings"/>
    </w:rPr>
  </w:style>
  <w:style w:type="paragraph" w:customStyle="1" w:styleId="TableHeading">
    <w:name w:val="Table Heading"/>
    <w:basedOn w:val="HeadingBase"/>
    <w:rsid w:val="009B35B8"/>
    <w:pPr>
      <w:keepLines/>
      <w:pBdr>
        <w:bottom w:val="single" w:sz="6" w:space="1" w:color="918585"/>
      </w:pBdr>
      <w:spacing w:before="240"/>
    </w:pPr>
  </w:style>
  <w:style w:type="character" w:customStyle="1" w:styleId="HotSpot">
    <w:name w:val="HotSpot"/>
    <w:rsid w:val="009B35B8"/>
    <w:rPr>
      <w:color w:val="0033CC"/>
      <w:u w:val="none"/>
    </w:rPr>
  </w:style>
  <w:style w:type="paragraph" w:customStyle="1" w:styleId="BodyTextRight">
    <w:name w:val="Body Text Right"/>
    <w:basedOn w:val="BodyText"/>
    <w:rsid w:val="009B35B8"/>
    <w:pPr>
      <w:spacing w:before="0" w:after="0"/>
      <w:jc w:val="right"/>
    </w:pPr>
  </w:style>
  <w:style w:type="paragraph" w:styleId="Index3">
    <w:name w:val="index 3"/>
    <w:basedOn w:val="ListNumber2"/>
    <w:next w:val="Normal"/>
    <w:semiHidden/>
    <w:rsid w:val="009B35B8"/>
    <w:pPr>
      <w:numPr>
        <w:numId w:val="0"/>
      </w:numPr>
      <w:tabs>
        <w:tab w:val="right" w:leader="dot" w:pos="4176"/>
      </w:tabs>
    </w:pPr>
  </w:style>
  <w:style w:type="paragraph" w:styleId="ListNumber2">
    <w:name w:val="List Number 2"/>
    <w:basedOn w:val="List2"/>
    <w:rsid w:val="009B35B8"/>
    <w:pPr>
      <w:numPr>
        <w:numId w:val="10"/>
      </w:numPr>
      <w:tabs>
        <w:tab w:val="clear" w:pos="1060"/>
      </w:tabs>
    </w:pPr>
  </w:style>
  <w:style w:type="paragraph" w:customStyle="1" w:styleId="MarginNote">
    <w:name w:val="Margin Note"/>
    <w:basedOn w:val="BodyText"/>
    <w:rsid w:val="009B35B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B35B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9B35B8"/>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9B35B8"/>
    <w:rPr>
      <w:sz w:val="32"/>
    </w:rPr>
  </w:style>
  <w:style w:type="paragraph" w:customStyle="1" w:styleId="HeadingProcedure">
    <w:name w:val="Heading Procedure"/>
    <w:basedOn w:val="HeadingBase"/>
    <w:next w:val="Normal"/>
    <w:rsid w:val="009B35B8"/>
    <w:pPr>
      <w:tabs>
        <w:tab w:val="left" w:pos="0"/>
      </w:tabs>
      <w:spacing w:before="120" w:after="60"/>
    </w:pPr>
    <w:rPr>
      <w:i/>
      <w:color w:val="918585"/>
      <w:sz w:val="22"/>
    </w:rPr>
  </w:style>
  <w:style w:type="paragraph" w:customStyle="1" w:styleId="TableBodyText">
    <w:name w:val="Table Body Text"/>
    <w:basedOn w:val="BodyText"/>
    <w:rsid w:val="009B35B8"/>
    <w:pPr>
      <w:spacing w:before="60" w:after="60"/>
    </w:pPr>
  </w:style>
  <w:style w:type="paragraph" w:styleId="ListContinue">
    <w:name w:val="List Continue"/>
    <w:basedOn w:val="List"/>
    <w:rsid w:val="009B35B8"/>
    <w:pPr>
      <w:ind w:firstLine="0"/>
    </w:pPr>
  </w:style>
  <w:style w:type="paragraph" w:customStyle="1" w:styleId="ListNote">
    <w:name w:val="List Note"/>
    <w:basedOn w:val="List"/>
    <w:rsid w:val="009B35B8"/>
    <w:pPr>
      <w:pBdr>
        <w:top w:val="single" w:sz="6" w:space="2" w:color="918585"/>
        <w:bottom w:val="single" w:sz="6" w:space="2" w:color="918585"/>
      </w:pBdr>
      <w:tabs>
        <w:tab w:val="left" w:pos="1021"/>
      </w:tabs>
      <w:ind w:firstLine="0"/>
    </w:pPr>
  </w:style>
  <w:style w:type="paragraph" w:customStyle="1" w:styleId="Warning">
    <w:name w:val="Warning"/>
    <w:basedOn w:val="BodyText"/>
    <w:rsid w:val="009B35B8"/>
    <w:pPr>
      <w:shd w:val="clear" w:color="auto" w:fill="D9D9D9"/>
      <w:tabs>
        <w:tab w:val="left" w:pos="992"/>
      </w:tabs>
      <w:ind w:left="119" w:right="119"/>
    </w:pPr>
    <w:rPr>
      <w:sz w:val="20"/>
    </w:rPr>
  </w:style>
  <w:style w:type="paragraph" w:customStyle="1" w:styleId="MarginIcons">
    <w:name w:val="Margin Icons"/>
    <w:basedOn w:val="BodyText"/>
    <w:rsid w:val="009B35B8"/>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9B35B8"/>
    <w:rPr>
      <w:rFonts w:ascii="Courier New" w:hAnsi="Courier New"/>
    </w:rPr>
  </w:style>
  <w:style w:type="paragraph" w:customStyle="1" w:styleId="NoteBullet">
    <w:name w:val="Note Bullet"/>
    <w:basedOn w:val="Note"/>
    <w:rsid w:val="009B35B8"/>
    <w:pPr>
      <w:tabs>
        <w:tab w:val="clear" w:pos="680"/>
      </w:tabs>
      <w:spacing w:before="60" w:after="60"/>
    </w:pPr>
  </w:style>
  <w:style w:type="paragraph" w:customStyle="1" w:styleId="SubHeading2">
    <w:name w:val="SubHeading2"/>
    <w:basedOn w:val="HeadingBase"/>
    <w:rsid w:val="009B35B8"/>
    <w:pPr>
      <w:spacing w:before="240" w:after="60"/>
    </w:pPr>
    <w:rPr>
      <w:sz w:val="20"/>
    </w:rPr>
  </w:style>
  <w:style w:type="paragraph" w:customStyle="1" w:styleId="SubHeading1">
    <w:name w:val="SubHeading1"/>
    <w:basedOn w:val="HeadingBase"/>
    <w:rsid w:val="009B35B8"/>
    <w:pPr>
      <w:spacing w:before="240" w:after="60"/>
    </w:pPr>
    <w:rPr>
      <w:color w:val="918585"/>
      <w:sz w:val="22"/>
    </w:rPr>
  </w:style>
  <w:style w:type="paragraph" w:customStyle="1" w:styleId="SideHeading">
    <w:name w:val="Side Heading"/>
    <w:basedOn w:val="HeadingBase"/>
    <w:rsid w:val="009B35B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B35B8"/>
    <w:pPr>
      <w:numPr>
        <w:numId w:val="12"/>
      </w:numPr>
    </w:pPr>
  </w:style>
  <w:style w:type="paragraph" w:styleId="PlainText">
    <w:name w:val="Plain Text"/>
    <w:basedOn w:val="Normal"/>
    <w:link w:val="PlainTextChar"/>
    <w:rsid w:val="009B35B8"/>
    <w:rPr>
      <w:sz w:val="20"/>
    </w:rPr>
  </w:style>
  <w:style w:type="character" w:customStyle="1" w:styleId="PlainTextChar">
    <w:name w:val="Plain Text Char"/>
    <w:basedOn w:val="DefaultParagraphFont"/>
    <w:link w:val="PlainText"/>
    <w:rsid w:val="009B35B8"/>
    <w:rPr>
      <w:rFonts w:ascii="Courier New" w:eastAsia="Times New Roman" w:hAnsi="Courier New" w:cs="Times New Roman"/>
      <w:sz w:val="20"/>
      <w:szCs w:val="20"/>
      <w:lang w:val="en-US" w:eastAsia="en-US"/>
    </w:rPr>
  </w:style>
  <w:style w:type="character" w:customStyle="1" w:styleId="MenuOption">
    <w:name w:val="Menu Option"/>
    <w:rsid w:val="009B35B8"/>
    <w:rPr>
      <w:b/>
      <w:smallCaps/>
    </w:rPr>
  </w:style>
  <w:style w:type="paragraph" w:customStyle="1" w:styleId="TableListNumber">
    <w:name w:val="Table List Number"/>
    <w:basedOn w:val="ListNumber"/>
    <w:rsid w:val="009B35B8"/>
    <w:pPr>
      <w:numPr>
        <w:numId w:val="0"/>
      </w:numPr>
    </w:pPr>
  </w:style>
  <w:style w:type="paragraph" w:styleId="TOC4">
    <w:name w:val="toc 4"/>
    <w:basedOn w:val="TOCBase"/>
    <w:next w:val="Normal"/>
    <w:semiHidden/>
    <w:rsid w:val="009B35B8"/>
    <w:pPr>
      <w:tabs>
        <w:tab w:val="right" w:leader="dot" w:pos="9071"/>
      </w:tabs>
      <w:ind w:left="1701"/>
    </w:pPr>
  </w:style>
  <w:style w:type="paragraph" w:customStyle="1" w:styleId="ListAlpha">
    <w:name w:val="List Alpha"/>
    <w:basedOn w:val="List"/>
    <w:rsid w:val="009B35B8"/>
    <w:pPr>
      <w:numPr>
        <w:numId w:val="9"/>
      </w:numPr>
    </w:pPr>
  </w:style>
  <w:style w:type="paragraph" w:customStyle="1" w:styleId="ListAlpha2">
    <w:name w:val="List Alpha 2"/>
    <w:basedOn w:val="List2"/>
    <w:rsid w:val="009B35B8"/>
    <w:pPr>
      <w:numPr>
        <w:numId w:val="8"/>
      </w:numPr>
    </w:pPr>
  </w:style>
  <w:style w:type="paragraph" w:styleId="List2">
    <w:name w:val="List 2"/>
    <w:basedOn w:val="BodyText"/>
    <w:rsid w:val="009B35B8"/>
    <w:pPr>
      <w:tabs>
        <w:tab w:val="left" w:pos="680"/>
      </w:tabs>
      <w:spacing w:before="60" w:after="60"/>
      <w:ind w:left="680" w:hanging="340"/>
    </w:pPr>
  </w:style>
  <w:style w:type="paragraph" w:styleId="List3">
    <w:name w:val="List 3"/>
    <w:basedOn w:val="BodyText"/>
    <w:rsid w:val="009B35B8"/>
    <w:pPr>
      <w:tabs>
        <w:tab w:val="left" w:pos="1021"/>
      </w:tabs>
      <w:spacing w:before="60" w:after="60"/>
      <w:ind w:left="1020" w:hanging="340"/>
    </w:pPr>
  </w:style>
  <w:style w:type="paragraph" w:styleId="List4">
    <w:name w:val="List 4"/>
    <w:basedOn w:val="BodyText"/>
    <w:rsid w:val="009B35B8"/>
    <w:pPr>
      <w:tabs>
        <w:tab w:val="left" w:pos="1361"/>
      </w:tabs>
      <w:spacing w:before="60" w:after="60"/>
      <w:ind w:left="1361" w:hanging="340"/>
    </w:pPr>
  </w:style>
  <w:style w:type="paragraph" w:styleId="List5">
    <w:name w:val="List 5"/>
    <w:basedOn w:val="BodyText"/>
    <w:rsid w:val="009B35B8"/>
    <w:pPr>
      <w:tabs>
        <w:tab w:val="left" w:pos="1701"/>
      </w:tabs>
      <w:spacing w:before="60" w:after="60"/>
      <w:ind w:left="1701" w:hanging="340"/>
    </w:pPr>
  </w:style>
  <w:style w:type="paragraph" w:styleId="ListBullet3">
    <w:name w:val="List Bullet 3"/>
    <w:basedOn w:val="List3"/>
    <w:rsid w:val="009B35B8"/>
    <w:pPr>
      <w:numPr>
        <w:numId w:val="15"/>
      </w:numPr>
      <w:tabs>
        <w:tab w:val="clear" w:pos="1021"/>
      </w:tabs>
      <w:ind w:left="1037" w:hanging="357"/>
    </w:pPr>
  </w:style>
  <w:style w:type="paragraph" w:styleId="ListBullet4">
    <w:name w:val="List Bullet 4"/>
    <w:basedOn w:val="List4"/>
    <w:rsid w:val="009B35B8"/>
    <w:pPr>
      <w:numPr>
        <w:numId w:val="3"/>
      </w:numPr>
    </w:pPr>
  </w:style>
  <w:style w:type="paragraph" w:styleId="ListBullet5">
    <w:name w:val="List Bullet 5"/>
    <w:basedOn w:val="List5"/>
    <w:rsid w:val="009B35B8"/>
    <w:pPr>
      <w:numPr>
        <w:numId w:val="4"/>
      </w:numPr>
    </w:pPr>
  </w:style>
  <w:style w:type="paragraph" w:styleId="ListContinue2">
    <w:name w:val="List Continue 2"/>
    <w:basedOn w:val="List2"/>
    <w:rsid w:val="009B35B8"/>
    <w:pPr>
      <w:ind w:firstLine="0"/>
    </w:pPr>
  </w:style>
  <w:style w:type="paragraph" w:styleId="ListContinue3">
    <w:name w:val="List Continue 3"/>
    <w:basedOn w:val="List3"/>
    <w:rsid w:val="009B35B8"/>
    <w:pPr>
      <w:ind w:left="1021" w:firstLine="0"/>
    </w:pPr>
  </w:style>
  <w:style w:type="paragraph" w:styleId="ListContinue4">
    <w:name w:val="List Continue 4"/>
    <w:basedOn w:val="List4"/>
    <w:rsid w:val="009B35B8"/>
    <w:pPr>
      <w:ind w:firstLine="0"/>
    </w:pPr>
  </w:style>
  <w:style w:type="paragraph" w:styleId="ListContinue5">
    <w:name w:val="List Continue 5"/>
    <w:basedOn w:val="List5"/>
    <w:rsid w:val="009B35B8"/>
    <w:pPr>
      <w:ind w:firstLine="0"/>
    </w:pPr>
  </w:style>
  <w:style w:type="paragraph" w:styleId="ListNumber3">
    <w:name w:val="List Number 3"/>
    <w:basedOn w:val="List3"/>
    <w:rsid w:val="009B35B8"/>
    <w:pPr>
      <w:numPr>
        <w:numId w:val="5"/>
      </w:numPr>
    </w:pPr>
  </w:style>
  <w:style w:type="paragraph" w:styleId="ListNumber4">
    <w:name w:val="List Number 4"/>
    <w:basedOn w:val="List4"/>
    <w:rsid w:val="009B35B8"/>
    <w:pPr>
      <w:numPr>
        <w:numId w:val="6"/>
      </w:numPr>
    </w:pPr>
  </w:style>
  <w:style w:type="paragraph" w:styleId="ListNumber5">
    <w:name w:val="List Number 5"/>
    <w:basedOn w:val="List5"/>
    <w:rsid w:val="009B35B8"/>
    <w:pPr>
      <w:numPr>
        <w:numId w:val="7"/>
      </w:numPr>
    </w:pPr>
  </w:style>
  <w:style w:type="paragraph" w:styleId="BlockText">
    <w:name w:val="Block Text"/>
    <w:basedOn w:val="Normal"/>
    <w:rsid w:val="009B35B8"/>
    <w:pPr>
      <w:spacing w:after="120"/>
      <w:ind w:left="1440" w:right="1440"/>
    </w:pPr>
  </w:style>
  <w:style w:type="character" w:customStyle="1" w:styleId="Subscript">
    <w:name w:val="Subscript"/>
    <w:rsid w:val="009B35B8"/>
    <w:rPr>
      <w:sz w:val="16"/>
      <w:vertAlign w:val="subscript"/>
    </w:rPr>
  </w:style>
  <w:style w:type="character" w:customStyle="1" w:styleId="Superscript">
    <w:name w:val="Superscript"/>
    <w:rsid w:val="009B35B8"/>
    <w:rPr>
      <w:sz w:val="16"/>
      <w:vertAlign w:val="superscript"/>
    </w:rPr>
  </w:style>
  <w:style w:type="character" w:customStyle="1" w:styleId="Symbols">
    <w:name w:val="Symbols"/>
    <w:rsid w:val="009B35B8"/>
    <w:rPr>
      <w:rFonts w:ascii="Symbol" w:hAnsi="Symbol"/>
    </w:rPr>
  </w:style>
  <w:style w:type="character" w:customStyle="1" w:styleId="MenuOptions">
    <w:name w:val="Menu Options"/>
    <w:rsid w:val="009B35B8"/>
    <w:rPr>
      <w:rFonts w:ascii="Arial Narrow" w:hAnsi="Arial Narrow"/>
      <w:smallCaps/>
    </w:rPr>
  </w:style>
  <w:style w:type="character" w:customStyle="1" w:styleId="Buttons">
    <w:name w:val="Buttons"/>
    <w:rsid w:val="009B35B8"/>
    <w:rPr>
      <w:b/>
    </w:rPr>
  </w:style>
  <w:style w:type="character" w:customStyle="1" w:styleId="Underlined">
    <w:name w:val="Underlined"/>
    <w:rsid w:val="009B35B8"/>
    <w:rPr>
      <w:u w:val="single"/>
    </w:rPr>
  </w:style>
  <w:style w:type="paragraph" w:customStyle="1" w:styleId="TableBodyTextRight">
    <w:name w:val="Table Body Text Right"/>
    <w:basedOn w:val="TableBodyText"/>
    <w:rsid w:val="009B35B8"/>
    <w:pPr>
      <w:widowControl w:val="0"/>
      <w:autoSpaceDE w:val="0"/>
      <w:autoSpaceDN w:val="0"/>
      <w:adjustRightInd w:val="0"/>
      <w:jc w:val="right"/>
    </w:pPr>
    <w:rPr>
      <w:rFonts w:cs="Arial"/>
      <w:szCs w:val="18"/>
    </w:rPr>
  </w:style>
  <w:style w:type="paragraph" w:customStyle="1" w:styleId="CopyrightText">
    <w:name w:val="Copyright Text"/>
    <w:basedOn w:val="BodyText"/>
    <w:rsid w:val="009B35B8"/>
    <w:rPr>
      <w:sz w:val="18"/>
    </w:rPr>
  </w:style>
  <w:style w:type="paragraph" w:customStyle="1" w:styleId="BodySmallRight">
    <w:name w:val="Body Small Right"/>
    <w:basedOn w:val="BodyTextRight"/>
    <w:rsid w:val="009B35B8"/>
    <w:rPr>
      <w:sz w:val="18"/>
      <w:szCs w:val="18"/>
    </w:rPr>
  </w:style>
  <w:style w:type="paragraph" w:customStyle="1" w:styleId="MarginEdition">
    <w:name w:val="Margin Edition"/>
    <w:basedOn w:val="MarginNote"/>
    <w:rsid w:val="009B35B8"/>
    <w:pPr>
      <w:spacing w:before="0" w:after="0"/>
    </w:pPr>
    <w:rPr>
      <w:rFonts w:ascii="Times New Roman" w:hAnsi="Times New Roman"/>
      <w:color w:val="999999"/>
    </w:rPr>
  </w:style>
  <w:style w:type="paragraph" w:customStyle="1" w:styleId="Spacer">
    <w:name w:val="Spacer"/>
    <w:basedOn w:val="Normal"/>
    <w:rsid w:val="009B35B8"/>
    <w:rPr>
      <w:sz w:val="2"/>
      <w:szCs w:val="2"/>
    </w:rPr>
  </w:style>
  <w:style w:type="character" w:customStyle="1" w:styleId="Small">
    <w:name w:val="Small"/>
    <w:rsid w:val="009B35B8"/>
    <w:rPr>
      <w:sz w:val="16"/>
    </w:rPr>
  </w:style>
  <w:style w:type="paragraph" w:customStyle="1" w:styleId="WideTable">
    <w:name w:val="Wide Table"/>
    <w:basedOn w:val="Normal"/>
    <w:rsid w:val="009B35B8"/>
    <w:pPr>
      <w:ind w:left="-1418"/>
    </w:pPr>
    <w:rPr>
      <w:sz w:val="2"/>
      <w:szCs w:val="2"/>
    </w:rPr>
  </w:style>
  <w:style w:type="character" w:styleId="PageNumber">
    <w:name w:val="page number"/>
    <w:rsid w:val="009B35B8"/>
  </w:style>
  <w:style w:type="paragraph" w:styleId="Quote">
    <w:name w:val="Quote"/>
    <w:basedOn w:val="Heading1"/>
    <w:link w:val="QuoteChar"/>
    <w:qFormat/>
    <w:rsid w:val="009B35B8"/>
    <w:rPr>
      <w:b w:val="0"/>
      <w:sz w:val="72"/>
      <w:szCs w:val="72"/>
      <w:lang w:val="en-NZ"/>
    </w:rPr>
  </w:style>
  <w:style w:type="character" w:customStyle="1" w:styleId="QuoteChar">
    <w:name w:val="Quote Char"/>
    <w:link w:val="Quote"/>
    <w:rsid w:val="009B35B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B35B8"/>
    <w:pPr>
      <w:pageBreakBefore/>
    </w:pPr>
  </w:style>
  <w:style w:type="paragraph" w:customStyle="1" w:styleId="Border">
    <w:name w:val="Border"/>
    <w:basedOn w:val="Normal"/>
    <w:qFormat/>
    <w:rsid w:val="009B35B8"/>
    <w:pPr>
      <w:pBdr>
        <w:top w:val="single" w:sz="18" w:space="1" w:color="auto"/>
      </w:pBdr>
    </w:pPr>
    <w:rPr>
      <w:rFonts w:ascii="Times New Roman" w:hAnsi="Times New Roman"/>
      <w:color w:val="FFFFFF"/>
      <w:sz w:val="2"/>
    </w:rPr>
  </w:style>
  <w:style w:type="character" w:styleId="IntenseEmphasis">
    <w:name w:val="Intense Emphasis"/>
    <w:uiPriority w:val="21"/>
    <w:qFormat/>
    <w:rsid w:val="009B35B8"/>
    <w:rPr>
      <w:b/>
      <w:bCs/>
      <w:i/>
      <w:iCs/>
      <w:color w:val="auto"/>
    </w:rPr>
  </w:style>
  <w:style w:type="paragraph" w:styleId="IntenseQuote">
    <w:name w:val="Intense Quote"/>
    <w:basedOn w:val="Normal"/>
    <w:next w:val="Normal"/>
    <w:link w:val="IntenseQuoteChar"/>
    <w:uiPriority w:val="30"/>
    <w:qFormat/>
    <w:rsid w:val="009B35B8"/>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9B35B8"/>
    <w:rPr>
      <w:rFonts w:ascii="Courier New" w:eastAsia="Times New Roman" w:hAnsi="Courier New" w:cs="Times New Roman"/>
      <w:b/>
      <w:bCs/>
      <w:i/>
      <w:iCs/>
      <w:szCs w:val="20"/>
      <w:lang w:val="en-US" w:eastAsia="en-US"/>
    </w:rPr>
  </w:style>
  <w:style w:type="character" w:styleId="SubtleReference">
    <w:name w:val="Subtle Reference"/>
    <w:uiPriority w:val="31"/>
    <w:qFormat/>
    <w:rsid w:val="009B35B8"/>
    <w:rPr>
      <w:smallCaps/>
      <w:color w:val="auto"/>
      <w:u w:val="single"/>
    </w:rPr>
  </w:style>
  <w:style w:type="character" w:styleId="IntenseReference">
    <w:name w:val="Intense Reference"/>
    <w:uiPriority w:val="32"/>
    <w:qFormat/>
    <w:rsid w:val="009B35B8"/>
    <w:rPr>
      <w:b/>
      <w:bCs/>
      <w:smallCaps/>
      <w:color w:val="auto"/>
      <w:spacing w:val="5"/>
      <w:u w:val="single"/>
    </w:rPr>
  </w:style>
  <w:style w:type="paragraph" w:customStyle="1" w:styleId="2ColumnHeading">
    <w:name w:val="2Column Heading"/>
    <w:basedOn w:val="BodyText"/>
    <w:qFormat/>
    <w:rsid w:val="009B35B8"/>
    <w:pPr>
      <w:spacing w:after="60"/>
      <w:ind w:left="-2268"/>
    </w:pPr>
    <w:rPr>
      <w:b/>
    </w:rPr>
  </w:style>
  <w:style w:type="paragraph" w:customStyle="1" w:styleId="Heading1TOC">
    <w:name w:val="Heading1 TOC"/>
    <w:basedOn w:val="Normal"/>
    <w:qFormat/>
    <w:rsid w:val="009B35B8"/>
    <w:pPr>
      <w:spacing w:before="240" w:after="120"/>
    </w:pPr>
    <w:rPr>
      <w:rFonts w:ascii="Times New Roman" w:hAnsi="Times New Roman"/>
      <w:b/>
      <w:sz w:val="32"/>
    </w:rPr>
  </w:style>
  <w:style w:type="paragraph" w:customStyle="1" w:styleId="Heading2TOC">
    <w:name w:val="Heading2 TOC"/>
    <w:basedOn w:val="Normal"/>
    <w:qFormat/>
    <w:rsid w:val="009B35B8"/>
    <w:pPr>
      <w:spacing w:before="240" w:after="60"/>
    </w:pPr>
    <w:rPr>
      <w:rFonts w:ascii="Times New Roman" w:hAnsi="Times New Roman"/>
      <w:b/>
      <w:sz w:val="28"/>
    </w:rPr>
  </w:style>
  <w:style w:type="character" w:customStyle="1" w:styleId="Underline">
    <w:name w:val="Underline"/>
    <w:qFormat/>
    <w:rsid w:val="009B35B8"/>
    <w:rPr>
      <w:u w:val="single"/>
    </w:rPr>
  </w:style>
  <w:style w:type="character" w:customStyle="1" w:styleId="BoldandItalics">
    <w:name w:val="Bold and Italics"/>
    <w:qFormat/>
    <w:rsid w:val="009B35B8"/>
    <w:rPr>
      <w:b/>
      <w:i/>
      <w:u w:val="none"/>
    </w:rPr>
  </w:style>
  <w:style w:type="paragraph" w:styleId="BalloonText">
    <w:name w:val="Balloon Text"/>
    <w:basedOn w:val="Normal"/>
    <w:link w:val="BalloonTextChar"/>
    <w:rsid w:val="009B35B8"/>
    <w:rPr>
      <w:rFonts w:ascii="Tahoma" w:hAnsi="Tahoma" w:cs="Tahoma"/>
      <w:sz w:val="16"/>
      <w:szCs w:val="16"/>
    </w:rPr>
  </w:style>
  <w:style w:type="character" w:customStyle="1" w:styleId="BalloonTextChar">
    <w:name w:val="Balloon Text Char"/>
    <w:link w:val="BalloonText"/>
    <w:rsid w:val="009B35B8"/>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9B35B8"/>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9B35B8"/>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D09F6113.dotm</Template>
  <TotalTime>1</TotalTime>
  <Pages>11</Pages>
  <Words>2710</Words>
  <Characters>16759</Characters>
  <Application>Microsoft Office Word</Application>
  <DocSecurity>0</DocSecurity>
  <Lines>652</Lines>
  <Paragraphs>305</Paragraphs>
  <ScaleCrop>false</ScaleCrop>
  <Company>Author-it Software Corporation Ltd.</Company>
  <LinksUpToDate>false</LinksUpToDate>
  <CharactersWithSpaces>19332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UEENEEB101A Operate and maintain amateur radio communication stations</dc:title>
  <dc:subject>Approved</dc:subject>
  <dc:creator>EE-Oz Training Standards</dc:creator>
  <cp:keywords>Release: 1</cp:keywords>
  <dc:description>Copyright © 1996-2007 Author-it Software Corporation Ltd., all rights reserved.</dc:description>
  <cp:lastModifiedBy>Narendra Tomar</cp:lastModifiedBy>
  <cp:revision>3</cp:revision>
  <dcterms:created xsi:type="dcterms:W3CDTF">2012-05-26T10:38:00Z</dcterms:created>
  <dcterms:modified xsi:type="dcterms:W3CDTF">2012-05-26T10:39:00Z</dcterms:modified>
</cp:coreProperties>
</file>