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927" w:rsidP="00107927">
      <w:pPr>
        <w:pStyle w:val="Title"/>
      </w:pPr>
      <w:r>
        <w:fldChar w:fldCharType="begin"/>
      </w:r>
      <w:r>
        <w:instrText xml:space="preserve"> TITLE   \* MERGEFORMAT </w:instrText>
      </w:r>
      <w:r>
        <w:fldChar w:fldCharType="separate"/>
      </w:r>
      <w:r>
        <w:t>UEENEEA113A Mount and wire control panel equipment</w:t>
      </w:r>
      <w:r>
        <w:fldChar w:fldCharType="end"/>
      </w:r>
    </w:p>
    <w:p w:rsidR="00107927" w:rsidP="00107927">
      <w:pPr>
        <w:pStyle w:val="Version"/>
        <w:sectPr w:rsidSect="002105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059B" w:rsidP="0021059B">
      <w:pPr>
        <w:pStyle w:val="SuperHeading"/>
      </w:pPr>
      <w:r w:rsidRPr="0021059B">
        <w:t>UEENEEA113A Mount and wire control panel equipment</w:t>
      </w:r>
    </w:p>
    <w:p w:rsidR="00000000" w:rsidRPr="0021059B" w:rsidP="0021059B">
      <w:pPr>
        <w:pStyle w:val="Heading1"/>
      </w:pPr>
      <w:bookmarkStart w:id="1" w:name="O_584131"/>
      <w:bookmarkEnd w:id="1"/>
      <w:r w:rsidRPr="0021059B">
        <w:t>Modification History</w:t>
      </w:r>
    </w:p>
    <w:p w:rsidR="00000000" w:rsidRPr="0021059B" w:rsidP="0021059B">
      <w:pPr>
        <w:pStyle w:val="BodyText"/>
      </w:pPr>
      <w:r w:rsidRPr="0021059B">
        <w:t>Not applicable.</w:t>
      </w:r>
    </w:p>
    <w:p w:rsidR="00000000" w:rsidRPr="0021059B" w:rsidP="0021059B">
      <w:pPr>
        <w:pStyle w:val="AllowPageBreak"/>
      </w:pPr>
    </w:p>
    <w:p w:rsidR="00000000" w:rsidRPr="0021059B" w:rsidP="0021059B">
      <w:pPr>
        <w:pStyle w:val="Heading1"/>
      </w:pPr>
      <w:bookmarkStart w:id="2" w:name="O_584130"/>
      <w:bookmarkEnd w:id="2"/>
      <w:r w:rsidRPr="0021059B">
        <w:t>Unit Descriptor</w:t>
      </w:r>
    </w:p>
    <w:tbl>
      <w:tblPr>
        <w:tblW w:w="0" w:type="auto"/>
        <w:tblLayout w:type="fixed"/>
        <w:tblCellMar>
          <w:left w:w="62" w:type="dxa"/>
          <w:right w:w="62" w:type="dxa"/>
        </w:tblCellMar>
        <w:tblLook w:val="0000"/>
      </w:tblPr>
      <w:tblGrid>
        <w:gridCol w:w="2700"/>
        <w:gridCol w:w="5760"/>
      </w:tblGrid>
      <w:tr w:rsidTr="001079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1)</w:t>
            </w:r>
            <w:r w:rsidRPr="0021059B">
              <w:t xml:space="preserve"> </w:t>
            </w:r>
            <w:r w:rsidRPr="0021059B">
              <w:rPr>
                <w:rStyle w:val="SpecialBold"/>
              </w:rPr>
              <w:t>Scope:</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059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1.1) Descriptor</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 xml:space="preserve">This unit covers mounting control devices, wiring support in control panel enclosures and installing the interconnecting wiring. It </w:t>
            </w:r>
            <w:r w:rsidRPr="0021059B">
              <w:t>encompasses working safely, following layout and circuit diagrams, mounting equipment, installing and terminating wiring, functional testing and completing necessary documentation.</w:t>
            </w:r>
          </w:p>
        </w:tc>
      </w:tr>
    </w:tbl>
    <w:p w:rsidR="00000000" w:rsidRPr="0021059B" w:rsidP="0021059B">
      <w:pPr>
        <w:pStyle w:val="BodyText"/>
      </w:pPr>
    </w:p>
    <w:p w:rsidR="00000000" w:rsidRPr="0021059B" w:rsidP="0021059B">
      <w:pPr>
        <w:pStyle w:val="AllowPageBreak"/>
      </w:pPr>
    </w:p>
    <w:p w:rsidR="00000000" w:rsidRPr="0021059B" w:rsidP="0021059B">
      <w:pPr>
        <w:pStyle w:val="Heading1"/>
      </w:pPr>
      <w:bookmarkStart w:id="3" w:name="O_584129"/>
      <w:bookmarkEnd w:id="3"/>
      <w:r w:rsidRPr="0021059B">
        <w:t>Application of the Unit</w:t>
      </w:r>
    </w:p>
    <w:tbl>
      <w:tblPr>
        <w:tblW w:w="0" w:type="auto"/>
        <w:tblLayout w:type="fixed"/>
        <w:tblCellMar>
          <w:left w:w="62" w:type="dxa"/>
          <w:right w:w="62" w:type="dxa"/>
        </w:tblCellMar>
        <w:tblLook w:val="0000"/>
      </w:tblPr>
      <w:tblGrid>
        <w:gridCol w:w="2672"/>
        <w:gridCol w:w="5699"/>
      </w:tblGrid>
      <w:tr w:rsidTr="0010792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2)</w:t>
            </w:r>
          </w:p>
        </w:tc>
      </w:tr>
      <w:tr w:rsidTr="0010792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This unit is intended for competency development entry-level employment-based programs incorporated in approved contracts of training.</w:t>
            </w:r>
          </w:p>
        </w:tc>
      </w:tr>
    </w:tbl>
    <w:p w:rsidR="00000000" w:rsidRPr="0021059B" w:rsidP="0021059B">
      <w:pPr>
        <w:pStyle w:val="BodyText"/>
      </w:pPr>
    </w:p>
    <w:p w:rsidR="00000000" w:rsidRPr="0021059B" w:rsidP="0021059B">
      <w:pPr>
        <w:pStyle w:val="AllowPageBreak"/>
      </w:pPr>
    </w:p>
    <w:p w:rsidR="00000000" w:rsidRPr="0021059B" w:rsidP="0021059B">
      <w:pPr>
        <w:pStyle w:val="Heading1"/>
      </w:pPr>
      <w:bookmarkStart w:id="4" w:name="O_584128"/>
      <w:bookmarkEnd w:id="4"/>
      <w:r w:rsidRPr="0021059B">
        <w:t>Licensing/Regulatory Information</w:t>
      </w:r>
    </w:p>
    <w:tbl>
      <w:tblPr>
        <w:tblW w:w="0" w:type="auto"/>
        <w:tblLayout w:type="fixed"/>
        <w:tblCellMar>
          <w:left w:w="62" w:type="dxa"/>
          <w:right w:w="62" w:type="dxa"/>
        </w:tblCellMar>
        <w:tblLook w:val="0000"/>
      </w:tblPr>
      <w:tblGrid>
        <w:gridCol w:w="2700"/>
        <w:gridCol w:w="5760"/>
      </w:tblGrid>
      <w:tr w:rsidTr="001079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 xml:space="preserve">3) </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 xml:space="preserve">The skills and knowledge described in this </w:t>
            </w:r>
            <w:r w:rsidRPr="0021059B">
              <w:t>unit do not require a licence to practise in a workplace specifically for the purpose of assembling control panels. In another workplace a licence to practise may be required subject to regulation to undertake electrical work. However, practice in this uni</w:t>
            </w:r>
            <w:r w:rsidRPr="0021059B">
              <w:t>t is subject to regulations directly related to occupational health and safety and where applicable contracts of training such as apprenticeships.</w:t>
            </w:r>
          </w:p>
        </w:tc>
      </w:tr>
    </w:tbl>
    <w:p w:rsidR="00000000" w:rsidRPr="0021059B" w:rsidP="0021059B">
      <w:pPr>
        <w:pStyle w:val="BodyText"/>
      </w:pPr>
    </w:p>
    <w:p w:rsidR="00000000" w:rsidRPr="0021059B" w:rsidP="0021059B">
      <w:pPr>
        <w:pStyle w:val="AllowPageBreak"/>
      </w:pPr>
    </w:p>
    <w:p w:rsidR="00000000" w:rsidRPr="0021059B" w:rsidP="0021059B">
      <w:pPr>
        <w:pStyle w:val="Heading1"/>
      </w:pPr>
      <w:bookmarkStart w:id="5" w:name="O_584127"/>
      <w:bookmarkEnd w:id="5"/>
      <w:r w:rsidRPr="0021059B">
        <w:t>Pre-Requisites</w:t>
      </w:r>
    </w:p>
    <w:tbl>
      <w:tblPr>
        <w:tblW w:w="0" w:type="auto"/>
        <w:tblLayout w:type="fixed"/>
        <w:tblCellMar>
          <w:left w:w="62" w:type="dxa"/>
          <w:right w:w="62" w:type="dxa"/>
        </w:tblCellMar>
        <w:tblLook w:val="0000"/>
      </w:tblPr>
      <w:tblGrid>
        <w:gridCol w:w="2700"/>
        <w:gridCol w:w="1440"/>
        <w:gridCol w:w="4320"/>
      </w:tblGrid>
      <w:tr w:rsidTr="001079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 xml:space="preserve">4) </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4.1)</w:t>
            </w:r>
          </w:p>
        </w:tc>
      </w:tr>
      <w:tr w:rsidTr="00107927">
        <w:tblPrEx>
          <w:tblW w:w="0" w:type="auto"/>
          <w:tblLayout w:type="fixed"/>
          <w:tblCellMar>
            <w:left w:w="62" w:type="dxa"/>
            <w:right w:w="62" w:type="dxa"/>
          </w:tblCellMar>
          <w:tblLook w:val="0000"/>
        </w:tblPrEx>
        <w:trPr>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Granting competency in this unit shall be made only after competency in the following unit(s) has/have been confirmed.</w:t>
            </w:r>
          </w:p>
        </w:tc>
      </w:tr>
      <w:tr w:rsidTr="0010792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UEENEEE101A</w:t>
            </w:r>
          </w:p>
        </w:tc>
        <w:tc>
          <w:tcPr>
            <w:tcW w:w="432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Apply Occupational Health Safety regulations, codes and practices in the workplace</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UEENEEE102A</w:t>
            </w:r>
          </w:p>
        </w:tc>
        <w:tc>
          <w:tcPr>
            <w:tcW w:w="432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 xml:space="preserve">Fabricate, </w:t>
            </w:r>
            <w:r w:rsidRPr="0021059B">
              <w:t>dismantle, assemble of utilities industry components</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UEENEEE104A</w:t>
            </w:r>
          </w:p>
        </w:tc>
        <w:tc>
          <w:tcPr>
            <w:tcW w:w="432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Solve problems in d.c. circuits</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UEENEEE105A</w:t>
            </w:r>
          </w:p>
        </w:tc>
        <w:tc>
          <w:tcPr>
            <w:tcW w:w="432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Fix and secure electrotechnology equipment</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UEENEEE107A</w:t>
            </w:r>
          </w:p>
        </w:tc>
        <w:tc>
          <w:tcPr>
            <w:tcW w:w="432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Use drawings, diagrams, schedules, standards, codes and specifications</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UEENEEG006A</w:t>
            </w:r>
          </w:p>
        </w:tc>
        <w:tc>
          <w:tcPr>
            <w:tcW w:w="432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S</w:t>
            </w:r>
            <w:r w:rsidRPr="0021059B">
              <w:t>olve problems in single and three phase low voltage machines</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UEENEEG063A</w:t>
            </w:r>
          </w:p>
        </w:tc>
        <w:tc>
          <w:tcPr>
            <w:tcW w:w="432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Arrange circuits, control and protection for general electrical installations</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UEENEEG101A</w:t>
            </w:r>
          </w:p>
        </w:tc>
        <w:tc>
          <w:tcPr>
            <w:tcW w:w="432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Solve problems in electromagnetic devices and related circuits</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UEENEEG102A</w:t>
            </w:r>
          </w:p>
        </w:tc>
        <w:tc>
          <w:tcPr>
            <w:tcW w:w="432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Solve problems in low voltage a.c. circuits</w:t>
            </w:r>
          </w:p>
        </w:tc>
      </w:tr>
      <w:tr w:rsidTr="00107927">
        <w:tblPrEx>
          <w:tblW w:w="0" w:type="auto"/>
          <w:tblLayout w:type="fixed"/>
          <w:tblCellMar>
            <w:left w:w="62" w:type="dxa"/>
            <w:right w:w="62" w:type="dxa"/>
          </w:tblCellMar>
          <w:tblLook w:val="0000"/>
        </w:tblPrEx>
        <w:trPr>
          <w:trHeight w:val="45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UEENEEG106A</w:t>
            </w:r>
          </w:p>
        </w:tc>
        <w:tc>
          <w:tcPr>
            <w:tcW w:w="432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Terminate cables, cords and accessories for low voltage circuits</w:t>
            </w:r>
          </w:p>
        </w:tc>
      </w:tr>
      <w:tr w:rsidTr="0010792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UEENEEG109A</w:t>
            </w:r>
          </w:p>
        </w:tc>
        <w:tc>
          <w:tcPr>
            <w:tcW w:w="432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Develop and connect electrical control circuits</w:t>
            </w:r>
          </w:p>
        </w:tc>
      </w:tr>
    </w:tbl>
    <w:p w:rsidR="00000000" w:rsidRPr="0021059B" w:rsidP="0021059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0792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 xml:space="preserve">4.2) </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 xml:space="preserve">Participants are best equipped to achieve competency in this unit if they have reading, writing and Numeracy skills </w:t>
            </w:r>
            <w:r w:rsidRPr="0021059B">
              <w:t>indicated by the following scales. Description of each scale is given in Volume 2, Part 3 ‘Literacy and Numeracy’</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Reading</w:t>
            </w:r>
          </w:p>
        </w:tc>
        <w:tc>
          <w:tcPr>
            <w:tcW w:w="81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4</w:t>
            </w:r>
          </w:p>
        </w:tc>
        <w:tc>
          <w:tcPr>
            <w:tcW w:w="99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Writing</w:t>
            </w: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4</w:t>
            </w:r>
          </w:p>
        </w:tc>
        <w:tc>
          <w:tcPr>
            <w:tcW w:w="12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Numeracy</w:t>
            </w:r>
          </w:p>
        </w:tc>
        <w:tc>
          <w:tcPr>
            <w:tcW w:w="72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4</w:t>
            </w:r>
          </w:p>
        </w:tc>
      </w:tr>
    </w:tbl>
    <w:p w:rsidR="00000000" w:rsidRPr="0021059B" w:rsidP="0021059B">
      <w:pPr>
        <w:pStyle w:val="BodyText"/>
      </w:pPr>
    </w:p>
    <w:p w:rsidR="00000000" w:rsidRPr="0021059B" w:rsidP="0021059B">
      <w:pPr>
        <w:pStyle w:val="AllowPageBreak"/>
      </w:pPr>
    </w:p>
    <w:p w:rsidR="00000000" w:rsidRPr="0021059B" w:rsidP="0021059B">
      <w:pPr>
        <w:pStyle w:val="Heading1"/>
      </w:pPr>
      <w:bookmarkStart w:id="6" w:name="O_584126"/>
      <w:bookmarkEnd w:id="6"/>
      <w:r w:rsidRPr="0021059B">
        <w:t>Employability Skills Information</w:t>
      </w:r>
    </w:p>
    <w:tbl>
      <w:tblPr>
        <w:tblW w:w="0" w:type="auto"/>
        <w:tblLayout w:type="fixed"/>
        <w:tblCellMar>
          <w:left w:w="62" w:type="dxa"/>
          <w:right w:w="62" w:type="dxa"/>
        </w:tblCellMar>
        <w:tblLook w:val="0000"/>
      </w:tblPr>
      <w:tblGrid>
        <w:gridCol w:w="2700"/>
        <w:gridCol w:w="5760"/>
      </w:tblGrid>
      <w:tr w:rsidTr="001079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 xml:space="preserve">5) </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 xml:space="preserve">The required outcomes described in this unit of competency contain applicable facets of Employability Skills. The Employability Skills Summary </w:t>
            </w:r>
            <w:r w:rsidRPr="0021059B">
              <w:t>of the qualification in which this unit of competency is packaged will assist in identifying Employability Skill requirements.</w:t>
            </w:r>
          </w:p>
        </w:tc>
      </w:tr>
    </w:tbl>
    <w:p w:rsidR="00000000" w:rsidRPr="0021059B" w:rsidP="0021059B">
      <w:pPr>
        <w:pStyle w:val="BodyText"/>
      </w:pPr>
    </w:p>
    <w:p w:rsidR="00000000" w:rsidRPr="0021059B" w:rsidP="0021059B">
      <w:pPr>
        <w:pStyle w:val="AllowPageBreak"/>
      </w:pPr>
    </w:p>
    <w:p w:rsidR="00000000" w:rsidRPr="0021059B" w:rsidP="0021059B">
      <w:pPr>
        <w:pStyle w:val="Heading1"/>
      </w:pPr>
      <w:bookmarkStart w:id="7" w:name="O_584125"/>
      <w:bookmarkEnd w:id="7"/>
      <w:r w:rsidRPr="0021059B">
        <w:t>Elements and Performance Criteria Pre-Content</w:t>
      </w:r>
    </w:p>
    <w:tbl>
      <w:tblPr>
        <w:tblW w:w="0" w:type="auto"/>
        <w:tblLayout w:type="fixed"/>
        <w:tblCellMar>
          <w:left w:w="62" w:type="dxa"/>
          <w:right w:w="62" w:type="dxa"/>
        </w:tblCellMar>
        <w:tblLook w:val="0000"/>
      </w:tblPr>
      <w:tblGrid>
        <w:gridCol w:w="2700"/>
        <w:gridCol w:w="5760"/>
      </w:tblGrid>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6)</w:t>
            </w:r>
            <w:r w:rsidRPr="0021059B">
              <w:t xml:space="preserve"> Elements describe the essential outcomes of a competency stan</w:t>
            </w:r>
            <w:r w:rsidRPr="0021059B">
              <w:t>dard unit</w:t>
            </w:r>
          </w:p>
        </w:tc>
        <w:tc>
          <w:tcPr>
            <w:tcW w:w="576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Performance Criteria describe the required performance needed to demonstrate achievement of the element. Assessment of performance is to be consistent with the Evidence Guide.</w:t>
            </w:r>
          </w:p>
        </w:tc>
      </w:tr>
    </w:tbl>
    <w:p w:rsidR="00000000" w:rsidRPr="0021059B" w:rsidP="0021059B">
      <w:pPr>
        <w:pStyle w:val="BodyText"/>
      </w:pPr>
    </w:p>
    <w:p w:rsidR="00000000" w:rsidRPr="0021059B" w:rsidP="0021059B">
      <w:pPr>
        <w:pStyle w:val="AllowPageBreak"/>
      </w:pPr>
    </w:p>
    <w:p w:rsidR="00000000" w:rsidRPr="0021059B" w:rsidP="0021059B">
      <w:pPr>
        <w:pStyle w:val="Heading1"/>
      </w:pPr>
      <w:bookmarkStart w:id="8" w:name="O_584124"/>
      <w:bookmarkEnd w:id="8"/>
      <w:r w:rsidRPr="0021059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0792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PERFORMANCE CRITERIA</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1</w:t>
            </w:r>
          </w:p>
        </w:tc>
        <w:tc>
          <w:tcPr>
            <w:tcW w:w="2296"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Prepare to mount and wire control panel equipment.</w:t>
            </w: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1.1</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OHS procedures for a given work area are identified, obtained and understood</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1.2</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Established OHS risk control measures for work preparation are followed</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1.3</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Work instructions, including layout and wiring diagrams, are obtained and understood.</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1.4</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Advice is sought from the work supervisor to ensure the work is co-ordinated effectively with others</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1.5</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Materials required for the work are obtained in accorda</w:t>
            </w:r>
            <w:r w:rsidRPr="0021059B">
              <w:t>nce with established routines and procedures</w:t>
            </w:r>
          </w:p>
        </w:tc>
      </w:tr>
      <w:tr w:rsidTr="00107927">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1.6</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Tools, equipment and testing devices needed to carry out the work are obtained and checked for correct operation and safety</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2</w:t>
            </w:r>
          </w:p>
        </w:tc>
        <w:tc>
          <w:tcPr>
            <w:tcW w:w="2296"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Mount and wire control panel equipment.</w:t>
            </w: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2.1</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Established OHS risk control work measures are followed</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2.2</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Circuits are checked as being isolated where necessary in strict accordance OHS requirements and procedures</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2.3</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Control panels components are fitted in accordance with work instructions, sta</w:t>
            </w:r>
            <w:r w:rsidRPr="0021059B">
              <w:t>ndards and established routines</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2.4</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Interconnections are made in accordance with work instructions, standards and established routines</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2.5</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Routine quality checks are carried out in accordance with work instructions</w:t>
            </w:r>
          </w:p>
        </w:tc>
      </w:tr>
      <w:tr w:rsidTr="00107927">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2.6</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Completed control panel is tested against work instructions and industry standards and in strict accordance with OHS risk control measures</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2.7</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Procedures for referring non-routine events to immediate supervisor for directions are followed</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2.8</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Work is carried out efficiently without waste of materials or damage to apparatus, the surrounding environment or services and using sustainable energy practices</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3</w:t>
            </w:r>
          </w:p>
        </w:tc>
        <w:tc>
          <w:tcPr>
            <w:tcW w:w="2296"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Check quality of control panels.</w:t>
            </w: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3.1</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Established OHS risk control measures for work complet</w:t>
            </w:r>
            <w:r w:rsidRPr="0021059B">
              <w:t>ion are followed</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3.2</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Quality of assembled control panel is tested against work instructions and industry standards and in accordance with established routines</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3.3</w:t>
            </w:r>
          </w:p>
        </w:tc>
        <w:tc>
          <w:tcPr>
            <w:tcW w:w="48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Prescribed solutions are used where corrective actions to assembled components are necessary</w:t>
            </w:r>
          </w:p>
        </w:tc>
      </w:tr>
      <w:tr w:rsidTr="001079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3.4</w:t>
            </w:r>
          </w:p>
        </w:tc>
        <w:tc>
          <w:tcPr>
            <w:tcW w:w="486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Work report forms are completed accurately and appropriate person(s) notified in accordance with established routine</w:t>
            </w:r>
          </w:p>
        </w:tc>
      </w:tr>
    </w:tbl>
    <w:p w:rsidR="00000000" w:rsidRPr="0021059B" w:rsidP="0021059B">
      <w:pPr>
        <w:pStyle w:val="BodyText"/>
      </w:pPr>
    </w:p>
    <w:p w:rsidR="00000000" w:rsidRPr="0021059B" w:rsidP="0021059B">
      <w:pPr>
        <w:pStyle w:val="AllowPageBreak"/>
      </w:pPr>
    </w:p>
    <w:p w:rsidR="00000000" w:rsidRPr="0021059B" w:rsidP="0021059B">
      <w:pPr>
        <w:pStyle w:val="Heading1"/>
      </w:pPr>
      <w:bookmarkStart w:id="9" w:name="O_584123"/>
      <w:bookmarkEnd w:id="9"/>
      <w:r w:rsidRPr="0021059B">
        <w:t xml:space="preserve">Required Skills and </w:t>
      </w:r>
      <w:r w:rsidRPr="0021059B">
        <w:t>Knowledge</w:t>
      </w:r>
    </w:p>
    <w:tbl>
      <w:tblPr>
        <w:tblW w:w="0" w:type="auto"/>
        <w:tblLayout w:type="fixed"/>
        <w:tblCellMar>
          <w:left w:w="62" w:type="dxa"/>
          <w:right w:w="62" w:type="dxa"/>
        </w:tblCellMar>
        <w:tblLook w:val="0000"/>
      </w:tblPr>
      <w:tblGrid>
        <w:gridCol w:w="8460"/>
      </w:tblGrid>
      <w:tr w:rsidTr="0010792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REQUIRED SKILLS AND KNOWLEDGE</w:t>
            </w:r>
          </w:p>
        </w:tc>
      </w:tr>
      <w:tr w:rsidTr="0010792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8)</w:t>
            </w:r>
            <w:r w:rsidRPr="0021059B">
              <w:t xml:space="preserve"> This describes the essential skills and knowledge and their level, required for this unit.</w:t>
            </w:r>
          </w:p>
        </w:tc>
      </w:tr>
      <w:tr w:rsidTr="001079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Evidence must show that knowledge has been acquired of safe working practices, mounting and wiring control panel equipment.</w:t>
            </w:r>
          </w:p>
        </w:tc>
      </w:tr>
      <w:tr w:rsidTr="001079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All knowledge and skills detailed in this unit should be contextualised to current industry practices and technologies.</w:t>
            </w:r>
          </w:p>
        </w:tc>
      </w:tr>
      <w:tr w:rsidTr="001079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KS01-EA113</w:t>
            </w:r>
            <w:r w:rsidRPr="0021059B">
              <w:rPr>
                <w:rStyle w:val="SpecialBold"/>
              </w:rPr>
              <w:t>A              Control panel equipment mounting and wiring techniques</w:t>
            </w:r>
          </w:p>
          <w:p w:rsidR="00000000" w:rsidRPr="0021059B" w:rsidP="0021059B">
            <w:pPr>
              <w:pStyle w:val="BodyText"/>
            </w:pPr>
            <w:r w:rsidRPr="0021059B">
              <w:t>Evidence shall show an understanding of control panel equipment mounting and wiring techniques to an extent indicated by the following aspects:</w:t>
            </w:r>
          </w:p>
          <w:p w:rsidR="00000000" w:rsidRPr="0021059B" w:rsidP="0021059B">
            <w:pPr>
              <w:pStyle w:val="BodyText"/>
            </w:pPr>
            <w:r w:rsidRPr="0021059B">
              <w:t>T1</w:t>
            </w:r>
            <w:r w:rsidRPr="0021059B">
              <w:tab/>
              <w:t>Control panel types and mounting techni</w:t>
            </w:r>
            <w:r w:rsidRPr="0021059B">
              <w:t>ques encompassing:</w:t>
            </w:r>
          </w:p>
          <w:p w:rsidR="00000000" w:rsidRPr="0021059B" w:rsidP="0021059B">
            <w:pPr>
              <w:pStyle w:val="ListBullet"/>
            </w:pPr>
            <w:r w:rsidRPr="0021059B">
              <w:t>metallic</w:t>
            </w:r>
          </w:p>
          <w:p w:rsidR="00000000" w:rsidRPr="0021059B" w:rsidP="0021059B">
            <w:pPr>
              <w:pStyle w:val="ListBullet"/>
            </w:pPr>
            <w:r w:rsidRPr="0021059B">
              <w:t>non-metallic (insulated)</w:t>
            </w:r>
          </w:p>
          <w:p w:rsidR="00000000" w:rsidRPr="0021059B" w:rsidP="0021059B">
            <w:pPr>
              <w:pStyle w:val="ListBullet"/>
            </w:pPr>
            <w:r w:rsidRPr="0021059B">
              <w:t>direct mounting on insulated panels</w:t>
            </w:r>
          </w:p>
          <w:p w:rsidR="00000000" w:rsidRPr="0021059B" w:rsidP="0021059B">
            <w:pPr>
              <w:pStyle w:val="ListBullet"/>
            </w:pPr>
            <w:r w:rsidRPr="0021059B">
              <w:t>rear connections</w:t>
            </w:r>
          </w:p>
          <w:p w:rsidR="00000000" w:rsidRPr="0021059B" w:rsidP="0021059B">
            <w:pPr>
              <w:pStyle w:val="ListBullet"/>
            </w:pPr>
            <w:r w:rsidRPr="0021059B">
              <w:t>DIN mounted switchgear</w:t>
            </w:r>
          </w:p>
          <w:p w:rsidR="00000000" w:rsidRPr="0021059B" w:rsidP="0021059B">
            <w:pPr>
              <w:pStyle w:val="ListBullet"/>
            </w:pPr>
            <w:r w:rsidRPr="0021059B">
              <w:t>strapped harness wiring</w:t>
            </w:r>
          </w:p>
          <w:p w:rsidR="00000000" w:rsidRPr="0021059B" w:rsidP="0021059B">
            <w:pPr>
              <w:pStyle w:val="ListBullet"/>
            </w:pPr>
            <w:r w:rsidRPr="0021059B">
              <w:t>use of duct to support and channel wiring</w:t>
            </w:r>
          </w:p>
          <w:p w:rsidR="00000000" w:rsidRPr="0021059B" w:rsidP="0021059B">
            <w:pPr>
              <w:pStyle w:val="ListBullet"/>
            </w:pPr>
            <w:r w:rsidRPr="0021059B">
              <w:t>clearances</w:t>
            </w:r>
          </w:p>
          <w:p w:rsidR="00000000" w:rsidRPr="0021059B" w:rsidP="0021059B">
            <w:pPr>
              <w:pStyle w:val="BodyText"/>
            </w:pPr>
            <w:r w:rsidRPr="0021059B">
              <w:t>T2</w:t>
            </w:r>
            <w:r w:rsidRPr="0021059B">
              <w:tab/>
              <w:t>Labelling and numbering encompassing:</w:t>
            </w:r>
          </w:p>
          <w:p w:rsidR="00000000" w:rsidRPr="0021059B" w:rsidP="0021059B">
            <w:pPr>
              <w:pStyle w:val="ListBullet"/>
            </w:pPr>
            <w:r w:rsidRPr="0021059B">
              <w:t>cable labelling/identification</w:t>
            </w:r>
          </w:p>
          <w:p w:rsidR="00000000" w:rsidRPr="0021059B" w:rsidP="0021059B">
            <w:pPr>
              <w:pStyle w:val="ListBullet"/>
            </w:pPr>
            <w:r w:rsidRPr="0021059B">
              <w:t>component labelling/identification</w:t>
            </w:r>
          </w:p>
          <w:p w:rsidR="00000000" w:rsidRPr="0021059B" w:rsidP="0021059B">
            <w:pPr>
              <w:pStyle w:val="ListBullet"/>
            </w:pPr>
            <w:r w:rsidRPr="0021059B">
              <w:t>use of terminal strips to assist fault finding</w:t>
            </w:r>
          </w:p>
          <w:p w:rsidR="00000000" w:rsidRPr="0021059B" w:rsidP="0021059B">
            <w:pPr>
              <w:pStyle w:val="BodyText"/>
            </w:pPr>
            <w:r w:rsidRPr="0021059B">
              <w:t>T3</w:t>
            </w:r>
            <w:r w:rsidRPr="0021059B">
              <w:tab/>
              <w:t>Component layout encompassing:</w:t>
            </w:r>
          </w:p>
          <w:p w:rsidR="00000000" w:rsidRPr="0021059B" w:rsidP="0021059B">
            <w:pPr>
              <w:pStyle w:val="ListBullet"/>
            </w:pPr>
            <w:r w:rsidRPr="0021059B">
              <w:t>wiring and schematic diagrams</w:t>
            </w:r>
          </w:p>
          <w:p w:rsidR="00000000" w:rsidRPr="0021059B" w:rsidP="0021059B">
            <w:pPr>
              <w:pStyle w:val="ListBullet"/>
            </w:pPr>
            <w:r w:rsidRPr="0021059B">
              <w:t>placement /layout of power circuit devices and components</w:t>
            </w:r>
          </w:p>
          <w:p w:rsidR="00000000" w:rsidRPr="0021059B" w:rsidP="0021059B">
            <w:pPr>
              <w:pStyle w:val="ListBullet"/>
            </w:pPr>
            <w:r w:rsidRPr="0021059B">
              <w:t xml:space="preserve">placement/layout of </w:t>
            </w:r>
            <w:r w:rsidRPr="0021059B">
              <w:t>control circuit devices and components</w:t>
            </w:r>
          </w:p>
          <w:p w:rsidR="00000000" w:rsidRPr="0021059B" w:rsidP="0021059B">
            <w:pPr>
              <w:pStyle w:val="ListBullet"/>
            </w:pPr>
            <w:r w:rsidRPr="0021059B">
              <w:t>Interconnecting plugs and sockets</w:t>
            </w:r>
          </w:p>
          <w:p w:rsidR="00000000" w:rsidRPr="0021059B" w:rsidP="0021059B">
            <w:pPr>
              <w:pStyle w:val="BodyText"/>
            </w:pPr>
            <w:r w:rsidRPr="0021059B">
              <w:t>T4</w:t>
            </w:r>
            <w:r w:rsidRPr="0021059B">
              <w:tab/>
              <w:t>Choice of switchgear and control gear encompassing:</w:t>
            </w:r>
          </w:p>
          <w:p w:rsidR="00000000" w:rsidRPr="0021059B" w:rsidP="0021059B">
            <w:pPr>
              <w:pStyle w:val="ListBullet"/>
            </w:pPr>
            <w:r w:rsidRPr="0021059B">
              <w:t>voltage ratings</w:t>
            </w:r>
          </w:p>
          <w:p w:rsidR="00000000" w:rsidRPr="0021059B" w:rsidP="0021059B">
            <w:pPr>
              <w:pStyle w:val="ListBullet"/>
            </w:pPr>
            <w:r w:rsidRPr="0021059B">
              <w:t>current ratings</w:t>
            </w:r>
          </w:p>
          <w:p w:rsidR="00000000" w:rsidRPr="0021059B" w:rsidP="0021059B">
            <w:pPr>
              <w:pStyle w:val="ListBullet"/>
            </w:pPr>
            <w:r w:rsidRPr="0021059B">
              <w:t>overload and fuse settings</w:t>
            </w:r>
          </w:p>
          <w:p w:rsidR="00000000" w:rsidRPr="0021059B" w:rsidP="0021059B">
            <w:pPr>
              <w:pStyle w:val="ListBullet"/>
            </w:pPr>
            <w:r w:rsidRPr="0021059B">
              <w:t>number of operations</w:t>
            </w:r>
          </w:p>
          <w:p w:rsidR="00000000" w:rsidRPr="0021059B" w:rsidP="0021059B">
            <w:pPr>
              <w:pStyle w:val="BodyText"/>
            </w:pPr>
            <w:r w:rsidRPr="0021059B">
              <w:t>T5</w:t>
            </w:r>
            <w:r w:rsidRPr="0021059B">
              <w:tab/>
              <w:t>Other considerations encompassing:</w:t>
            </w:r>
          </w:p>
          <w:p w:rsidR="00000000" w:rsidRPr="0021059B" w:rsidP="0021059B">
            <w:pPr>
              <w:pStyle w:val="ListBullet"/>
            </w:pPr>
            <w:r w:rsidRPr="0021059B">
              <w:t>earthing of panels</w:t>
            </w:r>
          </w:p>
          <w:p w:rsidR="00000000" w:rsidRPr="0021059B" w:rsidP="0021059B">
            <w:pPr>
              <w:pStyle w:val="ListBullet"/>
            </w:pPr>
            <w:r w:rsidRPr="0021059B">
              <w:t>size of power and control circuit conductors</w:t>
            </w:r>
          </w:p>
          <w:p w:rsidR="00000000" w:rsidRPr="0021059B" w:rsidP="0021059B">
            <w:pPr>
              <w:pStyle w:val="ListBullet"/>
            </w:pPr>
            <w:r w:rsidRPr="0021059B">
              <w:t>effect of high current devices on electromagnetic components or PLCs</w:t>
            </w:r>
          </w:p>
          <w:p w:rsidR="00000000" w:rsidRPr="0021059B" w:rsidP="0021059B">
            <w:pPr>
              <w:pStyle w:val="ListBullet"/>
            </w:pPr>
            <w:r w:rsidRPr="0021059B">
              <w:t>effect on electronic components of other devices</w:t>
            </w:r>
          </w:p>
        </w:tc>
      </w:tr>
    </w:tbl>
    <w:p w:rsidR="00000000" w:rsidRPr="0021059B" w:rsidP="0021059B">
      <w:pPr>
        <w:pStyle w:val="BodyText"/>
      </w:pPr>
    </w:p>
    <w:p w:rsidR="00000000" w:rsidRPr="0021059B" w:rsidP="0021059B">
      <w:pPr>
        <w:pStyle w:val="AllowPageBreak"/>
      </w:pPr>
    </w:p>
    <w:p w:rsidR="00000000" w:rsidRPr="0021059B" w:rsidP="0021059B">
      <w:pPr>
        <w:pStyle w:val="Heading1"/>
      </w:pPr>
      <w:bookmarkStart w:id="10" w:name="O_584122"/>
      <w:bookmarkEnd w:id="10"/>
      <w:r w:rsidRPr="0021059B">
        <w:t>Evidence Guide</w:t>
      </w:r>
    </w:p>
    <w:tbl>
      <w:tblPr>
        <w:tblW w:w="0" w:type="auto"/>
        <w:tblLayout w:type="fixed"/>
        <w:tblCellMar>
          <w:left w:w="62" w:type="dxa"/>
          <w:right w:w="62" w:type="dxa"/>
        </w:tblCellMar>
        <w:tblLook w:val="0000"/>
      </w:tblPr>
      <w:tblGrid>
        <w:gridCol w:w="8460"/>
      </w:tblGrid>
      <w:tr w:rsidTr="0010792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EVIDENCE GUIDE</w:t>
            </w:r>
          </w:p>
        </w:tc>
      </w:tr>
      <w:tr w:rsidTr="001079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9)</w:t>
            </w:r>
            <w:r w:rsidRPr="0021059B">
              <w:t xml:space="preserve"> This provides essential advice for assessment of the unit. It must be read in conjunction with the performance criteria and the range statement of the unit and the Training Package Assessment Guidelines.</w:t>
            </w:r>
          </w:p>
          <w:p w:rsidR="00000000" w:rsidRPr="0021059B" w:rsidP="0021059B">
            <w:pPr>
              <w:pStyle w:val="BodyText"/>
            </w:pPr>
            <w:r w:rsidRPr="0021059B">
              <w:t>The Evidence Guide forms an integral part of this u</w:t>
            </w:r>
            <w:r w:rsidRPr="0021059B">
              <w:t>nit. It must be used in conjunction with all parts of this unit and performed in accordance with the Assessment Guidelines of this Training Package.</w:t>
            </w:r>
          </w:p>
        </w:tc>
      </w:tr>
    </w:tbl>
    <w:p w:rsidR="00000000" w:rsidRPr="0021059B" w:rsidP="0021059B">
      <w:pPr>
        <w:pStyle w:val="BodyText"/>
      </w:pPr>
    </w:p>
    <w:tbl>
      <w:tblPr>
        <w:tblW w:w="0" w:type="auto"/>
        <w:tblLayout w:type="fixed"/>
        <w:tblCellMar>
          <w:left w:w="62" w:type="dxa"/>
          <w:right w:w="62" w:type="dxa"/>
        </w:tblCellMar>
        <w:tblLook w:val="0000"/>
      </w:tblPr>
      <w:tblGrid>
        <w:gridCol w:w="1890"/>
        <w:gridCol w:w="6570"/>
      </w:tblGrid>
      <w:tr w:rsidTr="001079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9.1)</w:t>
            </w:r>
          </w:p>
        </w:tc>
      </w:tr>
      <w:tr w:rsidTr="00107927">
        <w:tblPrEx>
          <w:tblW w:w="0" w:type="auto"/>
          <w:tblLayout w:type="fixed"/>
          <w:tblCellMar>
            <w:left w:w="62" w:type="dxa"/>
            <w:right w:w="62" w:type="dxa"/>
          </w:tblCellMar>
          <w:tblLook w:val="0000"/>
        </w:tblPrEx>
        <w:trPr>
          <w:trHeight w:val="720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Longitudinal competency development approaches to assessment, such as Profi</w:t>
            </w:r>
            <w:r w:rsidRPr="0021059B">
              <w:t>ling, require data to be reliably gathered in a form that can be consistently interpreted over time. This approach is best utilised in Apprenticeship programs and reduces assessment intervention. It is the industry-preferred model for apprenticeships. Howe</w:t>
            </w:r>
            <w:r w:rsidRPr="0021059B">
              <w:t>ver, where summative (or final) assessment is used it is to include the application of the competency in the normal work environment or, at a minimum, the application of the competency in a realistically simulated work environment. It is recognised that, i</w:t>
            </w:r>
            <w:r w:rsidRPr="0021059B">
              <w:t>n some circumstances, assessment in part or full can occur outside the workplace. However, it must be in accord with industry and regulatory policy.</w:t>
            </w:r>
          </w:p>
          <w:p w:rsidR="00000000" w:rsidRPr="0021059B" w:rsidP="0021059B">
            <w:pPr>
              <w:pStyle w:val="BodyText"/>
            </w:pPr>
            <w:r w:rsidRPr="0021059B">
              <w:t xml:space="preserve">Methods chosen for a particular assessment will be influenced by various factors. These include the extent </w:t>
            </w:r>
            <w:r w:rsidRPr="0021059B">
              <w:t>of the assessment, the most effective locations for the assessment activities to take place, access to physical resources, additional safety measures that may be required and the critical nature of the competencies being assessed.</w:t>
            </w:r>
          </w:p>
          <w:p w:rsidR="00000000" w:rsidRPr="0021059B" w:rsidP="0021059B">
            <w:pPr>
              <w:pStyle w:val="BodyText"/>
            </w:pPr>
            <w:r w:rsidRPr="0021059B">
              <w:t>The critical safety natur</w:t>
            </w:r>
            <w:r w:rsidRPr="0021059B">
              <w:t>e of working with electricity, electrical equipment, gas or any other hazardous substance/material carries risk in deeming a person competent. Sources of evidence need to be ‘rich’ in nature to minimise error in judgment.</w:t>
            </w:r>
          </w:p>
          <w:p w:rsidR="00000000" w:rsidRPr="0021059B" w:rsidP="0021059B">
            <w:pPr>
              <w:pStyle w:val="BodyText"/>
            </w:pPr>
            <w:r w:rsidRPr="0021059B">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21059B">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21059B">
              <w:t>of this Training Package.</w:t>
            </w:r>
          </w:p>
        </w:tc>
      </w:tr>
    </w:tbl>
    <w:p w:rsidR="00000000" w:rsidRPr="0021059B" w:rsidP="0021059B">
      <w:pPr>
        <w:pStyle w:val="BodyText"/>
      </w:pPr>
    </w:p>
    <w:tbl>
      <w:tblPr>
        <w:tblW w:w="0" w:type="auto"/>
        <w:tblLayout w:type="fixed"/>
        <w:tblCellMar>
          <w:left w:w="62" w:type="dxa"/>
          <w:right w:w="62" w:type="dxa"/>
        </w:tblCellMar>
        <w:tblLook w:val="0000"/>
      </w:tblPr>
      <w:tblGrid>
        <w:gridCol w:w="1890"/>
        <w:gridCol w:w="1530"/>
        <w:gridCol w:w="5040"/>
      </w:tblGrid>
      <w:tr w:rsidTr="001079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9.2)</w:t>
            </w:r>
          </w:p>
        </w:tc>
      </w:tr>
      <w:tr w:rsidTr="00107927">
        <w:tblPrEx>
          <w:tblW w:w="0" w:type="auto"/>
          <w:tblLayout w:type="fixed"/>
          <w:tblCellMar>
            <w:left w:w="62" w:type="dxa"/>
            <w:right w:w="62" w:type="dxa"/>
          </w:tblCellMar>
          <w:tblLook w:val="0000"/>
        </w:tblPrEx>
        <w:trPr>
          <w:trHeight w:val="712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Before the critical aspects of evidence are considered all prerequisites must be met.</w:t>
            </w:r>
          </w:p>
          <w:p w:rsidR="00000000" w:rsidRPr="0021059B" w:rsidP="0021059B">
            <w:pPr>
              <w:pStyle w:val="BodyText"/>
            </w:pPr>
            <w:r w:rsidRPr="0021059B">
              <w:t>Evidence for competence in this unit must be considered h</w:t>
            </w:r>
            <w:r w:rsidRPr="0021059B">
              <w:t>olistically. Each Element and associated performance criteria shall be demonstrated on at least two occasions in accordance with the ‘Assessment Guidelines – UEE11’.  Evidence shall also comprise:</w:t>
            </w:r>
          </w:p>
          <w:p w:rsidR="00000000" w:rsidRPr="0021059B" w:rsidP="0021059B">
            <w:pPr>
              <w:pStyle w:val="ListBullet"/>
            </w:pPr>
            <w:r w:rsidRPr="0021059B">
              <w:t>A representative body of work performance demonstrated wit</w:t>
            </w:r>
            <w:r w:rsidRPr="0021059B">
              <w:t>hin the timeframes typically expected of the discipline, work function and industrial environment. In particular this shall incorporate evidence that shows a candidate is able to:</w:t>
            </w:r>
          </w:p>
          <w:p w:rsidR="00000000" w:rsidRPr="0021059B" w:rsidP="0021059B">
            <w:pPr>
              <w:pStyle w:val="ListBullet2"/>
            </w:pPr>
            <w:r w:rsidRPr="0021059B">
              <w:t>Implement Occupational Health and Safety workplace procedures and practices including the use of risk control measures as specified in the performance criteria and range statement</w:t>
            </w:r>
          </w:p>
          <w:p w:rsidR="00000000" w:rsidRPr="0021059B" w:rsidP="0021059B">
            <w:pPr>
              <w:pStyle w:val="ListBullet2"/>
            </w:pPr>
            <w:r w:rsidRPr="0021059B">
              <w:t>Apply sustainable energy principles and practices as specified in the perfor</w:t>
            </w:r>
            <w:r w:rsidRPr="0021059B">
              <w:t>mance criteria and range statement</w:t>
            </w:r>
          </w:p>
          <w:p w:rsidR="00000000" w:rsidRPr="0021059B" w:rsidP="0021059B">
            <w:pPr>
              <w:pStyle w:val="ListBullet2"/>
            </w:pPr>
            <w:r w:rsidRPr="0021059B">
              <w:t>Demonstrate an understanding of the essential knowledge and associated skills as described in this unit.  It may be required by some jurisdictions that RTOs provide a percentile graded result for the purpose of regulatory</w:t>
            </w:r>
            <w:r w:rsidRPr="0021059B">
              <w:t xml:space="preserve"> or licensing requirements.   </w:t>
            </w:r>
          </w:p>
          <w:p w:rsidR="00000000" w:rsidRPr="0021059B" w:rsidP="0021059B">
            <w:pPr>
              <w:pStyle w:val="ListBullet2"/>
            </w:pPr>
            <w:r w:rsidRPr="0021059B">
              <w:t>Demonstrate an appropriate level of skills enabling employment</w:t>
            </w:r>
          </w:p>
          <w:p w:rsidR="00000000" w:rsidRPr="0021059B" w:rsidP="0021059B">
            <w:pPr>
              <w:pStyle w:val="ListBullet2"/>
            </w:pPr>
            <w:r w:rsidRPr="0021059B">
              <w:t>Conduct work observing the relevant Anti Discrimination legislation, regulations, polices and workplace procedures</w:t>
            </w:r>
          </w:p>
          <w:p w:rsidR="00000000" w:rsidRPr="0021059B" w:rsidP="0021059B">
            <w:pPr>
              <w:pStyle w:val="ListBullet"/>
            </w:pPr>
            <w:r w:rsidRPr="0021059B">
              <w:t>Demonstrated consistent performance across a r</w:t>
            </w:r>
            <w:r w:rsidRPr="0021059B">
              <w:t>epresentative range of contexts from the prescribed items below:</w:t>
            </w:r>
          </w:p>
          <w:p w:rsidR="00000000" w:rsidP="0021059B">
            <w:pPr>
              <w:pStyle w:val="ListBullet2"/>
              <w:rPr>
                <w:lang w:val="en-NZ"/>
              </w:rPr>
            </w:pPr>
            <w:r w:rsidRPr="0021059B">
              <w:t>Assemble and wire control panels as described in 8) and including:</w:t>
            </w:r>
          </w:p>
        </w:tc>
      </w:tr>
      <w:tr w:rsidTr="00107927">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A</w:t>
            </w:r>
          </w:p>
        </w:tc>
        <w:tc>
          <w:tcPr>
            <w:tcW w:w="50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Following assembly instructions.</w:t>
            </w:r>
          </w:p>
        </w:tc>
      </w:tr>
      <w:tr w:rsidTr="001079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B</w:t>
            </w:r>
          </w:p>
        </w:tc>
        <w:tc>
          <w:tcPr>
            <w:tcW w:w="50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Selecting and placing components correctly.</w:t>
            </w:r>
          </w:p>
        </w:tc>
      </w:tr>
      <w:tr w:rsidTr="001079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C</w:t>
            </w:r>
          </w:p>
        </w:tc>
        <w:tc>
          <w:tcPr>
            <w:tcW w:w="50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Making connection without damaging control panel components.</w:t>
            </w:r>
          </w:p>
        </w:tc>
      </w:tr>
      <w:tr w:rsidTr="001079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D</w:t>
            </w:r>
          </w:p>
        </w:tc>
        <w:tc>
          <w:tcPr>
            <w:tcW w:w="504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Adhering to quality procedures.</w:t>
            </w:r>
          </w:p>
        </w:tc>
      </w:tr>
      <w:tr w:rsidTr="001079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t>E</w:t>
            </w:r>
          </w:p>
        </w:tc>
        <w:tc>
          <w:tcPr>
            <w:tcW w:w="504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Dealing with unplanned events by drawing on essential knowledge and skills to provide appropriate solutions incorporated in the holistic assessment with th</w:t>
            </w:r>
            <w:r w:rsidRPr="0021059B">
              <w:t>e above listed items.</w:t>
            </w:r>
          </w:p>
        </w:tc>
      </w:tr>
    </w:tbl>
    <w:p w:rsidR="00000000" w:rsidRPr="0021059B" w:rsidP="0021059B">
      <w:pPr>
        <w:pStyle w:val="BodyText"/>
      </w:pPr>
    </w:p>
    <w:tbl>
      <w:tblPr>
        <w:tblW w:w="0" w:type="auto"/>
        <w:tblLayout w:type="fixed"/>
        <w:tblCellMar>
          <w:left w:w="62" w:type="dxa"/>
          <w:right w:w="62" w:type="dxa"/>
        </w:tblCellMar>
        <w:tblLook w:val="0000"/>
      </w:tblPr>
      <w:tblGrid>
        <w:gridCol w:w="1890"/>
        <w:gridCol w:w="6570"/>
      </w:tblGrid>
      <w:tr w:rsidTr="0010792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9.3)</w:t>
            </w:r>
          </w:p>
        </w:tc>
      </w:tr>
      <w:tr w:rsidTr="0010792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This unit should be assessed as it relates to normal work practice using procedures, information and resources typical of a workplace. This should include:</w:t>
            </w:r>
          </w:p>
          <w:p w:rsidR="00000000" w:rsidRPr="0021059B" w:rsidP="0021059B">
            <w:pPr>
              <w:pStyle w:val="ListBullet"/>
            </w:pPr>
            <w:r w:rsidRPr="0021059B">
              <w:t>OHS policy and work procedures and instructions.</w:t>
            </w:r>
          </w:p>
          <w:p w:rsidR="00000000" w:rsidRPr="0021059B" w:rsidP="0021059B">
            <w:pPr>
              <w:pStyle w:val="ListBullet"/>
            </w:pPr>
            <w:r w:rsidRPr="0021059B">
              <w:t>Suitable work environment, facilities, equipment and materials to undertake actual work as prescribed in this unit.</w:t>
            </w:r>
          </w:p>
          <w:p w:rsidR="00000000" w:rsidRPr="0021059B" w:rsidP="0021059B">
            <w:pPr>
              <w:pStyle w:val="BodyText"/>
            </w:pPr>
            <w:r w:rsidRPr="0021059B">
              <w:t>These should be used in the formal learning/assessment environment.</w:t>
            </w:r>
          </w:p>
          <w:p w:rsidR="00000000" w:rsidRPr="0021059B" w:rsidP="0021059B">
            <w:pPr>
              <w:pStyle w:val="BodyText"/>
            </w:pPr>
            <w:r w:rsidRPr="0021059B">
              <w:t>Note:</w:t>
            </w:r>
          </w:p>
          <w:p w:rsidR="00000000" w:rsidRPr="0021059B" w:rsidP="0021059B">
            <w:pPr>
              <w:pStyle w:val="BodyText"/>
            </w:pPr>
            <w:r w:rsidRPr="0021059B">
              <w:t xml:space="preserve">Where simulation </w:t>
            </w:r>
            <w:r w:rsidRPr="0021059B">
              <w:t>is considered a suitable strategy for assessment it must ensure that the conditions for assessment are authentic and as far as possible reproduce and replicate the workplace and is consistent with the approved industry simulation policy.</w:t>
            </w:r>
          </w:p>
          <w:p w:rsidR="00000000" w:rsidRPr="0021059B" w:rsidP="0021059B">
            <w:pPr>
              <w:pStyle w:val="BodyText"/>
            </w:pPr>
            <w:r w:rsidRPr="0021059B">
              <w:t>The resources used</w:t>
            </w:r>
            <w:r w:rsidRPr="0021059B">
              <w:t xml:space="preserve"> for assessment should reflect current industry practices in relation to assembling and wiring control panels.</w:t>
            </w:r>
          </w:p>
        </w:tc>
      </w:tr>
    </w:tbl>
    <w:p w:rsidR="00000000" w:rsidRPr="0021059B" w:rsidP="0021059B">
      <w:pPr>
        <w:pStyle w:val="BodyText"/>
      </w:pPr>
    </w:p>
    <w:tbl>
      <w:tblPr>
        <w:tblW w:w="0" w:type="auto"/>
        <w:tblLayout w:type="fixed"/>
        <w:tblCellMar>
          <w:left w:w="62" w:type="dxa"/>
          <w:right w:w="62" w:type="dxa"/>
        </w:tblCellMar>
        <w:tblLook w:val="0000"/>
      </w:tblPr>
      <w:tblGrid>
        <w:gridCol w:w="1890"/>
        <w:gridCol w:w="6570"/>
      </w:tblGrid>
      <w:tr w:rsidTr="001079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9.4)</w:t>
            </w:r>
          </w:p>
        </w:tc>
      </w:tr>
      <w:tr w:rsidTr="001079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This unit shall be assessed by methods given in Volume 1, Part 3 ‘Assessment Guidelines’.</w:t>
            </w:r>
          </w:p>
          <w:p w:rsidR="00000000" w:rsidRPr="0021059B" w:rsidP="0021059B">
            <w:pPr>
              <w:pStyle w:val="BodyText"/>
            </w:pPr>
            <w:r w:rsidRPr="0021059B">
              <w:t xml:space="preserve">Note: </w:t>
            </w:r>
          </w:p>
          <w:p w:rsidR="00000000" w:rsidRPr="0021059B" w:rsidP="0021059B">
            <w:pPr>
              <w:pStyle w:val="BodyText"/>
            </w:pPr>
            <w:r w:rsidRPr="0021059B">
              <w:t>Competent performa</w:t>
            </w:r>
            <w:r w:rsidRPr="0021059B">
              <w:t>nce with inherent safe working practices is expected in the Industry to which this unit applies. This requires assessment in a structured environment which is primarily intended for learning/assessment and incorporates all necessary equipment and facilitie</w:t>
            </w:r>
            <w:r w:rsidRPr="0021059B">
              <w:t>s for learners to develop and demonstrate the essential knowledge and skills described in this unit.</w:t>
            </w:r>
          </w:p>
        </w:tc>
      </w:tr>
    </w:tbl>
    <w:p w:rsidR="00000000" w:rsidRPr="0021059B" w:rsidP="0021059B">
      <w:pPr>
        <w:pStyle w:val="BodyText"/>
      </w:pPr>
    </w:p>
    <w:tbl>
      <w:tblPr>
        <w:tblW w:w="0" w:type="auto"/>
        <w:tblLayout w:type="fixed"/>
        <w:tblCellMar>
          <w:left w:w="62" w:type="dxa"/>
          <w:right w:w="62" w:type="dxa"/>
        </w:tblCellMar>
        <w:tblLook w:val="0000"/>
      </w:tblPr>
      <w:tblGrid>
        <w:gridCol w:w="1890"/>
        <w:gridCol w:w="6570"/>
      </w:tblGrid>
      <w:tr w:rsidTr="001079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9.5)</w:t>
            </w:r>
          </w:p>
        </w:tc>
      </w:tr>
      <w:tr w:rsidTr="001079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There are no concurrent assessment recommendations for this unit.</w:t>
            </w:r>
          </w:p>
        </w:tc>
      </w:tr>
    </w:tbl>
    <w:p w:rsidR="00000000" w:rsidRPr="0021059B" w:rsidP="0021059B">
      <w:pPr>
        <w:pStyle w:val="BodyText"/>
      </w:pPr>
    </w:p>
    <w:p w:rsidR="00000000" w:rsidRPr="0021059B" w:rsidP="0021059B">
      <w:pPr>
        <w:pStyle w:val="AllowPageBreak"/>
      </w:pPr>
    </w:p>
    <w:p w:rsidR="00000000" w:rsidRPr="0021059B" w:rsidP="0021059B">
      <w:pPr>
        <w:pStyle w:val="Heading1"/>
      </w:pPr>
      <w:bookmarkStart w:id="11" w:name="O_584121"/>
      <w:bookmarkEnd w:id="11"/>
      <w:r w:rsidRPr="0021059B">
        <w:t>Range</w:t>
      </w:r>
      <w:r w:rsidRPr="0021059B">
        <w:t xml:space="preserve"> Statement</w:t>
      </w:r>
    </w:p>
    <w:tbl>
      <w:tblPr>
        <w:tblW w:w="0" w:type="auto"/>
        <w:tblLayout w:type="fixed"/>
        <w:tblCellMar>
          <w:left w:w="62" w:type="dxa"/>
          <w:right w:w="62" w:type="dxa"/>
        </w:tblCellMar>
        <w:tblLook w:val="0000"/>
      </w:tblPr>
      <w:tblGrid>
        <w:gridCol w:w="8460"/>
      </w:tblGrid>
      <w:tr w:rsidTr="0010792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RANGE STATEMENT</w:t>
            </w:r>
          </w:p>
        </w:tc>
      </w:tr>
      <w:tr w:rsidTr="001079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10)</w:t>
            </w:r>
            <w:r w:rsidRPr="0021059B">
              <w:t xml:space="preserve"> This relates to the unit as a whole providing the range of contexts and conditions to which the performance criteria apply. It allows for different work environments and situations that will affect performance.</w:t>
            </w:r>
          </w:p>
          <w:p w:rsidR="00000000" w:rsidRPr="0021059B" w:rsidP="0021059B">
            <w:pPr>
              <w:pStyle w:val="BodyText"/>
            </w:pPr>
            <w:r w:rsidRPr="0021059B">
              <w:t>This unit must be demonstrated by assembling at least two different control panels comprising controls for more than two electrical machines, electro-mechanical and/or electronic control and devices such as relays, timers, logic controllers, indicators, sw</w:t>
            </w:r>
            <w:r w:rsidRPr="0021059B">
              <w:t>itches/push buttons and the like.</w:t>
            </w:r>
          </w:p>
          <w:p w:rsidR="00000000" w:rsidRPr="0021059B" w:rsidP="0021059B">
            <w:pPr>
              <w:pStyle w:val="BodyText"/>
            </w:pPr>
            <w:r w:rsidRPr="0021059B">
              <w:t>Generic terms used throughout this Vocational Standard shall be regarded as part of the Range Statement in which competency is demonstrated. The definition of these and other terms that apply are given in Volume 2, Part 2.</w:t>
            </w:r>
            <w:r w:rsidRPr="0021059B">
              <w:t>1.</w:t>
            </w:r>
          </w:p>
        </w:tc>
      </w:tr>
    </w:tbl>
    <w:p w:rsidR="00000000" w:rsidRPr="0021059B" w:rsidP="0021059B">
      <w:pPr>
        <w:pStyle w:val="BodyText"/>
      </w:pPr>
    </w:p>
    <w:p w:rsidR="00000000" w:rsidRPr="0021059B" w:rsidP="0021059B">
      <w:pPr>
        <w:pStyle w:val="AllowPageBreak"/>
      </w:pPr>
    </w:p>
    <w:p w:rsidR="00000000" w:rsidRPr="0021059B" w:rsidP="0021059B">
      <w:pPr>
        <w:pStyle w:val="Heading1"/>
      </w:pPr>
      <w:bookmarkStart w:id="12" w:name="O_584120"/>
      <w:bookmarkEnd w:id="12"/>
      <w:r w:rsidRPr="0021059B">
        <w:t>Unit Sector(s)</w:t>
      </w:r>
    </w:p>
    <w:p w:rsidR="00000000" w:rsidRPr="0021059B" w:rsidP="0021059B">
      <w:pPr>
        <w:pStyle w:val="BodyText"/>
      </w:pPr>
      <w:r w:rsidRPr="0021059B">
        <w:t>Not applicable.</w:t>
      </w:r>
    </w:p>
    <w:p w:rsidR="00000000" w:rsidRPr="0021059B" w:rsidP="0021059B">
      <w:pPr>
        <w:pStyle w:val="AllowPageBreak"/>
      </w:pPr>
    </w:p>
    <w:p w:rsidR="00000000" w:rsidRPr="0021059B" w:rsidP="0021059B">
      <w:pPr>
        <w:pStyle w:val="Heading1"/>
      </w:pPr>
      <w:bookmarkStart w:id="13" w:name="O_584119"/>
      <w:bookmarkEnd w:id="13"/>
      <w:r w:rsidRPr="0021059B">
        <w:t>Competency Field</w:t>
      </w:r>
    </w:p>
    <w:tbl>
      <w:tblPr>
        <w:tblW w:w="0" w:type="auto"/>
        <w:tblLayout w:type="fixed"/>
        <w:tblCellMar>
          <w:left w:w="62" w:type="dxa"/>
          <w:right w:w="62" w:type="dxa"/>
        </w:tblCellMar>
        <w:tblLook w:val="0000"/>
      </w:tblPr>
      <w:tblGrid>
        <w:gridCol w:w="2700"/>
        <w:gridCol w:w="5760"/>
      </w:tblGrid>
      <w:tr w:rsidTr="001079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1059B">
            <w:pPr>
              <w:pStyle w:val="BodyText"/>
              <w:rPr>
                <w:lang w:val="en-NZ"/>
              </w:rPr>
            </w:pPr>
            <w:r w:rsidRPr="0021059B">
              <w:rPr>
                <w:rStyle w:val="SpecialBold"/>
              </w:rPr>
              <w:t xml:space="preserve">11) </w:t>
            </w:r>
          </w:p>
        </w:tc>
      </w:tr>
      <w:tr w:rsidTr="001079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59B" w:rsidP="0021059B">
            <w:pPr>
              <w:pStyle w:val="BodyText"/>
            </w:pPr>
            <w:r w:rsidRPr="0021059B">
              <w:t>Assembly</w:t>
            </w:r>
          </w:p>
        </w:tc>
      </w:tr>
    </w:tbl>
    <w:p w:rsidR="00000000" w:rsidRPr="0021059B" w:rsidP="0021059B">
      <w:pPr>
        <w:pStyle w:val="BodyText"/>
      </w:pPr>
    </w:p>
    <w:p w:rsidR="00000000" w:rsidRPr="0021059B" w:rsidP="0021059B"/>
    <w:sectPr w:rsidSect="002105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9B" w:rsidRPr="00107927" w:rsidP="001079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927" w:rsidP="00210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07927" w:rsidP="002105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07927" w:rsidP="002105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9B" w:rsidRPr="00107927" w:rsidP="001079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927" w:rsidRPr="002D2AF8" w:rsidP="0021059B">
    <w:pPr>
      <w:pStyle w:val="Header"/>
      <w:framePr w:wrap="around"/>
    </w:pPr>
    <w:r>
      <w:fldChar w:fldCharType="begin"/>
    </w:r>
    <w:r>
      <w:instrText xml:space="preserve"> TITLE   \* MERGEFORMAT </w:instrText>
    </w:r>
    <w:r>
      <w:fldChar w:fldCharType="separate"/>
    </w:r>
    <w:r>
      <w:t>UEENEEA113A Mount and wire control panel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07927" w:rsidP="002105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8CD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1CD0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78E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5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59B"/>
    <w:pPr>
      <w:spacing w:before="360" w:after="60"/>
      <w:outlineLvl w:val="0"/>
    </w:pPr>
    <w:rPr>
      <w:sz w:val="32"/>
    </w:rPr>
  </w:style>
  <w:style w:type="paragraph" w:styleId="Heading2">
    <w:name w:val="heading 2"/>
    <w:basedOn w:val="HeadingBase"/>
    <w:next w:val="BodyText"/>
    <w:link w:val="Heading2Char"/>
    <w:qFormat/>
    <w:rsid w:val="0021059B"/>
    <w:pPr>
      <w:keepLines/>
      <w:spacing w:before="240" w:after="120"/>
      <w:outlineLvl w:val="1"/>
    </w:pPr>
    <w:rPr>
      <w:sz w:val="28"/>
      <w:szCs w:val="40"/>
    </w:rPr>
  </w:style>
  <w:style w:type="paragraph" w:styleId="Heading3">
    <w:name w:val="heading 3"/>
    <w:basedOn w:val="HeadingBase"/>
    <w:next w:val="BodyText"/>
    <w:link w:val="Heading3Char"/>
    <w:qFormat/>
    <w:rsid w:val="0021059B"/>
    <w:pPr>
      <w:spacing w:before="180" w:after="120"/>
      <w:outlineLvl w:val="2"/>
    </w:pPr>
    <w:rPr>
      <w:spacing w:val="-10"/>
      <w:kern w:val="32"/>
    </w:rPr>
  </w:style>
  <w:style w:type="paragraph" w:styleId="Heading4">
    <w:name w:val="heading 4"/>
    <w:basedOn w:val="HeadingBase"/>
    <w:next w:val="BodyText"/>
    <w:link w:val="Heading4Char"/>
    <w:qFormat/>
    <w:rsid w:val="0021059B"/>
    <w:pPr>
      <w:spacing w:before="160" w:after="120"/>
      <w:outlineLvl w:val="3"/>
    </w:pPr>
    <w:rPr>
      <w:sz w:val="22"/>
    </w:rPr>
  </w:style>
  <w:style w:type="paragraph" w:styleId="Heading5">
    <w:name w:val="heading 5"/>
    <w:basedOn w:val="HeadingBase"/>
    <w:next w:val="Normal"/>
    <w:link w:val="Heading5Char"/>
    <w:qFormat/>
    <w:rsid w:val="0021059B"/>
    <w:pPr>
      <w:spacing w:before="80"/>
      <w:outlineLvl w:val="4"/>
    </w:pPr>
    <w:rPr>
      <w:color w:val="918585"/>
      <w:sz w:val="20"/>
    </w:rPr>
  </w:style>
  <w:style w:type="paragraph" w:styleId="Heading6">
    <w:name w:val="heading 6"/>
    <w:basedOn w:val="HeadingBase"/>
    <w:next w:val="Normal"/>
    <w:link w:val="Heading6Char"/>
    <w:qFormat/>
    <w:rsid w:val="0021059B"/>
    <w:pPr>
      <w:spacing w:before="60"/>
      <w:outlineLvl w:val="5"/>
    </w:pPr>
    <w:rPr>
      <w:color w:val="918585"/>
      <w:sz w:val="20"/>
    </w:rPr>
  </w:style>
  <w:style w:type="paragraph" w:styleId="Heading7">
    <w:name w:val="heading 7"/>
    <w:basedOn w:val="Normal"/>
    <w:next w:val="Normal"/>
    <w:link w:val="Heading7Char"/>
    <w:qFormat/>
    <w:rsid w:val="0021059B"/>
    <w:pPr>
      <w:ind w:left="720"/>
      <w:outlineLvl w:val="6"/>
    </w:pPr>
    <w:rPr>
      <w:i/>
    </w:rPr>
  </w:style>
  <w:style w:type="paragraph" w:styleId="Heading8">
    <w:name w:val="heading 8"/>
    <w:basedOn w:val="Normal"/>
    <w:next w:val="Normal"/>
    <w:link w:val="Heading8Char"/>
    <w:qFormat/>
    <w:rsid w:val="0021059B"/>
    <w:pPr>
      <w:ind w:left="720"/>
      <w:outlineLvl w:val="7"/>
    </w:pPr>
    <w:rPr>
      <w:i/>
    </w:rPr>
  </w:style>
  <w:style w:type="paragraph" w:styleId="Heading9">
    <w:name w:val="heading 9"/>
    <w:basedOn w:val="Normal"/>
    <w:next w:val="Normal"/>
    <w:link w:val="Heading9Char"/>
    <w:qFormat/>
    <w:rsid w:val="0021059B"/>
    <w:pPr>
      <w:ind w:left="720"/>
      <w:outlineLvl w:val="8"/>
    </w:pPr>
    <w:rPr>
      <w:i/>
    </w:rPr>
  </w:style>
  <w:style w:type="character" w:default="1" w:styleId="DefaultParagraphFont">
    <w:name w:val="Default Paragraph Font"/>
    <w:uiPriority w:val="1"/>
    <w:unhideWhenUsed/>
    <w:rsid w:val="00210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59B"/>
  </w:style>
  <w:style w:type="character" w:customStyle="1" w:styleId="Heading1Char">
    <w:name w:val="Heading 1 Char"/>
    <w:basedOn w:val="DefaultParagraphFont"/>
    <w:link w:val="Heading1"/>
    <w:rsid w:val="0021059B"/>
    <w:rPr>
      <w:rFonts w:ascii="Times New Roman" w:eastAsia="Times New Roman" w:hAnsi="Times New Roman" w:cs="Times New Roman"/>
      <w:b/>
      <w:sz w:val="32"/>
      <w:szCs w:val="20"/>
      <w:lang w:eastAsia="en-US"/>
    </w:rPr>
  </w:style>
  <w:style w:type="paragraph" w:styleId="BodyText">
    <w:name w:val="Body Text"/>
    <w:basedOn w:val="Normal"/>
    <w:link w:val="BodyTextChar"/>
    <w:rsid w:val="002105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59B"/>
    <w:rPr>
      <w:rFonts w:ascii="Times New Roman" w:eastAsia="Times New Roman" w:hAnsi="Times New Roman" w:cs="Times New Roman"/>
      <w:sz w:val="24"/>
      <w:lang w:eastAsia="en-US"/>
    </w:rPr>
  </w:style>
  <w:style w:type="paragraph" w:styleId="ListBullet">
    <w:name w:val="List Bullet"/>
    <w:basedOn w:val="List"/>
    <w:rsid w:val="0021059B"/>
    <w:pPr>
      <w:numPr>
        <w:numId w:val="13"/>
      </w:numPr>
      <w:tabs>
        <w:tab w:val="clear" w:pos="340"/>
      </w:tabs>
      <w:spacing w:before="40" w:after="40"/>
    </w:pPr>
  </w:style>
  <w:style w:type="character" w:customStyle="1" w:styleId="SpecialBold">
    <w:name w:val="Special Bold"/>
    <w:basedOn w:val="DefaultParagraphFont"/>
    <w:rsid w:val="0021059B"/>
    <w:rPr>
      <w:b/>
      <w:spacing w:val="0"/>
    </w:rPr>
  </w:style>
  <w:style w:type="paragraph" w:styleId="ListBullet2">
    <w:name w:val="List Bullet 2"/>
    <w:basedOn w:val="List2"/>
    <w:rsid w:val="0021059B"/>
    <w:pPr>
      <w:numPr>
        <w:numId w:val="14"/>
      </w:numPr>
      <w:tabs>
        <w:tab w:val="clear" w:pos="680"/>
      </w:tabs>
    </w:pPr>
  </w:style>
  <w:style w:type="paragraph" w:customStyle="1" w:styleId="SuperHeading">
    <w:name w:val="SuperHeading"/>
    <w:basedOn w:val="Normal"/>
    <w:rsid w:val="0021059B"/>
    <w:pPr>
      <w:spacing w:before="240" w:after="120"/>
      <w:outlineLvl w:val="0"/>
    </w:pPr>
    <w:rPr>
      <w:rFonts w:ascii="Times New Roman" w:hAnsi="Times New Roman"/>
      <w:b/>
      <w:sz w:val="32"/>
    </w:rPr>
  </w:style>
  <w:style w:type="paragraph" w:customStyle="1" w:styleId="AllowPageBreak">
    <w:name w:val="AllowPageBreak"/>
    <w:rsid w:val="002105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5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5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59B"/>
    <w:rPr>
      <w:rFonts w:ascii="Courier New" w:eastAsia="Times New Roman" w:hAnsi="Courier New" w:cs="Times New Roman"/>
      <w:i/>
      <w:szCs w:val="20"/>
      <w:lang w:eastAsia="en-US"/>
    </w:rPr>
  </w:style>
  <w:style w:type="paragraph" w:customStyle="1" w:styleId="HeadingBase">
    <w:name w:val="Heading Base"/>
    <w:rsid w:val="00210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59B"/>
    <w:pPr>
      <w:tabs>
        <w:tab w:val="right" w:leader="dot" w:pos="9072"/>
      </w:tabs>
      <w:ind w:left="567"/>
    </w:pPr>
    <w:rPr>
      <w:szCs w:val="22"/>
    </w:rPr>
  </w:style>
  <w:style w:type="paragraph" w:customStyle="1" w:styleId="TOCBase">
    <w:name w:val="TOC Base"/>
    <w:rsid w:val="00210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59B"/>
    <w:pPr>
      <w:tabs>
        <w:tab w:val="right" w:leader="dot" w:pos="9072"/>
      </w:tabs>
      <w:spacing w:before="40" w:after="40"/>
      <w:ind w:left="284"/>
    </w:pPr>
    <w:rPr>
      <w:rFonts w:ascii="Times New Roman" w:hAnsi="Times New Roman"/>
    </w:rPr>
  </w:style>
  <w:style w:type="paragraph" w:styleId="TOC1">
    <w:name w:val="toc 1"/>
    <w:basedOn w:val="TOCBase"/>
    <w:next w:val="Normal"/>
    <w:rsid w:val="002105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59B"/>
    <w:rPr>
      <w:rFonts w:ascii="Times New Roman" w:eastAsia="Times New Roman" w:hAnsi="Times New Roman" w:cs="Times New Roman"/>
      <w:sz w:val="16"/>
      <w:lang w:eastAsia="en-US"/>
    </w:rPr>
  </w:style>
  <w:style w:type="paragraph" w:styleId="Title">
    <w:name w:val="Title"/>
    <w:basedOn w:val="HeadingBase"/>
    <w:link w:val="TitleChar"/>
    <w:qFormat/>
    <w:rsid w:val="0021059B"/>
    <w:pPr>
      <w:spacing w:before="5040"/>
      <w:jc w:val="center"/>
    </w:pPr>
    <w:rPr>
      <w:sz w:val="48"/>
      <w:szCs w:val="72"/>
      <w:lang w:val="en-US"/>
    </w:rPr>
  </w:style>
  <w:style w:type="character" w:customStyle="1" w:styleId="TitleChar">
    <w:name w:val="Title Char"/>
    <w:basedOn w:val="DefaultParagraphFont"/>
    <w:link w:val="Title"/>
    <w:rsid w:val="00210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59B"/>
    <w:pPr>
      <w:tabs>
        <w:tab w:val="left" w:pos="3600"/>
        <w:tab w:val="left" w:pos="3958"/>
      </w:tabs>
    </w:pPr>
  </w:style>
  <w:style w:type="paragraph" w:styleId="List">
    <w:name w:val="List"/>
    <w:basedOn w:val="BodyText"/>
    <w:next w:val="BodyText"/>
    <w:rsid w:val="0021059B"/>
    <w:pPr>
      <w:tabs>
        <w:tab w:val="left" w:pos="340"/>
      </w:tabs>
      <w:spacing w:before="60" w:after="60"/>
      <w:ind w:left="340" w:hanging="340"/>
    </w:pPr>
  </w:style>
  <w:style w:type="paragraph" w:customStyle="1" w:styleId="Note">
    <w:name w:val="Note"/>
    <w:basedOn w:val="BodyText"/>
    <w:rsid w:val="00210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59B"/>
    <w:pPr>
      <w:framePr w:wrap="auto" w:hAnchor="text" w:y="6049"/>
    </w:pPr>
    <w:rPr>
      <w:color w:val="000000"/>
      <w:sz w:val="40"/>
    </w:rPr>
  </w:style>
  <w:style w:type="paragraph" w:customStyle="1" w:styleId="TOCTitle">
    <w:name w:val="TOCTitle"/>
    <w:basedOn w:val="Heading1"/>
    <w:rsid w:val="0021059B"/>
    <w:pPr>
      <w:spacing w:after="240"/>
      <w:jc w:val="center"/>
      <w:outlineLvl w:val="9"/>
    </w:pPr>
    <w:rPr>
      <w:caps/>
    </w:rPr>
  </w:style>
  <w:style w:type="paragraph" w:customStyle="1" w:styleId="Version">
    <w:name w:val="Version"/>
    <w:rsid w:val="002105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59B"/>
    <w:pPr>
      <w:keepNext w:val="0"/>
      <w:tabs>
        <w:tab w:val="right" w:pos="4176"/>
      </w:tabs>
      <w:ind w:left="198" w:hanging="198"/>
    </w:pPr>
    <w:rPr>
      <w:rFonts w:ascii="Garamond" w:hAnsi="Garamond"/>
    </w:rPr>
  </w:style>
  <w:style w:type="paragraph" w:styleId="IndexHeading">
    <w:name w:val="index heading"/>
    <w:basedOn w:val="Normal"/>
    <w:next w:val="Index1"/>
    <w:semiHidden/>
    <w:rsid w:val="0021059B"/>
    <w:pPr>
      <w:spacing w:before="120" w:after="120"/>
    </w:pPr>
    <w:rPr>
      <w:rFonts w:ascii="Arial" w:hAnsi="Arial"/>
      <w:b/>
      <w:color w:val="918585"/>
      <w:sz w:val="24"/>
    </w:rPr>
  </w:style>
  <w:style w:type="paragraph" w:styleId="Header">
    <w:name w:val="header"/>
    <w:basedOn w:val="Normal"/>
    <w:link w:val="HeaderChar"/>
    <w:rsid w:val="00210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59B"/>
    <w:rPr>
      <w:rFonts w:ascii="Times New Roman" w:eastAsia="Times New Roman" w:hAnsi="Times New Roman" w:cs="Times New Roman"/>
      <w:sz w:val="16"/>
      <w:szCs w:val="20"/>
      <w:lang w:val="en-GB" w:eastAsia="en-US"/>
    </w:rPr>
  </w:style>
  <w:style w:type="paragraph" w:customStyle="1" w:styleId="Chapter">
    <w:name w:val="Chapter"/>
    <w:basedOn w:val="Normal"/>
    <w:rsid w:val="0021059B"/>
    <w:pPr>
      <w:spacing w:before="240"/>
    </w:pPr>
    <w:rPr>
      <w:rFonts w:ascii="Times New Roman" w:hAnsi="Times New Roman"/>
      <w:smallCaps/>
      <w:spacing w:val="80"/>
      <w:sz w:val="28"/>
    </w:rPr>
  </w:style>
  <w:style w:type="paragraph" w:customStyle="1" w:styleId="InChapter">
    <w:name w:val="InChapter"/>
    <w:basedOn w:val="Heading3"/>
    <w:rsid w:val="0021059B"/>
    <w:pPr>
      <w:spacing w:after="240"/>
      <w:outlineLvl w:val="9"/>
    </w:pPr>
    <w:rPr>
      <w:noProof/>
    </w:rPr>
  </w:style>
  <w:style w:type="paragraph" w:styleId="Index2">
    <w:name w:val="index 2"/>
    <w:basedOn w:val="Normal"/>
    <w:next w:val="Normal"/>
    <w:semiHidden/>
    <w:rsid w:val="0021059B"/>
    <w:pPr>
      <w:tabs>
        <w:tab w:val="right" w:pos="4176"/>
      </w:tabs>
      <w:ind w:left="568" w:hanging="284"/>
    </w:pPr>
    <w:rPr>
      <w:rFonts w:ascii="Garamond" w:hAnsi="Garamond"/>
    </w:rPr>
  </w:style>
  <w:style w:type="paragraph" w:customStyle="1" w:styleId="Byline">
    <w:name w:val="Byline"/>
    <w:rsid w:val="00210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59B"/>
    <w:pPr>
      <w:tabs>
        <w:tab w:val="clear" w:pos="3600"/>
        <w:tab w:val="clear" w:pos="3958"/>
      </w:tabs>
      <w:jc w:val="right"/>
    </w:pPr>
  </w:style>
  <w:style w:type="character" w:styleId="Emphasis">
    <w:name w:val="Emphasis"/>
    <w:basedOn w:val="DefaultParagraphFont"/>
    <w:qFormat/>
    <w:rsid w:val="0021059B"/>
    <w:rPr>
      <w:i/>
    </w:rPr>
  </w:style>
  <w:style w:type="paragraph" w:styleId="Caption">
    <w:name w:val="caption"/>
    <w:basedOn w:val="BodyText"/>
    <w:next w:val="Normal"/>
    <w:qFormat/>
    <w:rsid w:val="0021059B"/>
    <w:pPr>
      <w:framePr w:w="2268" w:hSpace="181" w:vSpace="181" w:wrap="around" w:vAnchor="text" w:hAnchor="page" w:x="1135" w:y="285" w:anchorLock="1"/>
    </w:pPr>
    <w:rPr>
      <w:i/>
    </w:rPr>
  </w:style>
  <w:style w:type="paragraph" w:customStyle="1" w:styleId="MiniTOCTitle">
    <w:name w:val="MiniTOCTitle"/>
    <w:basedOn w:val="Heading4"/>
    <w:rsid w:val="0021059B"/>
    <w:pPr>
      <w:spacing w:before="240"/>
      <w:outlineLvl w:val="9"/>
    </w:pPr>
    <w:rPr>
      <w:noProof/>
      <w:sz w:val="24"/>
    </w:rPr>
  </w:style>
  <w:style w:type="paragraph" w:customStyle="1" w:styleId="MiniTOCItem">
    <w:name w:val="MiniTOCItem"/>
    <w:basedOn w:val="ListBullet"/>
    <w:rsid w:val="0021059B"/>
    <w:pPr>
      <w:numPr>
        <w:numId w:val="0"/>
      </w:numPr>
      <w:tabs>
        <w:tab w:val="right" w:leader="dot" w:pos="6521"/>
      </w:tabs>
      <w:spacing w:before="0" w:after="0"/>
    </w:pPr>
  </w:style>
  <w:style w:type="paragraph" w:customStyle="1" w:styleId="TOFTitle">
    <w:name w:val="TOFTitle"/>
    <w:basedOn w:val="TOCTitle"/>
    <w:rsid w:val="0021059B"/>
  </w:style>
  <w:style w:type="paragraph" w:styleId="TableofFigures">
    <w:name w:val="table of figures"/>
    <w:basedOn w:val="Normal"/>
    <w:next w:val="Normal"/>
    <w:semiHidden/>
    <w:rsid w:val="0021059B"/>
    <w:pPr>
      <w:tabs>
        <w:tab w:val="right" w:leader="dot" w:pos="9072"/>
      </w:tabs>
      <w:ind w:left="970" w:hanging="403"/>
    </w:pPr>
    <w:rPr>
      <w:rFonts w:ascii="Times New Roman" w:hAnsi="Times New Roman"/>
      <w:b/>
    </w:rPr>
  </w:style>
  <w:style w:type="paragraph" w:styleId="ListNumber">
    <w:name w:val="List Number"/>
    <w:basedOn w:val="List"/>
    <w:rsid w:val="0021059B"/>
    <w:pPr>
      <w:numPr>
        <w:numId w:val="11"/>
      </w:numPr>
    </w:pPr>
  </w:style>
  <w:style w:type="character" w:customStyle="1" w:styleId="WingdingSymbols">
    <w:name w:val="Wingding Symbols"/>
    <w:rsid w:val="0021059B"/>
    <w:rPr>
      <w:rFonts w:ascii="Wingdings" w:hAnsi="Wingdings"/>
    </w:rPr>
  </w:style>
  <w:style w:type="paragraph" w:customStyle="1" w:styleId="TableHeading">
    <w:name w:val="Table Heading"/>
    <w:basedOn w:val="HeadingBase"/>
    <w:rsid w:val="0021059B"/>
    <w:pPr>
      <w:keepLines/>
      <w:pBdr>
        <w:bottom w:val="single" w:sz="6" w:space="1" w:color="918585"/>
      </w:pBdr>
      <w:spacing w:before="240"/>
    </w:pPr>
  </w:style>
  <w:style w:type="character" w:customStyle="1" w:styleId="HotSpot">
    <w:name w:val="HotSpot"/>
    <w:rsid w:val="0021059B"/>
    <w:rPr>
      <w:color w:val="0033CC"/>
      <w:u w:val="none"/>
    </w:rPr>
  </w:style>
  <w:style w:type="paragraph" w:customStyle="1" w:styleId="BodyTextRight">
    <w:name w:val="Body Text Right"/>
    <w:basedOn w:val="BodyText"/>
    <w:rsid w:val="0021059B"/>
    <w:pPr>
      <w:spacing w:before="0" w:after="0"/>
      <w:jc w:val="right"/>
    </w:pPr>
  </w:style>
  <w:style w:type="paragraph" w:styleId="Index3">
    <w:name w:val="index 3"/>
    <w:basedOn w:val="ListNumber2"/>
    <w:next w:val="Normal"/>
    <w:semiHidden/>
    <w:rsid w:val="0021059B"/>
    <w:pPr>
      <w:numPr>
        <w:numId w:val="0"/>
      </w:numPr>
      <w:tabs>
        <w:tab w:val="right" w:leader="dot" w:pos="4176"/>
      </w:tabs>
    </w:pPr>
  </w:style>
  <w:style w:type="paragraph" w:styleId="ListNumber2">
    <w:name w:val="List Number 2"/>
    <w:basedOn w:val="List2"/>
    <w:rsid w:val="0021059B"/>
    <w:pPr>
      <w:numPr>
        <w:numId w:val="10"/>
      </w:numPr>
      <w:tabs>
        <w:tab w:val="clear" w:pos="1060"/>
      </w:tabs>
    </w:pPr>
  </w:style>
  <w:style w:type="paragraph" w:customStyle="1" w:styleId="MarginNote">
    <w:name w:val="Margin Note"/>
    <w:basedOn w:val="BodyText"/>
    <w:rsid w:val="00210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5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59B"/>
    <w:rPr>
      <w:sz w:val="32"/>
    </w:rPr>
  </w:style>
  <w:style w:type="paragraph" w:customStyle="1" w:styleId="HeadingProcedure">
    <w:name w:val="Heading Procedure"/>
    <w:basedOn w:val="HeadingBase"/>
    <w:next w:val="Normal"/>
    <w:rsid w:val="0021059B"/>
    <w:pPr>
      <w:tabs>
        <w:tab w:val="left" w:pos="0"/>
      </w:tabs>
      <w:spacing w:before="120" w:after="60"/>
    </w:pPr>
    <w:rPr>
      <w:i/>
      <w:color w:val="918585"/>
      <w:sz w:val="22"/>
    </w:rPr>
  </w:style>
  <w:style w:type="paragraph" w:customStyle="1" w:styleId="TableBodyText">
    <w:name w:val="Table Body Text"/>
    <w:basedOn w:val="BodyText"/>
    <w:rsid w:val="0021059B"/>
    <w:pPr>
      <w:spacing w:before="60" w:after="60"/>
    </w:pPr>
  </w:style>
  <w:style w:type="paragraph" w:styleId="ListContinue">
    <w:name w:val="List Continue"/>
    <w:basedOn w:val="List"/>
    <w:rsid w:val="0021059B"/>
    <w:pPr>
      <w:ind w:firstLine="0"/>
    </w:pPr>
  </w:style>
  <w:style w:type="paragraph" w:customStyle="1" w:styleId="ListNote">
    <w:name w:val="List Note"/>
    <w:basedOn w:val="List"/>
    <w:rsid w:val="0021059B"/>
    <w:pPr>
      <w:pBdr>
        <w:top w:val="single" w:sz="6" w:space="2" w:color="918585"/>
        <w:bottom w:val="single" w:sz="6" w:space="2" w:color="918585"/>
      </w:pBdr>
      <w:tabs>
        <w:tab w:val="left" w:pos="1021"/>
      </w:tabs>
      <w:ind w:firstLine="0"/>
    </w:pPr>
  </w:style>
  <w:style w:type="paragraph" w:customStyle="1" w:styleId="Warning">
    <w:name w:val="Warning"/>
    <w:basedOn w:val="BodyText"/>
    <w:rsid w:val="0021059B"/>
    <w:pPr>
      <w:shd w:val="clear" w:color="auto" w:fill="D9D9D9"/>
      <w:tabs>
        <w:tab w:val="left" w:pos="992"/>
      </w:tabs>
      <w:ind w:left="119" w:right="119"/>
    </w:pPr>
    <w:rPr>
      <w:sz w:val="20"/>
    </w:rPr>
  </w:style>
  <w:style w:type="paragraph" w:customStyle="1" w:styleId="MarginIcons">
    <w:name w:val="Margin Icons"/>
    <w:basedOn w:val="BodyText"/>
    <w:rsid w:val="00210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59B"/>
    <w:rPr>
      <w:rFonts w:ascii="Courier New" w:hAnsi="Courier New"/>
    </w:rPr>
  </w:style>
  <w:style w:type="paragraph" w:customStyle="1" w:styleId="NoteBullet">
    <w:name w:val="Note Bullet"/>
    <w:basedOn w:val="Note"/>
    <w:rsid w:val="0021059B"/>
    <w:pPr>
      <w:tabs>
        <w:tab w:val="clear" w:pos="680"/>
      </w:tabs>
      <w:spacing w:before="60" w:after="60"/>
    </w:pPr>
  </w:style>
  <w:style w:type="paragraph" w:customStyle="1" w:styleId="SubHeading2">
    <w:name w:val="SubHeading2"/>
    <w:basedOn w:val="HeadingBase"/>
    <w:rsid w:val="0021059B"/>
    <w:pPr>
      <w:spacing w:before="240" w:after="60"/>
    </w:pPr>
    <w:rPr>
      <w:sz w:val="20"/>
    </w:rPr>
  </w:style>
  <w:style w:type="paragraph" w:customStyle="1" w:styleId="SubHeading1">
    <w:name w:val="SubHeading1"/>
    <w:basedOn w:val="HeadingBase"/>
    <w:rsid w:val="0021059B"/>
    <w:pPr>
      <w:spacing w:before="240" w:after="60"/>
    </w:pPr>
    <w:rPr>
      <w:color w:val="918585"/>
      <w:sz w:val="22"/>
    </w:rPr>
  </w:style>
  <w:style w:type="paragraph" w:customStyle="1" w:styleId="SideHeading">
    <w:name w:val="Side Heading"/>
    <w:basedOn w:val="HeadingBase"/>
    <w:rsid w:val="00210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59B"/>
    <w:pPr>
      <w:numPr>
        <w:numId w:val="12"/>
      </w:numPr>
    </w:pPr>
  </w:style>
  <w:style w:type="paragraph" w:styleId="PlainText">
    <w:name w:val="Plain Text"/>
    <w:basedOn w:val="Normal"/>
    <w:link w:val="PlainTextChar"/>
    <w:rsid w:val="0021059B"/>
    <w:rPr>
      <w:sz w:val="20"/>
    </w:rPr>
  </w:style>
  <w:style w:type="character" w:customStyle="1" w:styleId="PlainTextChar">
    <w:name w:val="Plain Text Char"/>
    <w:basedOn w:val="DefaultParagraphFont"/>
    <w:link w:val="PlainText"/>
    <w:rsid w:val="0021059B"/>
    <w:rPr>
      <w:rFonts w:ascii="Courier New" w:eastAsia="Times New Roman" w:hAnsi="Courier New" w:cs="Times New Roman"/>
      <w:sz w:val="20"/>
      <w:szCs w:val="20"/>
      <w:lang w:eastAsia="en-US"/>
    </w:rPr>
  </w:style>
  <w:style w:type="character" w:customStyle="1" w:styleId="MenuOption">
    <w:name w:val="Menu Option"/>
    <w:basedOn w:val="DefaultParagraphFont"/>
    <w:rsid w:val="0021059B"/>
    <w:rPr>
      <w:b/>
      <w:smallCaps/>
    </w:rPr>
  </w:style>
  <w:style w:type="paragraph" w:customStyle="1" w:styleId="TableListNumber">
    <w:name w:val="Table List Number"/>
    <w:basedOn w:val="ListNumber"/>
    <w:rsid w:val="0021059B"/>
    <w:pPr>
      <w:numPr>
        <w:numId w:val="0"/>
      </w:numPr>
    </w:pPr>
  </w:style>
  <w:style w:type="paragraph" w:styleId="TOC4">
    <w:name w:val="toc 4"/>
    <w:basedOn w:val="TOCBase"/>
    <w:next w:val="Normal"/>
    <w:semiHidden/>
    <w:rsid w:val="0021059B"/>
    <w:pPr>
      <w:tabs>
        <w:tab w:val="right" w:leader="dot" w:pos="9071"/>
      </w:tabs>
      <w:ind w:left="1701"/>
    </w:pPr>
  </w:style>
  <w:style w:type="paragraph" w:customStyle="1" w:styleId="ListAlpha">
    <w:name w:val="List Alpha"/>
    <w:basedOn w:val="List"/>
    <w:rsid w:val="0021059B"/>
    <w:pPr>
      <w:numPr>
        <w:numId w:val="9"/>
      </w:numPr>
    </w:pPr>
  </w:style>
  <w:style w:type="paragraph" w:customStyle="1" w:styleId="ListAlpha2">
    <w:name w:val="List Alpha 2"/>
    <w:basedOn w:val="List2"/>
    <w:rsid w:val="0021059B"/>
    <w:pPr>
      <w:numPr>
        <w:numId w:val="8"/>
      </w:numPr>
    </w:pPr>
  </w:style>
  <w:style w:type="paragraph" w:styleId="List2">
    <w:name w:val="List 2"/>
    <w:basedOn w:val="BodyText"/>
    <w:rsid w:val="0021059B"/>
    <w:pPr>
      <w:tabs>
        <w:tab w:val="left" w:pos="680"/>
      </w:tabs>
      <w:spacing w:before="60" w:after="60"/>
      <w:ind w:left="680" w:hanging="340"/>
    </w:pPr>
  </w:style>
  <w:style w:type="paragraph" w:styleId="List3">
    <w:name w:val="List 3"/>
    <w:basedOn w:val="BodyText"/>
    <w:rsid w:val="0021059B"/>
    <w:pPr>
      <w:tabs>
        <w:tab w:val="left" w:pos="1021"/>
      </w:tabs>
      <w:spacing w:before="60" w:after="60"/>
      <w:ind w:left="1020" w:hanging="340"/>
    </w:pPr>
  </w:style>
  <w:style w:type="paragraph" w:styleId="List4">
    <w:name w:val="List 4"/>
    <w:basedOn w:val="BodyText"/>
    <w:rsid w:val="0021059B"/>
    <w:pPr>
      <w:tabs>
        <w:tab w:val="left" w:pos="1361"/>
      </w:tabs>
      <w:spacing w:before="60" w:after="60"/>
      <w:ind w:left="1361" w:hanging="340"/>
    </w:pPr>
  </w:style>
  <w:style w:type="paragraph" w:styleId="List5">
    <w:name w:val="List 5"/>
    <w:basedOn w:val="BodyText"/>
    <w:rsid w:val="0021059B"/>
    <w:pPr>
      <w:tabs>
        <w:tab w:val="left" w:pos="1701"/>
      </w:tabs>
      <w:spacing w:before="60" w:after="60"/>
      <w:ind w:left="1701" w:hanging="340"/>
    </w:pPr>
  </w:style>
  <w:style w:type="paragraph" w:styleId="ListBullet3">
    <w:name w:val="List Bullet 3"/>
    <w:basedOn w:val="List3"/>
    <w:rsid w:val="0021059B"/>
    <w:pPr>
      <w:numPr>
        <w:numId w:val="15"/>
      </w:numPr>
      <w:tabs>
        <w:tab w:val="clear" w:pos="1021"/>
      </w:tabs>
      <w:ind w:left="1037" w:hanging="357"/>
    </w:pPr>
  </w:style>
  <w:style w:type="paragraph" w:styleId="ListBullet4">
    <w:name w:val="List Bullet 4"/>
    <w:basedOn w:val="List4"/>
    <w:rsid w:val="0021059B"/>
    <w:pPr>
      <w:numPr>
        <w:numId w:val="3"/>
      </w:numPr>
    </w:pPr>
  </w:style>
  <w:style w:type="paragraph" w:styleId="ListBullet5">
    <w:name w:val="List Bullet 5"/>
    <w:basedOn w:val="List5"/>
    <w:rsid w:val="0021059B"/>
    <w:pPr>
      <w:numPr>
        <w:numId w:val="4"/>
      </w:numPr>
    </w:pPr>
  </w:style>
  <w:style w:type="paragraph" w:styleId="ListContinue2">
    <w:name w:val="List Continue 2"/>
    <w:basedOn w:val="List2"/>
    <w:rsid w:val="0021059B"/>
    <w:pPr>
      <w:ind w:firstLine="0"/>
    </w:pPr>
  </w:style>
  <w:style w:type="paragraph" w:styleId="ListContinue3">
    <w:name w:val="List Continue 3"/>
    <w:basedOn w:val="List3"/>
    <w:rsid w:val="0021059B"/>
    <w:pPr>
      <w:ind w:left="1021" w:firstLine="0"/>
    </w:pPr>
  </w:style>
  <w:style w:type="paragraph" w:styleId="ListContinue4">
    <w:name w:val="List Continue 4"/>
    <w:basedOn w:val="List4"/>
    <w:rsid w:val="0021059B"/>
    <w:pPr>
      <w:ind w:firstLine="0"/>
    </w:pPr>
  </w:style>
  <w:style w:type="paragraph" w:styleId="ListContinue5">
    <w:name w:val="List Continue 5"/>
    <w:basedOn w:val="List5"/>
    <w:rsid w:val="0021059B"/>
    <w:pPr>
      <w:ind w:firstLine="0"/>
    </w:pPr>
  </w:style>
  <w:style w:type="paragraph" w:styleId="ListNumber3">
    <w:name w:val="List Number 3"/>
    <w:basedOn w:val="List3"/>
    <w:rsid w:val="0021059B"/>
    <w:pPr>
      <w:numPr>
        <w:numId w:val="5"/>
      </w:numPr>
    </w:pPr>
  </w:style>
  <w:style w:type="paragraph" w:styleId="ListNumber4">
    <w:name w:val="List Number 4"/>
    <w:basedOn w:val="List4"/>
    <w:rsid w:val="0021059B"/>
    <w:pPr>
      <w:numPr>
        <w:numId w:val="6"/>
      </w:numPr>
    </w:pPr>
  </w:style>
  <w:style w:type="paragraph" w:styleId="ListNumber5">
    <w:name w:val="List Number 5"/>
    <w:basedOn w:val="List5"/>
    <w:rsid w:val="0021059B"/>
    <w:pPr>
      <w:numPr>
        <w:numId w:val="7"/>
      </w:numPr>
    </w:pPr>
  </w:style>
  <w:style w:type="paragraph" w:styleId="BlockText">
    <w:name w:val="Block Text"/>
    <w:basedOn w:val="Normal"/>
    <w:rsid w:val="0021059B"/>
    <w:pPr>
      <w:spacing w:after="120"/>
      <w:ind w:left="1440" w:right="1440"/>
    </w:pPr>
  </w:style>
  <w:style w:type="character" w:customStyle="1" w:styleId="Subscript">
    <w:name w:val="Subscript"/>
    <w:basedOn w:val="DefaultParagraphFont"/>
    <w:rsid w:val="0021059B"/>
    <w:rPr>
      <w:sz w:val="16"/>
      <w:vertAlign w:val="subscript"/>
    </w:rPr>
  </w:style>
  <w:style w:type="character" w:customStyle="1" w:styleId="Superscript">
    <w:name w:val="Superscript"/>
    <w:basedOn w:val="DefaultParagraphFont"/>
    <w:rsid w:val="0021059B"/>
    <w:rPr>
      <w:sz w:val="16"/>
      <w:vertAlign w:val="superscript"/>
    </w:rPr>
  </w:style>
  <w:style w:type="character" w:customStyle="1" w:styleId="Symbols">
    <w:name w:val="Symbols"/>
    <w:basedOn w:val="DefaultParagraphFont"/>
    <w:rsid w:val="0021059B"/>
    <w:rPr>
      <w:rFonts w:ascii="Symbol" w:hAnsi="Symbol"/>
    </w:rPr>
  </w:style>
  <w:style w:type="character" w:customStyle="1" w:styleId="MenuOptions">
    <w:name w:val="Menu Options"/>
    <w:basedOn w:val="DefaultParagraphFont"/>
    <w:rsid w:val="0021059B"/>
    <w:rPr>
      <w:rFonts w:ascii="Arial Narrow" w:hAnsi="Arial Narrow"/>
      <w:smallCaps/>
    </w:rPr>
  </w:style>
  <w:style w:type="character" w:customStyle="1" w:styleId="Buttons">
    <w:name w:val="Buttons"/>
    <w:basedOn w:val="DefaultParagraphFont"/>
    <w:rsid w:val="0021059B"/>
    <w:rPr>
      <w:b/>
    </w:rPr>
  </w:style>
  <w:style w:type="character" w:customStyle="1" w:styleId="Underlined">
    <w:name w:val="Underlined"/>
    <w:basedOn w:val="DefaultParagraphFont"/>
    <w:rsid w:val="0021059B"/>
    <w:rPr>
      <w:u w:val="single"/>
    </w:rPr>
  </w:style>
  <w:style w:type="paragraph" w:customStyle="1" w:styleId="TableBodyTextRight">
    <w:name w:val="Table Body Text Right"/>
    <w:basedOn w:val="TableBodyText"/>
    <w:rsid w:val="0021059B"/>
    <w:pPr>
      <w:widowControl w:val="0"/>
      <w:autoSpaceDE w:val="0"/>
      <w:autoSpaceDN w:val="0"/>
      <w:adjustRightInd w:val="0"/>
      <w:jc w:val="right"/>
    </w:pPr>
    <w:rPr>
      <w:rFonts w:cs="Arial"/>
      <w:szCs w:val="18"/>
    </w:rPr>
  </w:style>
  <w:style w:type="paragraph" w:customStyle="1" w:styleId="CopyrightText">
    <w:name w:val="Copyright Text"/>
    <w:basedOn w:val="BodyText"/>
    <w:rsid w:val="0021059B"/>
    <w:rPr>
      <w:sz w:val="18"/>
    </w:rPr>
  </w:style>
  <w:style w:type="paragraph" w:customStyle="1" w:styleId="BodySmallRight">
    <w:name w:val="Body Small Right"/>
    <w:basedOn w:val="BodyTextRight"/>
    <w:rsid w:val="0021059B"/>
    <w:rPr>
      <w:sz w:val="18"/>
      <w:szCs w:val="18"/>
    </w:rPr>
  </w:style>
  <w:style w:type="paragraph" w:customStyle="1" w:styleId="MarginEdition">
    <w:name w:val="Margin Edition"/>
    <w:basedOn w:val="MarginNote"/>
    <w:rsid w:val="0021059B"/>
    <w:pPr>
      <w:spacing w:before="0" w:after="0"/>
    </w:pPr>
    <w:rPr>
      <w:rFonts w:ascii="Times New Roman" w:hAnsi="Times New Roman"/>
      <w:color w:val="999999"/>
    </w:rPr>
  </w:style>
  <w:style w:type="paragraph" w:customStyle="1" w:styleId="Spacer">
    <w:name w:val="Spacer"/>
    <w:basedOn w:val="Normal"/>
    <w:rsid w:val="0021059B"/>
    <w:rPr>
      <w:sz w:val="2"/>
      <w:szCs w:val="2"/>
    </w:rPr>
  </w:style>
  <w:style w:type="character" w:customStyle="1" w:styleId="Small">
    <w:name w:val="Small"/>
    <w:basedOn w:val="DefaultParagraphFont"/>
    <w:rsid w:val="0021059B"/>
    <w:rPr>
      <w:sz w:val="16"/>
    </w:rPr>
  </w:style>
  <w:style w:type="paragraph" w:customStyle="1" w:styleId="WideTable">
    <w:name w:val="Wide Table"/>
    <w:basedOn w:val="Normal"/>
    <w:rsid w:val="0021059B"/>
    <w:pPr>
      <w:ind w:left="-1418"/>
    </w:pPr>
    <w:rPr>
      <w:sz w:val="2"/>
      <w:szCs w:val="2"/>
    </w:rPr>
  </w:style>
  <w:style w:type="character" w:styleId="PageNumber">
    <w:name w:val="page number"/>
    <w:basedOn w:val="DefaultParagraphFont"/>
    <w:rsid w:val="0021059B"/>
  </w:style>
  <w:style w:type="paragraph" w:styleId="Quote">
    <w:name w:val="Quote"/>
    <w:basedOn w:val="Heading1"/>
    <w:link w:val="QuoteChar"/>
    <w:qFormat/>
    <w:rsid w:val="0021059B"/>
    <w:rPr>
      <w:b w:val="0"/>
      <w:sz w:val="72"/>
      <w:szCs w:val="72"/>
      <w:lang w:val="en-NZ"/>
    </w:rPr>
  </w:style>
  <w:style w:type="character" w:customStyle="1" w:styleId="QuoteChar">
    <w:name w:val="Quote Char"/>
    <w:basedOn w:val="DefaultParagraphFont"/>
    <w:link w:val="Quote"/>
    <w:rsid w:val="00210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59B"/>
    <w:pPr>
      <w:pageBreakBefore/>
    </w:pPr>
  </w:style>
  <w:style w:type="paragraph" w:customStyle="1" w:styleId="Border">
    <w:name w:val="Border"/>
    <w:basedOn w:val="Normal"/>
    <w:qFormat/>
    <w:rsid w:val="00210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59B"/>
    <w:rPr>
      <w:b/>
      <w:bCs/>
      <w:i/>
      <w:iCs/>
      <w:color w:val="auto"/>
    </w:rPr>
  </w:style>
  <w:style w:type="paragraph" w:styleId="IntenseQuote">
    <w:name w:val="Intense Quote"/>
    <w:basedOn w:val="Normal"/>
    <w:next w:val="Normal"/>
    <w:link w:val="IntenseQuoteChar"/>
    <w:uiPriority w:val="30"/>
    <w:qFormat/>
    <w:rsid w:val="00210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5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59B"/>
    <w:rPr>
      <w:smallCaps/>
      <w:color w:val="auto"/>
      <w:u w:val="single"/>
    </w:rPr>
  </w:style>
  <w:style w:type="character" w:styleId="IntenseReference">
    <w:name w:val="Intense Reference"/>
    <w:basedOn w:val="DefaultParagraphFont"/>
    <w:uiPriority w:val="32"/>
    <w:qFormat/>
    <w:rsid w:val="0021059B"/>
    <w:rPr>
      <w:b/>
      <w:bCs/>
      <w:smallCaps/>
      <w:color w:val="auto"/>
      <w:spacing w:val="5"/>
      <w:u w:val="single"/>
    </w:rPr>
  </w:style>
  <w:style w:type="paragraph" w:customStyle="1" w:styleId="2ColumnHeading">
    <w:name w:val="2Column Heading"/>
    <w:basedOn w:val="BodyText"/>
    <w:qFormat/>
    <w:rsid w:val="0021059B"/>
    <w:pPr>
      <w:spacing w:after="60"/>
      <w:ind w:left="-2268"/>
    </w:pPr>
    <w:rPr>
      <w:b/>
    </w:rPr>
  </w:style>
  <w:style w:type="paragraph" w:customStyle="1" w:styleId="Heading1TOC">
    <w:name w:val="Heading1 TOC"/>
    <w:basedOn w:val="Normal"/>
    <w:qFormat/>
    <w:rsid w:val="0021059B"/>
    <w:pPr>
      <w:spacing w:before="240" w:after="120"/>
    </w:pPr>
    <w:rPr>
      <w:rFonts w:ascii="Times New Roman" w:hAnsi="Times New Roman"/>
      <w:b/>
      <w:sz w:val="32"/>
    </w:rPr>
  </w:style>
  <w:style w:type="paragraph" w:customStyle="1" w:styleId="Heading2TOC">
    <w:name w:val="Heading2 TOC"/>
    <w:basedOn w:val="Normal"/>
    <w:qFormat/>
    <w:rsid w:val="0021059B"/>
    <w:pPr>
      <w:spacing w:before="240" w:after="60"/>
    </w:pPr>
    <w:rPr>
      <w:rFonts w:ascii="Times New Roman" w:hAnsi="Times New Roman"/>
      <w:b/>
      <w:sz w:val="28"/>
    </w:rPr>
  </w:style>
  <w:style w:type="character" w:customStyle="1" w:styleId="Underline">
    <w:name w:val="Underline"/>
    <w:basedOn w:val="DefaultParagraphFont"/>
    <w:qFormat/>
    <w:rsid w:val="0021059B"/>
    <w:rPr>
      <w:u w:val="single"/>
    </w:rPr>
  </w:style>
  <w:style w:type="character" w:customStyle="1" w:styleId="BoldandItalics">
    <w:name w:val="Bold and Italics"/>
    <w:qFormat/>
    <w:rsid w:val="0021059B"/>
    <w:rPr>
      <w:b/>
      <w:i/>
      <w:u w:val="none"/>
    </w:rPr>
  </w:style>
  <w:style w:type="paragraph" w:styleId="BalloonText">
    <w:name w:val="Balloon Text"/>
    <w:basedOn w:val="Normal"/>
    <w:link w:val="BalloonTextChar"/>
    <w:rsid w:val="0021059B"/>
    <w:rPr>
      <w:rFonts w:ascii="Tahoma" w:hAnsi="Tahoma" w:cs="Tahoma"/>
      <w:sz w:val="16"/>
      <w:szCs w:val="16"/>
    </w:rPr>
  </w:style>
  <w:style w:type="character" w:customStyle="1" w:styleId="BalloonTextChar">
    <w:name w:val="Balloon Text Char"/>
    <w:basedOn w:val="DefaultParagraphFont"/>
    <w:link w:val="BalloonText"/>
    <w:rsid w:val="002105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5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5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59B"/>
    <w:rPr>
      <w:b/>
      <w:color w:val="660033"/>
      <w:spacing w:val="0"/>
    </w:rPr>
  </w:style>
  <w:style w:type="paragraph" w:customStyle="1" w:styleId="Nameditemlist">
    <w:name w:val="Named item list"/>
    <w:basedOn w:val="BodyText"/>
    <w:qFormat/>
    <w:rsid w:val="002105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1883</Words>
  <Characters>11440</Characters>
  <Application>Microsoft Office Word</Application>
  <DocSecurity>0</DocSecurity>
  <Lines>472</Lines>
  <Paragraphs>202</Paragraphs>
  <ScaleCrop>false</ScaleCrop>
  <Company>Author-it Software Corporation Ltd.</Company>
  <LinksUpToDate>false</LinksUpToDate>
  <CharactersWithSpaces>13178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UEENEEA113A Mount and wire control panel equipment</dc:title>
  <dc:subject>Approved</dc:subject>
  <dc:creator>E-OZ Training Standards</dc:creator>
  <cp:keywords>Release: 2</cp:keywords>
  <dc:description>Review Date: 12 April 2008</dc:description>
  <cp:lastModifiedBy>TPCMS</cp:lastModifiedBy>
  <cp:revision>3</cp:revision>
  <dcterms:created xsi:type="dcterms:W3CDTF">2013-08-14T07:23:00Z</dcterms:created>
  <dcterms:modified xsi:type="dcterms:W3CDTF">2013-08-14T07:23:00Z</dcterms:modified>
</cp:coreProperties>
</file>