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CD0" w:rsidP="00B76CD0">
      <w:pPr>
        <w:pStyle w:val="Title"/>
      </w:pPr>
      <w:r>
        <w:fldChar w:fldCharType="begin"/>
      </w:r>
      <w:r>
        <w:instrText xml:space="preserve"> TITLE   \* MERGEFORMAT </w:instrText>
      </w:r>
      <w:r>
        <w:fldChar w:fldCharType="separate"/>
      </w:r>
      <w:r>
        <w:t>UEENEEA112A Fabricate and assemble bus bars</w:t>
      </w:r>
      <w:r>
        <w:fldChar w:fldCharType="end"/>
      </w:r>
    </w:p>
    <w:p w:rsidR="00B76CD0" w:rsidP="00B76CD0">
      <w:pPr>
        <w:pStyle w:val="Version"/>
        <w:sectPr w:rsidSect="004B3A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3A99" w:rsidP="004B3A99">
      <w:pPr>
        <w:pStyle w:val="SuperHeading"/>
      </w:pPr>
      <w:r w:rsidRPr="004B3A99">
        <w:t>UEENEEA112A Fabricate and assemble bus bars</w:t>
      </w:r>
    </w:p>
    <w:p w:rsidR="00000000" w:rsidRPr="004B3A99" w:rsidP="004B3A99">
      <w:pPr>
        <w:pStyle w:val="Heading1"/>
      </w:pPr>
      <w:bookmarkStart w:id="1" w:name="O_584117"/>
      <w:bookmarkEnd w:id="1"/>
      <w:r w:rsidRPr="004B3A99">
        <w:t>Modification History</w:t>
      </w:r>
    </w:p>
    <w:p w:rsidR="00000000" w:rsidRPr="004B3A99" w:rsidP="004B3A99">
      <w:pPr>
        <w:pStyle w:val="BodyText"/>
      </w:pPr>
      <w:r w:rsidRPr="004B3A99">
        <w:t>Not applicable.</w:t>
      </w:r>
    </w:p>
    <w:p w:rsidR="00000000" w:rsidRPr="004B3A99" w:rsidP="004B3A99">
      <w:pPr>
        <w:pStyle w:val="AllowPageBreak"/>
      </w:pPr>
    </w:p>
    <w:p w:rsidR="00000000" w:rsidRPr="004B3A99" w:rsidP="004B3A99">
      <w:pPr>
        <w:pStyle w:val="Heading1"/>
      </w:pPr>
      <w:bookmarkStart w:id="2" w:name="O_584116"/>
      <w:bookmarkEnd w:id="2"/>
      <w:r w:rsidRPr="004B3A99">
        <w:t>Unit Descriptor</w:t>
      </w:r>
    </w:p>
    <w:tbl>
      <w:tblPr>
        <w:tblW w:w="0" w:type="auto"/>
        <w:tblLayout w:type="fixed"/>
        <w:tblCellMar>
          <w:left w:w="62" w:type="dxa"/>
          <w:right w:w="62" w:type="dxa"/>
        </w:tblCellMar>
        <w:tblLook w:val="0000"/>
      </w:tblPr>
      <w:tblGrid>
        <w:gridCol w:w="2700"/>
        <w:gridCol w:w="5760"/>
      </w:tblGrid>
      <w:tr w:rsidTr="00B76C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1)</w:t>
            </w:r>
            <w:r w:rsidRPr="004B3A99">
              <w:t xml:space="preserve"> </w:t>
            </w:r>
            <w:r w:rsidRPr="004B3A99">
              <w:rPr>
                <w:rStyle w:val="SpecialBold"/>
              </w:rPr>
              <w:t>Scope:</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3A9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1.1) Descriptor</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This unit covers fabricating and assembling copper and aluminium bus bar for interconnections in switchboards and for specific plant and tha</w:t>
            </w:r>
            <w:r w:rsidRPr="004B3A99">
              <w:t>t has high current demand. It encompasses working safely and to standards and specifications, measuring, cutting, shaping and fixing bus bar and completing necessary documentation.</w:t>
            </w:r>
          </w:p>
        </w:tc>
      </w:tr>
    </w:tbl>
    <w:p w:rsidR="00000000" w:rsidRPr="004B3A99" w:rsidP="004B3A99">
      <w:pPr>
        <w:pStyle w:val="BodyText"/>
      </w:pPr>
    </w:p>
    <w:p w:rsidR="00000000" w:rsidRPr="004B3A99" w:rsidP="004B3A99">
      <w:pPr>
        <w:pStyle w:val="AllowPageBreak"/>
      </w:pPr>
    </w:p>
    <w:p w:rsidR="00000000" w:rsidRPr="004B3A99" w:rsidP="004B3A99">
      <w:pPr>
        <w:pStyle w:val="Heading1"/>
      </w:pPr>
      <w:bookmarkStart w:id="3" w:name="O_584115"/>
      <w:bookmarkEnd w:id="3"/>
      <w:r w:rsidRPr="004B3A99">
        <w:t>Application of the Unit</w:t>
      </w:r>
    </w:p>
    <w:tbl>
      <w:tblPr>
        <w:tblW w:w="0" w:type="auto"/>
        <w:tblLayout w:type="fixed"/>
        <w:tblCellMar>
          <w:left w:w="62" w:type="dxa"/>
          <w:right w:w="62" w:type="dxa"/>
        </w:tblCellMar>
        <w:tblLook w:val="0000"/>
      </w:tblPr>
      <w:tblGrid>
        <w:gridCol w:w="2672"/>
        <w:gridCol w:w="5699"/>
      </w:tblGrid>
      <w:tr w:rsidTr="00B76CD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2)</w:t>
            </w:r>
          </w:p>
        </w:tc>
      </w:tr>
      <w:tr w:rsidTr="00B76CD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This unit is intended for competency development entry-level employment-based programs incorporated in approved contracts of training.</w:t>
            </w:r>
          </w:p>
        </w:tc>
      </w:tr>
    </w:tbl>
    <w:p w:rsidR="00000000" w:rsidRPr="004B3A99" w:rsidP="004B3A99">
      <w:pPr>
        <w:pStyle w:val="BodyText"/>
      </w:pPr>
    </w:p>
    <w:p w:rsidR="00000000" w:rsidRPr="004B3A99" w:rsidP="004B3A99">
      <w:pPr>
        <w:pStyle w:val="AllowPageBreak"/>
      </w:pPr>
    </w:p>
    <w:p w:rsidR="00000000" w:rsidRPr="004B3A99" w:rsidP="004B3A99">
      <w:pPr>
        <w:pStyle w:val="Heading1"/>
      </w:pPr>
      <w:bookmarkStart w:id="4" w:name="O_584114"/>
      <w:bookmarkEnd w:id="4"/>
      <w:r w:rsidRPr="004B3A99">
        <w:t>Licensing/Regulatory Information</w:t>
      </w:r>
    </w:p>
    <w:tbl>
      <w:tblPr>
        <w:tblW w:w="0" w:type="auto"/>
        <w:tblLayout w:type="fixed"/>
        <w:tblCellMar>
          <w:left w:w="62" w:type="dxa"/>
          <w:right w:w="62" w:type="dxa"/>
        </w:tblCellMar>
        <w:tblLook w:val="0000"/>
      </w:tblPr>
      <w:tblGrid>
        <w:gridCol w:w="2700"/>
        <w:gridCol w:w="5760"/>
      </w:tblGrid>
      <w:tr w:rsidTr="00B76C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 xml:space="preserve">3) </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 xml:space="preserve">The skills and knowledge described in this </w:t>
            </w:r>
            <w:r w:rsidRPr="004B3A99">
              <w:t xml:space="preserve">unit do not require a licence to practise in a workplace specifically for the purpose of making up and assembling bus bars. In other workplaces, a licence to practise may be required subject to regulation to undertake electrical work. However, practice in </w:t>
            </w:r>
            <w:r w:rsidRPr="004B3A99">
              <w:t>this unit is subject to regulations directly related to occupational health and safety and where applicable contracts of training such as apprenticeships.</w:t>
            </w:r>
          </w:p>
        </w:tc>
      </w:tr>
    </w:tbl>
    <w:p w:rsidR="00000000" w:rsidRPr="004B3A99" w:rsidP="004B3A99">
      <w:pPr>
        <w:pStyle w:val="BodyText"/>
      </w:pPr>
    </w:p>
    <w:p w:rsidR="00000000" w:rsidRPr="004B3A99" w:rsidP="004B3A99">
      <w:pPr>
        <w:pStyle w:val="AllowPageBreak"/>
      </w:pPr>
    </w:p>
    <w:p w:rsidR="00000000" w:rsidRPr="004B3A99" w:rsidP="004B3A99">
      <w:pPr>
        <w:pStyle w:val="Heading1"/>
      </w:pPr>
      <w:bookmarkStart w:id="5" w:name="O_584113"/>
      <w:bookmarkEnd w:id="5"/>
      <w:r w:rsidRPr="004B3A99">
        <w:t>Pre-Requisites</w:t>
      </w:r>
    </w:p>
    <w:tbl>
      <w:tblPr>
        <w:tblW w:w="0" w:type="auto"/>
        <w:tblLayout w:type="fixed"/>
        <w:tblCellMar>
          <w:left w:w="62" w:type="dxa"/>
          <w:right w:w="62" w:type="dxa"/>
        </w:tblCellMar>
        <w:tblLook w:val="0000"/>
      </w:tblPr>
      <w:tblGrid>
        <w:gridCol w:w="2700"/>
        <w:gridCol w:w="1440"/>
        <w:gridCol w:w="4320"/>
      </w:tblGrid>
      <w:tr w:rsidTr="00B76C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 xml:space="preserve">4) </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4.1)</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Granting competency in this unit shall be made only after competency in the following unit(s) has/have been confirmed.</w:t>
            </w:r>
          </w:p>
        </w:tc>
      </w:tr>
      <w:tr w:rsidTr="00B76CD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UEENEEE101A</w:t>
            </w:r>
          </w:p>
        </w:tc>
        <w:tc>
          <w:tcPr>
            <w:tcW w:w="432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Apply Occupational Health Safety regulations, codes and practices in the workplace</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UEENEEE102A</w:t>
            </w:r>
          </w:p>
        </w:tc>
        <w:tc>
          <w:tcPr>
            <w:tcW w:w="432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Fabricate, dismantle, ass</w:t>
            </w:r>
            <w:r w:rsidRPr="004B3A99">
              <w:t>emble of utilities industry components</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UEENEEE105A</w:t>
            </w:r>
          </w:p>
        </w:tc>
        <w:tc>
          <w:tcPr>
            <w:tcW w:w="432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 xml:space="preserve">Fix and secure electrotechnology equipment  </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 xml:space="preserve">UEENEEE107A </w:t>
            </w:r>
          </w:p>
        </w:tc>
        <w:tc>
          <w:tcPr>
            <w:tcW w:w="432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Use drawings, diagrams, schedules, standards, codes and specifications</w:t>
            </w:r>
          </w:p>
        </w:tc>
      </w:tr>
    </w:tbl>
    <w:p w:rsidR="00000000" w:rsidRPr="004B3A99" w:rsidP="004B3A9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76CD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 xml:space="preserve">4.2) </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Participants are best equipped to achieve competency in this unit if they have reading, writing and Numeracy skills indicated by the following scales. Description of each scale is given in Volume 2, Part 3 ‘Literacy and Numeracy’</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Reading</w:t>
            </w:r>
          </w:p>
        </w:tc>
        <w:tc>
          <w:tcPr>
            <w:tcW w:w="81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4</w:t>
            </w:r>
          </w:p>
        </w:tc>
        <w:tc>
          <w:tcPr>
            <w:tcW w:w="99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Writing</w:t>
            </w: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4</w:t>
            </w:r>
          </w:p>
        </w:tc>
        <w:tc>
          <w:tcPr>
            <w:tcW w:w="12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Numeracy</w:t>
            </w:r>
          </w:p>
        </w:tc>
        <w:tc>
          <w:tcPr>
            <w:tcW w:w="72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4</w:t>
            </w:r>
          </w:p>
        </w:tc>
      </w:tr>
    </w:tbl>
    <w:p w:rsidR="00000000" w:rsidRPr="004B3A99" w:rsidP="004B3A99">
      <w:pPr>
        <w:pStyle w:val="BodyText"/>
      </w:pPr>
    </w:p>
    <w:p w:rsidR="00000000" w:rsidRPr="004B3A99" w:rsidP="004B3A99">
      <w:pPr>
        <w:pStyle w:val="AllowPageBreak"/>
      </w:pPr>
    </w:p>
    <w:p w:rsidR="00000000" w:rsidRPr="004B3A99" w:rsidP="004B3A99">
      <w:pPr>
        <w:pStyle w:val="Heading1"/>
      </w:pPr>
      <w:bookmarkStart w:id="6" w:name="O_584112"/>
      <w:bookmarkEnd w:id="6"/>
      <w:r w:rsidRPr="004B3A99">
        <w:t>Employability Skills Information</w:t>
      </w:r>
    </w:p>
    <w:tbl>
      <w:tblPr>
        <w:tblW w:w="0" w:type="auto"/>
        <w:tblLayout w:type="fixed"/>
        <w:tblCellMar>
          <w:left w:w="62" w:type="dxa"/>
          <w:right w:w="62" w:type="dxa"/>
        </w:tblCellMar>
        <w:tblLook w:val="0000"/>
      </w:tblPr>
      <w:tblGrid>
        <w:gridCol w:w="2700"/>
        <w:gridCol w:w="5760"/>
      </w:tblGrid>
      <w:tr w:rsidTr="00B76C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 xml:space="preserve">5) </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 xml:space="preserve">The required outcomes described in this unit of competency contain applicable facets of Employability Skills. The Employability Skills Summary </w:t>
            </w:r>
            <w:r w:rsidRPr="004B3A99">
              <w:t xml:space="preserve">of the qualification in which this unit of competency is packaged </w:t>
            </w:r>
            <w:r w:rsidRPr="004B3A99">
              <w:t>will assist in identifying Employability Skill requirements.</w:t>
            </w:r>
          </w:p>
        </w:tc>
      </w:tr>
    </w:tbl>
    <w:p w:rsidR="00000000" w:rsidRPr="004B3A99" w:rsidP="004B3A99">
      <w:pPr>
        <w:pStyle w:val="BodyText"/>
      </w:pPr>
    </w:p>
    <w:p w:rsidR="00000000" w:rsidRPr="004B3A99" w:rsidP="004B3A99">
      <w:pPr>
        <w:pStyle w:val="AllowPageBreak"/>
      </w:pPr>
    </w:p>
    <w:p w:rsidR="00000000" w:rsidRPr="004B3A99" w:rsidP="004B3A99">
      <w:pPr>
        <w:pStyle w:val="Heading1"/>
      </w:pPr>
      <w:bookmarkStart w:id="7" w:name="O_584111"/>
      <w:bookmarkEnd w:id="7"/>
      <w:r w:rsidRPr="004B3A99">
        <w:t>Elements and Performance Criteria Pre-Content</w:t>
      </w:r>
    </w:p>
    <w:tbl>
      <w:tblPr>
        <w:tblW w:w="0" w:type="auto"/>
        <w:tblLayout w:type="fixed"/>
        <w:tblCellMar>
          <w:left w:w="62" w:type="dxa"/>
          <w:right w:w="62" w:type="dxa"/>
        </w:tblCellMar>
        <w:tblLook w:val="0000"/>
      </w:tblPr>
      <w:tblGrid>
        <w:gridCol w:w="2700"/>
        <w:gridCol w:w="5760"/>
      </w:tblGrid>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6)</w:t>
            </w:r>
            <w:r w:rsidRPr="004B3A9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Performance Criteria describe the required performance needed to demonstrate achievement of the element. Assessment of performance is to be consistent with the Evidence Guide.</w:t>
            </w:r>
          </w:p>
        </w:tc>
      </w:tr>
    </w:tbl>
    <w:p w:rsidR="00000000" w:rsidRPr="004B3A99" w:rsidP="004B3A99">
      <w:pPr>
        <w:pStyle w:val="BodyText"/>
      </w:pPr>
    </w:p>
    <w:p w:rsidR="00000000" w:rsidRPr="004B3A99" w:rsidP="004B3A99">
      <w:pPr>
        <w:pStyle w:val="AllowPageBreak"/>
      </w:pPr>
    </w:p>
    <w:p w:rsidR="00000000" w:rsidRPr="004B3A99" w:rsidP="004B3A99">
      <w:pPr>
        <w:pStyle w:val="Heading1"/>
      </w:pPr>
      <w:bookmarkStart w:id="8" w:name="O_584110"/>
      <w:bookmarkEnd w:id="8"/>
      <w:r w:rsidRPr="004B3A9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76CD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PERFORMANCE CRITERIA</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1</w:t>
            </w:r>
          </w:p>
        </w:tc>
        <w:tc>
          <w:tcPr>
            <w:tcW w:w="2296"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Prepare to make up and assemble bus bars.</w:t>
            </w: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1.1</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OHS procedures for a given work area are identified, obtained and understood</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1.2</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Established OHS risk control measures for work preparation are followed</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1.3</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Work instructions including layout and wiring diagrams are obtained and understood</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1.4</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Advice is sought from the work supervisor to ensure the work is co-ordinated effectively with others</w:t>
            </w:r>
          </w:p>
        </w:tc>
      </w:tr>
      <w:tr w:rsidTr="00B76CD0">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1.5</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Materials required for the work are obtained in accordance with established routines and procedures</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1.6</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Tools, equipment and testing devices need</w:t>
            </w:r>
            <w:r w:rsidRPr="004B3A99">
              <w:t>ed to carry out the work are obtained and checked for correct operation and safety</w:t>
            </w:r>
          </w:p>
        </w:tc>
      </w:tr>
      <w:tr w:rsidTr="00B76CD0">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2</w:t>
            </w:r>
          </w:p>
        </w:tc>
        <w:tc>
          <w:tcPr>
            <w:tcW w:w="2296"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Make up and assemble bus bars.</w:t>
            </w: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2.1</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Established OHS risk control work measures are followed</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2.2</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Circuits are checked as being isolated where necessary in strict accordance OHS requirements and procedures</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2.3</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Bus bars are formed/made up in accordance with work instructions, standards and established routines</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2.4</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Bus bars are connected in accordance with work instructions, standards and established routines</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2.5</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Routine quality checks are carried out in accordance with work instructions</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2.6</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Completed bus bar assembly is tested against work instructions and ind</w:t>
            </w:r>
            <w:r w:rsidRPr="004B3A99">
              <w:t>ustry standards and in strict accordance with OHS risk control measures</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2.7</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Procedures for referring non-routine events to immediate supervisor for directions are followed</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2.8</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Work is carried out efficiently without waste of materials or damage to apparatus, the surrounding environment or services and using sustainable energy practices</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3</w:t>
            </w:r>
          </w:p>
        </w:tc>
        <w:tc>
          <w:tcPr>
            <w:tcW w:w="2296"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Check quality of assembled bus bars.</w:t>
            </w: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3.1</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Established OHS risk control measures for work com</w:t>
            </w:r>
            <w:r w:rsidRPr="004B3A99">
              <w:t>pletion are followed</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3.2</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Quality of bus bar assembly is checked against work instructions and industry standards and in accordance with established routines</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3.3</w:t>
            </w:r>
          </w:p>
        </w:tc>
        <w:tc>
          <w:tcPr>
            <w:tcW w:w="48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Prescribed solutions are used where corrective actions to assembled components are necess</w:t>
            </w:r>
            <w:r w:rsidRPr="004B3A99">
              <w:t>ary</w:t>
            </w:r>
          </w:p>
        </w:tc>
      </w:tr>
      <w:tr w:rsidTr="00B76C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3.4</w:t>
            </w:r>
          </w:p>
        </w:tc>
        <w:tc>
          <w:tcPr>
            <w:tcW w:w="486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Work report forms are completed accurately and appropriate person(s) notified in accordance with established routine</w:t>
            </w:r>
          </w:p>
        </w:tc>
      </w:tr>
    </w:tbl>
    <w:p w:rsidR="00000000" w:rsidRPr="004B3A99" w:rsidP="004B3A99">
      <w:pPr>
        <w:pStyle w:val="BodyText"/>
      </w:pPr>
    </w:p>
    <w:p w:rsidR="00000000" w:rsidRPr="004B3A99" w:rsidP="004B3A99">
      <w:pPr>
        <w:pStyle w:val="AllowPageBreak"/>
      </w:pPr>
    </w:p>
    <w:p w:rsidR="00000000" w:rsidRPr="004B3A99" w:rsidP="004B3A99">
      <w:pPr>
        <w:pStyle w:val="Heading1"/>
      </w:pPr>
      <w:bookmarkStart w:id="9" w:name="O_584109"/>
      <w:bookmarkEnd w:id="9"/>
      <w:r w:rsidRPr="004B3A99">
        <w:t>Required Skills and Knowledge</w:t>
      </w:r>
    </w:p>
    <w:tbl>
      <w:tblPr>
        <w:tblW w:w="0" w:type="auto"/>
        <w:tblLayout w:type="fixed"/>
        <w:tblCellMar>
          <w:left w:w="62" w:type="dxa"/>
          <w:right w:w="62" w:type="dxa"/>
        </w:tblCellMar>
        <w:tblLook w:val="0000"/>
      </w:tblPr>
      <w:tblGrid>
        <w:gridCol w:w="8460"/>
      </w:tblGrid>
      <w:tr w:rsidTr="00B76C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REQUIRED SKILLS AND KNOWLEDGE</w:t>
            </w:r>
          </w:p>
        </w:tc>
      </w:tr>
      <w:tr w:rsidTr="00B76CD0">
        <w:tblPrEx>
          <w:tblW w:w="0" w:type="auto"/>
          <w:tblLayout w:type="fixed"/>
          <w:tblCellMar>
            <w:left w:w="62" w:type="dxa"/>
            <w:right w:w="62" w:type="dxa"/>
          </w:tblCellMar>
          <w:tblLook w:val="0000"/>
        </w:tblPrEx>
        <w:trPr>
          <w:trHeight w:val="21581"/>
        </w:trPr>
        <w:tc>
          <w:tcPr>
            <w:tcW w:w="846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 xml:space="preserve">8) </w:t>
            </w:r>
            <w:r w:rsidRPr="004B3A99">
              <w:t>This describes the essential skills and knowledge and their level, required for this unit.</w:t>
            </w:r>
          </w:p>
          <w:p w:rsidR="00000000" w:rsidRPr="004B3A99" w:rsidP="004B3A99">
            <w:pPr>
              <w:pStyle w:val="BodyText"/>
            </w:pPr>
            <w:r w:rsidRPr="004B3A99">
              <w:t>Evidence must show that knowledge has been acquired of safe working practices and making and assembling bus bars.</w:t>
            </w:r>
          </w:p>
          <w:p w:rsidR="00000000" w:rsidRPr="004B3A99" w:rsidP="004B3A99">
            <w:pPr>
              <w:pStyle w:val="BodyText"/>
            </w:pPr>
            <w:r w:rsidRPr="004B3A99">
              <w:t>All knowledge and skills detailed in this unit shou</w:t>
            </w:r>
            <w:r w:rsidRPr="004B3A99">
              <w:t>ld be contextualised to current industry practices and technologies.</w:t>
            </w:r>
          </w:p>
          <w:p w:rsidR="00000000" w:rsidRPr="004B3A99" w:rsidP="004B3A99">
            <w:pPr>
              <w:pStyle w:val="BodyText"/>
            </w:pPr>
            <w:r w:rsidRPr="004B3A99">
              <w:rPr>
                <w:rStyle w:val="SpecialBold"/>
              </w:rPr>
              <w:t>KS01-EA112A               Bus bar fabrication and assembly techniques</w:t>
            </w:r>
          </w:p>
          <w:p w:rsidR="00000000" w:rsidRPr="004B3A99" w:rsidP="004B3A99">
            <w:pPr>
              <w:pStyle w:val="BodyText"/>
            </w:pPr>
            <w:r w:rsidRPr="004B3A99">
              <w:t>Evidence shall show an understanding of bus bar fabrication and assembly techniques to an extent indicated by the fol</w:t>
            </w:r>
            <w:r w:rsidRPr="004B3A99">
              <w:t>lowing aspects:</w:t>
            </w:r>
          </w:p>
          <w:p w:rsidR="00000000" w:rsidRPr="004B3A99" w:rsidP="004B3A99">
            <w:pPr>
              <w:pStyle w:val="BodyText"/>
            </w:pPr>
            <w:r w:rsidRPr="004B3A99">
              <w:t>T1</w:t>
            </w:r>
            <w:r w:rsidRPr="004B3A99">
              <w:tab/>
              <w:t>Chemical and metallurgical properties of busbars encompassing:</w:t>
            </w:r>
          </w:p>
          <w:p w:rsidR="00000000" w:rsidRPr="004B3A99" w:rsidP="004B3A99">
            <w:pPr>
              <w:pStyle w:val="ListBullet"/>
            </w:pPr>
            <w:r w:rsidRPr="004B3A99">
              <w:t>copper</w:t>
            </w:r>
          </w:p>
          <w:p w:rsidR="00000000" w:rsidRPr="004B3A99" w:rsidP="004B3A99">
            <w:pPr>
              <w:pStyle w:val="ListBullet"/>
            </w:pPr>
            <w:r w:rsidRPr="004B3A99">
              <w:t>aluminium</w:t>
            </w:r>
          </w:p>
          <w:p w:rsidR="00000000" w:rsidRPr="004B3A99" w:rsidP="004B3A99">
            <w:pPr>
              <w:pStyle w:val="ListBullet"/>
            </w:pPr>
            <w:r w:rsidRPr="004B3A99">
              <w:t>copper clad aluminium</w:t>
            </w:r>
          </w:p>
          <w:p w:rsidR="00000000" w:rsidRPr="004B3A99" w:rsidP="004B3A99">
            <w:pPr>
              <w:pStyle w:val="ListBullet"/>
            </w:pPr>
            <w:r w:rsidRPr="004B3A99">
              <w:t>hard drawn copper</w:t>
            </w:r>
          </w:p>
          <w:p w:rsidR="00000000" w:rsidRPr="004B3A99" w:rsidP="004B3A99">
            <w:pPr>
              <w:pStyle w:val="ListBullet"/>
            </w:pPr>
            <w:r w:rsidRPr="004B3A99">
              <w:t>annealing</w:t>
            </w:r>
          </w:p>
          <w:p w:rsidR="00000000" w:rsidRPr="004B3A99" w:rsidP="004B3A99">
            <w:pPr>
              <w:pStyle w:val="ListBullet"/>
            </w:pPr>
            <w:r w:rsidRPr="004B3A99">
              <w:t>types of high conductivity copper</w:t>
            </w:r>
          </w:p>
          <w:p w:rsidR="00000000" w:rsidRPr="004B3A99" w:rsidP="004B3A99">
            <w:pPr>
              <w:pStyle w:val="BodyText"/>
            </w:pPr>
            <w:r w:rsidRPr="004B3A99">
              <w:t>T2</w:t>
            </w:r>
            <w:r w:rsidRPr="004B3A99">
              <w:tab/>
              <w:t>Design considerations encompassing:</w:t>
            </w:r>
          </w:p>
          <w:p w:rsidR="00000000" w:rsidRPr="004B3A99" w:rsidP="004B3A99">
            <w:pPr>
              <w:pStyle w:val="ListBullet"/>
            </w:pPr>
            <w:r w:rsidRPr="004B3A99">
              <w:t>electrical and thermal resistance</w:t>
            </w:r>
          </w:p>
          <w:p w:rsidR="00000000" w:rsidRPr="004B3A99" w:rsidP="004B3A99">
            <w:pPr>
              <w:pStyle w:val="ListBullet"/>
            </w:pPr>
            <w:r w:rsidRPr="004B3A99">
              <w:t>mechanical strength in tension, compression and shear</w:t>
            </w:r>
          </w:p>
          <w:p w:rsidR="00000000" w:rsidRPr="004B3A99" w:rsidP="004B3A99">
            <w:pPr>
              <w:pStyle w:val="ListBullet"/>
            </w:pPr>
            <w:r w:rsidRPr="004B3A99">
              <w:t>resistance to fatigue failure</w:t>
            </w:r>
          </w:p>
          <w:p w:rsidR="00000000" w:rsidRPr="004B3A99" w:rsidP="004B3A99">
            <w:pPr>
              <w:pStyle w:val="ListBullet"/>
            </w:pPr>
            <w:r w:rsidRPr="004B3A99">
              <w:t>electrical resistance of surface films</w:t>
            </w:r>
          </w:p>
          <w:p w:rsidR="00000000" w:rsidRPr="004B3A99" w:rsidP="004B3A99">
            <w:pPr>
              <w:pStyle w:val="ListBullet"/>
            </w:pPr>
            <w:r w:rsidRPr="004B3A99">
              <w:t>ease of fabrication</w:t>
            </w:r>
          </w:p>
          <w:p w:rsidR="00000000" w:rsidRPr="004B3A99" w:rsidP="004B3A99">
            <w:pPr>
              <w:pStyle w:val="ListBullet"/>
            </w:pPr>
            <w:r w:rsidRPr="004B3A99">
              <w:t>resistance to corrosion</w:t>
            </w:r>
          </w:p>
          <w:p w:rsidR="00000000" w:rsidRPr="004B3A99" w:rsidP="004B3A99">
            <w:pPr>
              <w:pStyle w:val="ListBullet"/>
            </w:pPr>
            <w:r w:rsidRPr="004B3A99">
              <w:t>first cost and high eventual recovery value</w:t>
            </w:r>
          </w:p>
          <w:p w:rsidR="00000000" w:rsidRPr="004B3A99" w:rsidP="004B3A99">
            <w:pPr>
              <w:pStyle w:val="ListBullet"/>
            </w:pPr>
            <w:r w:rsidRPr="004B3A99">
              <w:t>choice of b</w:t>
            </w:r>
            <w:r w:rsidRPr="004B3A99">
              <w:t>usbar materials</w:t>
            </w:r>
          </w:p>
          <w:p w:rsidR="00000000" w:rsidRPr="004B3A99" w:rsidP="004B3A99">
            <w:pPr>
              <w:pStyle w:val="ListBullet"/>
            </w:pPr>
            <w:r w:rsidRPr="004B3A99">
              <w:t>creep properties</w:t>
            </w:r>
          </w:p>
          <w:p w:rsidR="00000000" w:rsidRPr="004B3A99" w:rsidP="004B3A99">
            <w:pPr>
              <w:pStyle w:val="ListBullet"/>
            </w:pPr>
            <w:r w:rsidRPr="004B3A99">
              <w:t>fatigue properties</w:t>
            </w:r>
          </w:p>
          <w:p w:rsidR="00000000" w:rsidRPr="004B3A99" w:rsidP="004B3A99">
            <w:pPr>
              <w:pStyle w:val="ListBullet"/>
            </w:pPr>
            <w:r w:rsidRPr="004B3A99">
              <w:t>self extinguishing arcs in Cu and Al</w:t>
            </w:r>
          </w:p>
          <w:p w:rsidR="00000000" w:rsidRPr="004B3A99" w:rsidP="004B3A99">
            <w:pPr>
              <w:pStyle w:val="ListBullet"/>
            </w:pPr>
            <w:r w:rsidRPr="004B3A99">
              <w:t>insulated busbar</w:t>
            </w:r>
          </w:p>
          <w:p w:rsidR="00000000" w:rsidRPr="004B3A99" w:rsidP="004B3A99">
            <w:pPr>
              <w:pStyle w:val="ListBullet"/>
            </w:pPr>
            <w:r w:rsidRPr="004B3A99">
              <w:t xml:space="preserve">provision for busbar expansion  </w:t>
            </w:r>
          </w:p>
          <w:p w:rsidR="00000000" w:rsidRPr="004B3A99" w:rsidP="004B3A99">
            <w:pPr>
              <w:pStyle w:val="BodyText"/>
            </w:pPr>
            <w:r w:rsidRPr="004B3A99">
              <w:t>T3</w:t>
            </w:r>
            <w:r w:rsidRPr="004B3A99">
              <w:tab/>
              <w:t>Busbar types encompassing:</w:t>
            </w:r>
          </w:p>
          <w:p w:rsidR="00000000" w:rsidRPr="004B3A99" w:rsidP="004B3A99">
            <w:pPr>
              <w:pStyle w:val="ListBullet"/>
            </w:pPr>
            <w:r w:rsidRPr="004B3A99">
              <w:t>main bus bars</w:t>
            </w:r>
          </w:p>
          <w:p w:rsidR="00000000" w:rsidRPr="004B3A99" w:rsidP="004B3A99">
            <w:pPr>
              <w:pStyle w:val="ListBullet"/>
            </w:pPr>
            <w:r w:rsidRPr="004B3A99">
              <w:t>intermediate bus bars</w:t>
            </w:r>
          </w:p>
          <w:p w:rsidR="00000000" w:rsidRPr="004B3A99" w:rsidP="004B3A99">
            <w:pPr>
              <w:pStyle w:val="ListBullet"/>
            </w:pPr>
            <w:r w:rsidRPr="004B3A99">
              <w:t>cell bus bars</w:t>
            </w:r>
          </w:p>
          <w:p w:rsidR="00000000" w:rsidRPr="004B3A99" w:rsidP="004B3A99">
            <w:pPr>
              <w:pStyle w:val="ListBullet"/>
            </w:pPr>
            <w:r w:rsidRPr="004B3A99">
              <w:t>droppers</w:t>
            </w:r>
          </w:p>
          <w:p w:rsidR="00000000" w:rsidRPr="004B3A99" w:rsidP="004B3A99">
            <w:pPr>
              <w:pStyle w:val="ListBullet"/>
            </w:pPr>
            <w:r w:rsidRPr="004B3A99">
              <w:t>flexible joints</w:t>
            </w:r>
          </w:p>
          <w:p w:rsidR="00000000" w:rsidRPr="004B3A99" w:rsidP="004B3A99">
            <w:pPr>
              <w:pStyle w:val="ListBullet"/>
            </w:pPr>
            <w:r w:rsidRPr="004B3A99">
              <w:t>hanger bars</w:t>
            </w:r>
          </w:p>
          <w:p w:rsidR="00000000" w:rsidRPr="004B3A99" w:rsidP="004B3A99">
            <w:pPr>
              <w:pStyle w:val="ListBullet"/>
            </w:pPr>
            <w:r w:rsidRPr="004B3A99">
              <w:t>short-circuit frames</w:t>
            </w:r>
          </w:p>
          <w:p w:rsidR="00000000" w:rsidRPr="004B3A99" w:rsidP="004B3A99">
            <w:pPr>
              <w:pStyle w:val="BodyText"/>
            </w:pPr>
            <w:r w:rsidRPr="004B3A99">
              <w:t>T4</w:t>
            </w:r>
            <w:r w:rsidRPr="004B3A99">
              <w:tab/>
              <w:t>Current carrying capacity encompassing:</w:t>
            </w:r>
          </w:p>
          <w:p w:rsidR="00000000" w:rsidRPr="004B3A99" w:rsidP="004B3A99">
            <w:pPr>
              <w:pStyle w:val="ListBullet"/>
            </w:pPr>
            <w:r w:rsidRPr="004B3A99">
              <w:t>standard cross sections of bar</w:t>
            </w:r>
          </w:p>
          <w:p w:rsidR="00000000" w:rsidRPr="004B3A99" w:rsidP="004B3A99">
            <w:pPr>
              <w:pStyle w:val="ListBullet"/>
            </w:pPr>
            <w:r w:rsidRPr="004B3A99">
              <w:t>current ratings</w:t>
            </w:r>
          </w:p>
          <w:p w:rsidR="00000000" w:rsidRPr="004B3A99" w:rsidP="004B3A99">
            <w:pPr>
              <w:pStyle w:val="ListBullet"/>
            </w:pPr>
            <w:r w:rsidRPr="004B3A99">
              <w:t>temperature rise</w:t>
            </w:r>
          </w:p>
          <w:p w:rsidR="00000000" w:rsidRPr="004B3A99" w:rsidP="004B3A99">
            <w:pPr>
              <w:pStyle w:val="BodyText"/>
            </w:pPr>
            <w:r w:rsidRPr="004B3A99">
              <w:t>T5</w:t>
            </w:r>
            <w:r w:rsidRPr="004B3A99">
              <w:tab/>
              <w:t>Shaping and bending equipment and techniques encompassing:</w:t>
            </w:r>
          </w:p>
          <w:p w:rsidR="00000000" w:rsidRPr="004B3A99" w:rsidP="004B3A99">
            <w:pPr>
              <w:pStyle w:val="ListBullet"/>
            </w:pPr>
            <w:r w:rsidRPr="004B3A99">
              <w:t>hand and power tools</w:t>
            </w:r>
          </w:p>
          <w:p w:rsidR="00000000" w:rsidRPr="004B3A99" w:rsidP="004B3A99">
            <w:pPr>
              <w:pStyle w:val="ListBullet"/>
            </w:pPr>
            <w:r w:rsidRPr="004B3A99">
              <w:t>hydraulic shears</w:t>
            </w:r>
          </w:p>
          <w:p w:rsidR="00000000" w:rsidRPr="004B3A99" w:rsidP="004B3A99">
            <w:pPr>
              <w:pStyle w:val="ListBullet"/>
            </w:pPr>
            <w:r w:rsidRPr="004B3A99">
              <w:t>hydraulic punches</w:t>
            </w:r>
          </w:p>
          <w:p w:rsidR="00000000" w:rsidRPr="004B3A99" w:rsidP="004B3A99">
            <w:pPr>
              <w:pStyle w:val="ListBullet"/>
            </w:pPr>
            <w:r w:rsidRPr="004B3A99">
              <w:t>hydraul</w:t>
            </w:r>
            <w:r w:rsidRPr="004B3A99">
              <w:t>ic notcher</w:t>
            </w:r>
          </w:p>
          <w:p w:rsidR="00000000" w:rsidRPr="004B3A99" w:rsidP="004B3A99">
            <w:pPr>
              <w:pStyle w:val="ListBullet"/>
            </w:pPr>
            <w:r w:rsidRPr="004B3A99">
              <w:t>machines allowing multiple operations</w:t>
            </w:r>
          </w:p>
          <w:p w:rsidR="00000000" w:rsidRPr="004B3A99" w:rsidP="004B3A99">
            <w:pPr>
              <w:pStyle w:val="BodyText"/>
            </w:pPr>
            <w:r w:rsidRPr="004B3A99">
              <w:t>T6</w:t>
            </w:r>
            <w:r w:rsidRPr="004B3A99">
              <w:tab/>
              <w:t>Jointing types and techniques encompassing:</w:t>
            </w:r>
          </w:p>
          <w:p w:rsidR="00000000" w:rsidRPr="004B3A99" w:rsidP="004B3A99">
            <w:pPr>
              <w:pStyle w:val="ListBullet"/>
            </w:pPr>
            <w:r w:rsidRPr="004B3A99">
              <w:t>clamped joints</w:t>
            </w:r>
          </w:p>
          <w:p w:rsidR="00000000" w:rsidRPr="004B3A99" w:rsidP="004B3A99">
            <w:pPr>
              <w:pStyle w:val="ListBullet"/>
            </w:pPr>
            <w:r w:rsidRPr="004B3A99">
              <w:t>bolted</w:t>
            </w:r>
          </w:p>
          <w:p w:rsidR="00000000" w:rsidRPr="004B3A99" w:rsidP="004B3A99">
            <w:pPr>
              <w:pStyle w:val="ListBullet"/>
            </w:pPr>
            <w:r w:rsidRPr="004B3A99">
              <w:t>riveted</w:t>
            </w:r>
          </w:p>
          <w:p w:rsidR="00000000" w:rsidRPr="004B3A99" w:rsidP="004B3A99">
            <w:pPr>
              <w:pStyle w:val="ListBullet"/>
            </w:pPr>
            <w:r w:rsidRPr="004B3A99">
              <w:t>welded</w:t>
            </w:r>
          </w:p>
          <w:p w:rsidR="00000000" w:rsidRPr="004B3A99" w:rsidP="004B3A99">
            <w:pPr>
              <w:pStyle w:val="ListBullet"/>
            </w:pPr>
            <w:r w:rsidRPr="004B3A99">
              <w:t>soldered or brazed</w:t>
            </w:r>
          </w:p>
          <w:p w:rsidR="00000000" w:rsidRPr="004B3A99" w:rsidP="004B3A99">
            <w:pPr>
              <w:pStyle w:val="BodyText"/>
            </w:pPr>
            <w:r w:rsidRPr="004B3A99">
              <w:t>T7</w:t>
            </w:r>
            <w:r w:rsidRPr="004B3A99">
              <w:tab/>
              <w:t>Stand-off insulators encompassing:</w:t>
            </w:r>
          </w:p>
          <w:p w:rsidR="00000000" w:rsidRPr="004B3A99" w:rsidP="004B3A99">
            <w:pPr>
              <w:pStyle w:val="ListBullet"/>
            </w:pPr>
            <w:r w:rsidRPr="004B3A99">
              <w:t xml:space="preserve">form </w:t>
            </w:r>
          </w:p>
          <w:p w:rsidR="00000000" w:rsidRPr="004B3A99" w:rsidP="004B3A99">
            <w:pPr>
              <w:pStyle w:val="ListBullet"/>
            </w:pPr>
            <w:r w:rsidRPr="004B3A99">
              <w:t xml:space="preserve">function </w:t>
            </w:r>
          </w:p>
          <w:p w:rsidR="00000000" w:rsidRPr="004B3A99" w:rsidP="004B3A99">
            <w:pPr>
              <w:pStyle w:val="ListBullet"/>
            </w:pPr>
            <w:r w:rsidRPr="004B3A99">
              <w:t>physical and electrical properties/characteristics</w:t>
            </w:r>
          </w:p>
          <w:p w:rsidR="00000000" w:rsidRPr="004B3A99" w:rsidP="004B3A99">
            <w:pPr>
              <w:pStyle w:val="ListBullet"/>
            </w:pPr>
            <w:r w:rsidRPr="004B3A99">
              <w:t>selection</w:t>
            </w:r>
          </w:p>
          <w:p w:rsidR="00000000" w:rsidRPr="004B3A99" w:rsidP="004B3A99">
            <w:pPr>
              <w:pStyle w:val="BodyText"/>
            </w:pPr>
            <w:r w:rsidRPr="004B3A99">
              <w:t>T8</w:t>
            </w:r>
            <w:r w:rsidRPr="004B3A99">
              <w:tab/>
              <w:t>Effects of short circuit encompassing:</w:t>
            </w:r>
          </w:p>
          <w:p w:rsidR="00000000" w:rsidRPr="004B3A99" w:rsidP="004B3A99">
            <w:pPr>
              <w:pStyle w:val="ListBullet"/>
            </w:pPr>
            <w:r w:rsidRPr="004B3A99">
              <w:t>temperature rise</w:t>
            </w:r>
          </w:p>
          <w:p w:rsidR="00000000" w:rsidRPr="004B3A99" w:rsidP="004B3A99">
            <w:pPr>
              <w:pStyle w:val="ListBullet"/>
            </w:pPr>
            <w:r w:rsidRPr="004B3A99">
              <w:t>electromagnetic stresses</w:t>
            </w:r>
          </w:p>
          <w:p w:rsidR="00000000" w:rsidRPr="004B3A99" w:rsidP="004B3A99">
            <w:pPr>
              <w:pStyle w:val="ListBullet"/>
            </w:pPr>
            <w:r w:rsidRPr="004B3A99">
              <w:t>cleats and structural supports</w:t>
            </w:r>
          </w:p>
        </w:tc>
      </w:tr>
    </w:tbl>
    <w:p w:rsidR="00000000" w:rsidRPr="004B3A99" w:rsidP="004B3A99">
      <w:pPr>
        <w:pStyle w:val="BodyText"/>
      </w:pPr>
    </w:p>
    <w:p w:rsidR="00000000" w:rsidRPr="004B3A99" w:rsidP="004B3A99">
      <w:pPr>
        <w:pStyle w:val="AllowPageBreak"/>
      </w:pPr>
    </w:p>
    <w:p w:rsidR="00000000" w:rsidRPr="004B3A99" w:rsidP="004B3A99">
      <w:pPr>
        <w:pStyle w:val="Heading1"/>
      </w:pPr>
      <w:bookmarkStart w:id="10" w:name="O_584108"/>
      <w:bookmarkEnd w:id="10"/>
      <w:r w:rsidRPr="004B3A99">
        <w:t>Evidence Guide</w:t>
      </w:r>
    </w:p>
    <w:tbl>
      <w:tblPr>
        <w:tblW w:w="0" w:type="auto"/>
        <w:tblLayout w:type="fixed"/>
        <w:tblCellMar>
          <w:left w:w="62" w:type="dxa"/>
          <w:right w:w="62" w:type="dxa"/>
        </w:tblCellMar>
        <w:tblLook w:val="0000"/>
      </w:tblPr>
      <w:tblGrid>
        <w:gridCol w:w="8460"/>
      </w:tblGrid>
      <w:tr w:rsidTr="00B76C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EVIDENCE GUIDE</w:t>
            </w:r>
          </w:p>
        </w:tc>
      </w:tr>
      <w:tr w:rsidTr="00B76C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9)</w:t>
            </w:r>
            <w:r w:rsidRPr="004B3A99">
              <w:t xml:space="preserve"> This provides essential advice for assessment of the unit. It must be read in conjunction with the performance criteria and the range statement of the unit and the Training Package Assessment Guidelines.</w:t>
            </w:r>
          </w:p>
          <w:p w:rsidR="00000000" w:rsidRPr="004B3A99" w:rsidP="004B3A99">
            <w:pPr>
              <w:pStyle w:val="BodyText"/>
            </w:pPr>
            <w:r w:rsidRPr="004B3A99">
              <w:t>The Evidence Guide forms an integral part of this u</w:t>
            </w:r>
            <w:r w:rsidRPr="004B3A99">
              <w:t>nit. It must be used in conjunction with all parts of this unit and performed in accordance with the Assessment Guidelines of this Training Package.</w:t>
            </w:r>
          </w:p>
        </w:tc>
      </w:tr>
    </w:tbl>
    <w:p w:rsidR="00000000" w:rsidRPr="004B3A99" w:rsidP="004B3A99">
      <w:pPr>
        <w:pStyle w:val="BodyText"/>
      </w:pPr>
    </w:p>
    <w:tbl>
      <w:tblPr>
        <w:tblW w:w="0" w:type="auto"/>
        <w:tblLayout w:type="fixed"/>
        <w:tblCellMar>
          <w:left w:w="62" w:type="dxa"/>
          <w:right w:w="62" w:type="dxa"/>
        </w:tblCellMar>
        <w:tblLook w:val="0000"/>
      </w:tblPr>
      <w:tblGrid>
        <w:gridCol w:w="1890"/>
        <w:gridCol w:w="6570"/>
      </w:tblGrid>
      <w:tr w:rsidTr="00B76C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9.1)</w:t>
            </w:r>
          </w:p>
        </w:tc>
      </w:tr>
      <w:tr w:rsidTr="00B76C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Longitudinal competency development approaches to assessment, such as Profiling, require data to be reliably gathered in a form that can be consistently interpreted over time. This approach is best utilised in Apprenticeship programs and reduces assessment</w:t>
            </w:r>
            <w:r w:rsidRPr="004B3A9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B3A99">
              <w:t>ncy in a realistically simulated work environment. It is recognised that, in some circumstances, assessment in part or full can occur outside the workplace. However, it must be in accord with industry and regulatory policy.</w:t>
            </w:r>
          </w:p>
          <w:p w:rsidR="00000000" w:rsidRPr="004B3A99" w:rsidP="004B3A99">
            <w:pPr>
              <w:pStyle w:val="BodyText"/>
            </w:pPr>
            <w:r w:rsidRPr="004B3A99">
              <w:t xml:space="preserve">Methods chosen for a particular </w:t>
            </w:r>
            <w:r w:rsidRPr="004B3A99">
              <w:t>assessment will be influenced by various factors. These include the extent of the assessment, the most effective locations for the assessment activities to take place, access to physical resources, additional safety measures that may be required and the cr</w:t>
            </w:r>
            <w:r w:rsidRPr="004B3A99">
              <w:t>itical nature of the competencies being assessed.</w:t>
            </w:r>
          </w:p>
          <w:p w:rsidR="00000000" w:rsidRPr="004B3A99" w:rsidP="004B3A99">
            <w:pPr>
              <w:pStyle w:val="BodyText"/>
            </w:pPr>
            <w:r w:rsidRPr="004B3A99">
              <w:t xml:space="preserve">The critical safety nature of working with electricity, electrical equipment, gas or any other hazardous substance/material carries risk in deeming a person competent. Sources of evidence need to be ‘rich’ </w:t>
            </w:r>
            <w:r w:rsidRPr="004B3A99">
              <w:t>in nature to minimise error in judgment.</w:t>
            </w:r>
          </w:p>
          <w:p w:rsidR="00000000" w:rsidRPr="004B3A99" w:rsidP="004B3A99">
            <w:pPr>
              <w:pStyle w:val="BodyText"/>
            </w:pPr>
            <w:r w:rsidRPr="004B3A99">
              <w:t>Activities associated with normal every day work have a bearing on the decision as to how much and how detailed the data gathered will contribute to its ‘richness’. Some skills are more critical to safety and operat</w:t>
            </w:r>
            <w:r w:rsidRPr="004B3A99">
              <w:t>ional requirements while the same skills may be more or less frequently practised. These points are raised for the assessors to consider when choosing an assessment method and developing assessment instruments. Sample assessment instruments are included fo</w:t>
            </w:r>
            <w:r w:rsidRPr="004B3A99">
              <w:t>r Assessors in the Assessment Guidelines of this Training Package.</w:t>
            </w:r>
          </w:p>
        </w:tc>
      </w:tr>
    </w:tbl>
    <w:p w:rsidR="00000000" w:rsidRPr="004B3A99" w:rsidP="004B3A99">
      <w:pPr>
        <w:pStyle w:val="BodyText"/>
      </w:pPr>
    </w:p>
    <w:tbl>
      <w:tblPr>
        <w:tblW w:w="0" w:type="auto"/>
        <w:tblLayout w:type="fixed"/>
        <w:tblCellMar>
          <w:left w:w="62" w:type="dxa"/>
          <w:right w:w="62" w:type="dxa"/>
        </w:tblCellMar>
        <w:tblLook w:val="0000"/>
      </w:tblPr>
      <w:tblGrid>
        <w:gridCol w:w="1890"/>
        <w:gridCol w:w="1530"/>
        <w:gridCol w:w="5040"/>
      </w:tblGrid>
      <w:tr w:rsidTr="00B76CD0">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9.2)</w:t>
            </w:r>
          </w:p>
        </w:tc>
      </w:tr>
      <w:tr w:rsidTr="00B76CD0">
        <w:tblPrEx>
          <w:tblW w:w="0" w:type="auto"/>
          <w:tblLayout w:type="fixed"/>
          <w:tblCellMar>
            <w:left w:w="62" w:type="dxa"/>
            <w:right w:w="62" w:type="dxa"/>
          </w:tblCellMar>
          <w:tblLook w:val="0000"/>
        </w:tblPrEx>
        <w:trPr>
          <w:trHeight w:val="70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Before the critical aspects of evidence are considered all prerequisites must be met.</w:t>
            </w:r>
          </w:p>
          <w:p w:rsidR="00000000" w:rsidRPr="004B3A99" w:rsidP="004B3A99">
            <w:pPr>
              <w:pStyle w:val="BodyText"/>
            </w:pPr>
            <w:r w:rsidRPr="004B3A99">
              <w:t>Evidence for com</w:t>
            </w:r>
            <w:r w:rsidRPr="004B3A99">
              <w:t>petence in this unit must be considered holistically. Each Element and associated performance criteria shall be demonstrated on at least two occasions in accordance with the ‘Assessment Guidelines – UEE11’.  Evidence shall also comprise:</w:t>
            </w:r>
          </w:p>
          <w:p w:rsidR="00000000" w:rsidRPr="004B3A99" w:rsidP="004B3A99">
            <w:pPr>
              <w:pStyle w:val="ListBullet"/>
            </w:pPr>
            <w:r w:rsidRPr="004B3A99">
              <w:t xml:space="preserve">A representative </w:t>
            </w:r>
            <w:r w:rsidRPr="004B3A99">
              <w:t>body of work performance demonstrated within the timeframes typically expected of the discipline, work function and industrial environment. In particular this shall incorporate evidence that shows a candidate is able to:</w:t>
            </w:r>
          </w:p>
          <w:p w:rsidR="00000000" w:rsidRPr="004B3A99" w:rsidP="004B3A99">
            <w:pPr>
              <w:pStyle w:val="ListBullet2"/>
            </w:pPr>
            <w:r w:rsidRPr="004B3A99">
              <w:t>Implement Occupational Health and Safety workplace procedures and practices including the use of risk control measures as specified in the performance criteria and range statement</w:t>
            </w:r>
          </w:p>
          <w:p w:rsidR="00000000" w:rsidRPr="004B3A99" w:rsidP="004B3A99">
            <w:pPr>
              <w:pStyle w:val="ListBullet2"/>
            </w:pPr>
            <w:r w:rsidRPr="004B3A99">
              <w:t>Apply sustainable energy principles and practices as specified in the perfor</w:t>
            </w:r>
            <w:r w:rsidRPr="004B3A99">
              <w:t>mance criteria and range statement</w:t>
            </w:r>
          </w:p>
          <w:p w:rsidR="00000000" w:rsidRPr="004B3A99" w:rsidP="004B3A99">
            <w:pPr>
              <w:pStyle w:val="ListBullet2"/>
            </w:pPr>
            <w:r w:rsidRPr="004B3A99">
              <w:t>Demonstrate an understanding of the essential knowledge and associated skills as described in this unit.  It may be required by some jurisdictions that RTOs provide a percentile graded result for the purpose of regulatory</w:t>
            </w:r>
            <w:r w:rsidRPr="004B3A99">
              <w:t xml:space="preserve"> or licensing requirements.   </w:t>
            </w:r>
          </w:p>
          <w:p w:rsidR="00000000" w:rsidRPr="004B3A99" w:rsidP="004B3A99">
            <w:pPr>
              <w:pStyle w:val="ListBullet2"/>
            </w:pPr>
            <w:r w:rsidRPr="004B3A99">
              <w:t>Demonstrate an appropriate level of skills enabling employment</w:t>
            </w:r>
          </w:p>
          <w:p w:rsidR="00000000" w:rsidRPr="004B3A99" w:rsidP="004B3A99">
            <w:pPr>
              <w:pStyle w:val="ListBullet2"/>
            </w:pPr>
            <w:r w:rsidRPr="004B3A99">
              <w:t>Conduct work observing the relevant Anti Discrimination legislation, regulations, polices and workplace procedures</w:t>
            </w:r>
          </w:p>
          <w:p w:rsidR="00000000" w:rsidRPr="004B3A99" w:rsidP="004B3A99">
            <w:pPr>
              <w:pStyle w:val="ListBullet"/>
            </w:pPr>
            <w:r w:rsidRPr="004B3A99">
              <w:t>Demonstrated consistent performance across a r</w:t>
            </w:r>
            <w:r w:rsidRPr="004B3A99">
              <w:t>epresentative range of contexts from the prescribed items below:</w:t>
            </w:r>
          </w:p>
          <w:p w:rsidR="00000000" w:rsidP="004B3A99">
            <w:pPr>
              <w:pStyle w:val="ListBullet2"/>
              <w:rPr>
                <w:lang w:val="en-NZ"/>
              </w:rPr>
            </w:pPr>
            <w:r w:rsidRPr="004B3A99">
              <w:t>Make up and assemble bus bars as described in 8) and including:</w:t>
            </w:r>
          </w:p>
        </w:tc>
      </w:tr>
      <w:tr w:rsidTr="00B76CD0">
        <w:tblPrEx>
          <w:tblW w:w="0" w:type="auto"/>
          <w:tblLayout w:type="fixed"/>
          <w:tblCellMar>
            <w:left w:w="62" w:type="dxa"/>
            <w:right w:w="62" w:type="dxa"/>
          </w:tblCellMar>
          <w:tblLook w:val="0000"/>
        </w:tblPrEx>
        <w:trPr>
          <w:trHeight w:val="18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A</w:t>
            </w:r>
          </w:p>
        </w:tc>
        <w:tc>
          <w:tcPr>
            <w:tcW w:w="504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Following assembly instructions.</w:t>
            </w:r>
          </w:p>
        </w:tc>
      </w:tr>
      <w:tr w:rsidTr="00B76C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B</w:t>
            </w:r>
          </w:p>
        </w:tc>
        <w:tc>
          <w:tcPr>
            <w:tcW w:w="504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Forming and making up correctly.</w:t>
            </w:r>
          </w:p>
        </w:tc>
      </w:tr>
      <w:tr w:rsidTr="00B76C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C</w:t>
            </w:r>
          </w:p>
        </w:tc>
        <w:tc>
          <w:tcPr>
            <w:tcW w:w="504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Terminating bus bars correctly.</w:t>
            </w:r>
          </w:p>
        </w:tc>
      </w:tr>
      <w:tr w:rsidTr="00B76C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D</w:t>
            </w:r>
          </w:p>
        </w:tc>
        <w:tc>
          <w:tcPr>
            <w:tcW w:w="504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Adhering to quality procedures.</w:t>
            </w:r>
          </w:p>
        </w:tc>
      </w:tr>
      <w:tr w:rsidTr="00B76C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t>E</w:t>
            </w:r>
          </w:p>
        </w:tc>
        <w:tc>
          <w:tcPr>
            <w:tcW w:w="504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Dealing with unplanned events by drawing on essential knowledge and skills to provide appropriate solutions incorporated in the holistic assessment with the above listed items.</w:t>
            </w:r>
          </w:p>
        </w:tc>
      </w:tr>
    </w:tbl>
    <w:p w:rsidR="00000000" w:rsidRPr="004B3A99" w:rsidP="004B3A99">
      <w:pPr>
        <w:pStyle w:val="BodyText"/>
      </w:pPr>
    </w:p>
    <w:tbl>
      <w:tblPr>
        <w:tblW w:w="0" w:type="auto"/>
        <w:tblLayout w:type="fixed"/>
        <w:tblCellMar>
          <w:left w:w="62" w:type="dxa"/>
          <w:right w:w="62" w:type="dxa"/>
        </w:tblCellMar>
        <w:tblLook w:val="0000"/>
      </w:tblPr>
      <w:tblGrid>
        <w:gridCol w:w="1890"/>
        <w:gridCol w:w="6570"/>
      </w:tblGrid>
      <w:tr w:rsidTr="00B76CD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Context of and specific resources for ass</w:t>
            </w:r>
            <w:r w:rsidRPr="004B3A99">
              <w:rPr>
                <w:rStyle w:val="SpecialBold"/>
              </w:rPr>
              <w:t>essment</w:t>
            </w:r>
          </w:p>
        </w:tc>
        <w:tc>
          <w:tcPr>
            <w:tcW w:w="657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9.3)</w:t>
            </w:r>
          </w:p>
        </w:tc>
      </w:tr>
      <w:tr w:rsidTr="00B76CD0">
        <w:tblPrEx>
          <w:tblW w:w="0" w:type="auto"/>
          <w:tblLayout w:type="fixed"/>
          <w:tblCellMar>
            <w:left w:w="62" w:type="dxa"/>
            <w:right w:w="62" w:type="dxa"/>
          </w:tblCellMar>
          <w:tblLook w:val="0000"/>
        </w:tblPrEx>
        <w:trPr>
          <w:trHeight w:val="478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This unit should be assessed as it relates to normal work practice using procedures, information and resources typical of a workplace. This should include:</w:t>
            </w:r>
          </w:p>
          <w:p w:rsidR="00000000" w:rsidRPr="004B3A99" w:rsidP="004B3A99">
            <w:pPr>
              <w:pStyle w:val="ListBullet"/>
            </w:pPr>
            <w:r w:rsidRPr="004B3A99">
              <w:t>OHS policy and work procedures and instructions.</w:t>
            </w:r>
          </w:p>
          <w:p w:rsidR="00000000" w:rsidRPr="004B3A99" w:rsidP="004B3A99">
            <w:pPr>
              <w:pStyle w:val="ListBullet"/>
            </w:pPr>
            <w:r w:rsidRPr="004B3A99">
              <w:t>Suitable work environment, facilities, equipment and materials to undertake actual work as prescribed in this unit.</w:t>
            </w:r>
          </w:p>
          <w:p w:rsidR="00000000" w:rsidRPr="004B3A99" w:rsidP="004B3A99">
            <w:pPr>
              <w:pStyle w:val="BodyText"/>
            </w:pPr>
            <w:r w:rsidRPr="004B3A99">
              <w:t>These should be used in the formal learning/assessment environment.</w:t>
            </w:r>
          </w:p>
          <w:p w:rsidR="00000000" w:rsidRPr="004B3A99" w:rsidP="004B3A99">
            <w:pPr>
              <w:pStyle w:val="BodyText"/>
            </w:pPr>
            <w:r w:rsidRPr="004B3A99">
              <w:t>Note:</w:t>
            </w:r>
          </w:p>
          <w:p w:rsidR="00000000" w:rsidRPr="004B3A99" w:rsidP="004B3A99">
            <w:pPr>
              <w:pStyle w:val="BodyText"/>
            </w:pPr>
            <w:r w:rsidRPr="004B3A99">
              <w:t xml:space="preserve">Where simulation is considered a suitable strategy for assessment </w:t>
            </w:r>
            <w:r w:rsidRPr="004B3A99">
              <w:t>it must ensure that the conditions for assessment are authentic and as far as possible reproduce and replicate the workplace and is consistent with the approved industry simulation policy.</w:t>
            </w:r>
          </w:p>
          <w:p w:rsidR="00000000" w:rsidRPr="004B3A99" w:rsidP="004B3A99">
            <w:pPr>
              <w:pStyle w:val="BodyText"/>
            </w:pPr>
            <w:r w:rsidRPr="004B3A99">
              <w:t>In addition to the resources listed above in context of and specifi</w:t>
            </w:r>
            <w:r w:rsidRPr="004B3A99">
              <w:t>c resources for assessment, evidence should show demonstrated competency in the makeup and assembly of bus bars.</w:t>
            </w:r>
          </w:p>
        </w:tc>
      </w:tr>
    </w:tbl>
    <w:p w:rsidR="00000000" w:rsidRPr="004B3A99" w:rsidP="004B3A99">
      <w:pPr>
        <w:pStyle w:val="BodyText"/>
      </w:pPr>
    </w:p>
    <w:tbl>
      <w:tblPr>
        <w:tblW w:w="0" w:type="auto"/>
        <w:tblLayout w:type="fixed"/>
        <w:tblCellMar>
          <w:left w:w="62" w:type="dxa"/>
          <w:right w:w="62" w:type="dxa"/>
        </w:tblCellMar>
        <w:tblLook w:val="0000"/>
      </w:tblPr>
      <w:tblGrid>
        <w:gridCol w:w="1890"/>
        <w:gridCol w:w="6570"/>
      </w:tblGrid>
      <w:tr w:rsidTr="00B76C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9.4)</w:t>
            </w:r>
          </w:p>
        </w:tc>
      </w:tr>
      <w:tr w:rsidTr="00B76CD0">
        <w:tblPrEx>
          <w:tblW w:w="0" w:type="auto"/>
          <w:tblLayout w:type="fixed"/>
          <w:tblCellMar>
            <w:left w:w="62" w:type="dxa"/>
            <w:right w:w="62" w:type="dxa"/>
          </w:tblCellMar>
          <w:tblLook w:val="0000"/>
        </w:tblPrEx>
        <w:trPr>
          <w:trHeight w:val="260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This unit shall be assessed by methods given in Volume 1, Part 3 ‘Assessment Guidelines’.</w:t>
            </w:r>
          </w:p>
          <w:p w:rsidR="00000000" w:rsidRPr="004B3A99" w:rsidP="004B3A99">
            <w:pPr>
              <w:pStyle w:val="BodyText"/>
            </w:pPr>
            <w:r w:rsidRPr="004B3A99">
              <w:t xml:space="preserve">Note: </w:t>
            </w:r>
          </w:p>
          <w:p w:rsidR="00000000" w:rsidRPr="004B3A99" w:rsidP="004B3A99">
            <w:pPr>
              <w:pStyle w:val="BodyText"/>
            </w:pPr>
            <w:r w:rsidRPr="004B3A99">
              <w:t>Competent performance with inherent safe working practices is expected in the Industry to which this unit applies. This requires assessment in a structured environment which is primarily intended for learning/assessment and incorporates all necessary equip</w:t>
            </w:r>
            <w:r w:rsidRPr="004B3A99">
              <w:t>ment and facilities for learners to develop and demonstrate the essential knowledge and skills described in this unit.</w:t>
            </w:r>
          </w:p>
        </w:tc>
      </w:tr>
    </w:tbl>
    <w:p w:rsidR="00000000" w:rsidRPr="004B3A99" w:rsidP="004B3A99">
      <w:pPr>
        <w:pStyle w:val="BodyText"/>
      </w:pPr>
    </w:p>
    <w:tbl>
      <w:tblPr>
        <w:tblW w:w="0" w:type="auto"/>
        <w:tblLayout w:type="fixed"/>
        <w:tblCellMar>
          <w:left w:w="62" w:type="dxa"/>
          <w:right w:w="62" w:type="dxa"/>
        </w:tblCellMar>
        <w:tblLook w:val="0000"/>
      </w:tblPr>
      <w:tblGrid>
        <w:gridCol w:w="1890"/>
        <w:gridCol w:w="6570"/>
      </w:tblGrid>
      <w:tr w:rsidTr="00B76C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9.5)</w:t>
            </w:r>
          </w:p>
        </w:tc>
      </w:tr>
      <w:tr w:rsidTr="00B76C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There are no concurrent assessment recommendations for this unit.</w:t>
            </w:r>
          </w:p>
        </w:tc>
      </w:tr>
    </w:tbl>
    <w:p w:rsidR="00000000" w:rsidRPr="004B3A99" w:rsidP="004B3A99">
      <w:pPr>
        <w:pStyle w:val="BodyText"/>
      </w:pPr>
    </w:p>
    <w:p w:rsidR="00000000" w:rsidRPr="004B3A99" w:rsidP="004B3A99">
      <w:pPr>
        <w:pStyle w:val="AllowPageBreak"/>
      </w:pPr>
    </w:p>
    <w:p w:rsidR="00000000" w:rsidRPr="004B3A99" w:rsidP="004B3A99">
      <w:pPr>
        <w:pStyle w:val="Heading1"/>
      </w:pPr>
      <w:bookmarkStart w:id="11" w:name="O_584107"/>
      <w:bookmarkEnd w:id="11"/>
      <w:r w:rsidRPr="004B3A99">
        <w:t>Range Statement</w:t>
      </w:r>
    </w:p>
    <w:tbl>
      <w:tblPr>
        <w:tblW w:w="0" w:type="auto"/>
        <w:tblLayout w:type="fixed"/>
        <w:tblCellMar>
          <w:left w:w="62" w:type="dxa"/>
          <w:right w:w="62" w:type="dxa"/>
        </w:tblCellMar>
        <w:tblLook w:val="0000"/>
      </w:tblPr>
      <w:tblGrid>
        <w:gridCol w:w="8460"/>
      </w:tblGrid>
      <w:tr w:rsidTr="00B76C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RANGE STATEMENT</w:t>
            </w:r>
          </w:p>
        </w:tc>
      </w:tr>
      <w:tr w:rsidTr="00B76C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10)</w:t>
            </w:r>
            <w:r w:rsidRPr="004B3A99">
              <w:t xml:space="preserve"> This relates to the unit as a whole providing the range of contexts and conditions to which the performance criteria apply. It allows for different work environments and situati</w:t>
            </w:r>
            <w:r w:rsidRPr="004B3A99">
              <w:t>ons that will affect performance.</w:t>
            </w:r>
          </w:p>
          <w:p w:rsidR="00000000" w:rsidRPr="004B3A99" w:rsidP="004B3A99">
            <w:pPr>
              <w:pStyle w:val="BodyText"/>
            </w:pPr>
            <w:r w:rsidRPr="004B3A99">
              <w:t xml:space="preserve">This unit must be demonstrated in relation to making up at least two different bus bars assemblies one of which shall be custom made. </w:t>
            </w:r>
          </w:p>
          <w:p w:rsidR="00000000" w:rsidRPr="004B3A99" w:rsidP="004B3A99">
            <w:pPr>
              <w:pStyle w:val="BodyText"/>
            </w:pPr>
            <w:r w:rsidRPr="004B3A99">
              <w:t>Generic terms used throughout this Vocational Standard shall be regarded as part of the</w:t>
            </w:r>
            <w:r w:rsidRPr="004B3A99">
              <w:t xml:space="preserve"> Range Statement in which competency is demonstrated. The definition of these and other terms that apply are given in Volume 2, Part 2.1.</w:t>
            </w:r>
          </w:p>
        </w:tc>
      </w:tr>
    </w:tbl>
    <w:p w:rsidR="00000000" w:rsidRPr="004B3A99" w:rsidP="004B3A99">
      <w:pPr>
        <w:pStyle w:val="BodyText"/>
      </w:pPr>
    </w:p>
    <w:p w:rsidR="00000000" w:rsidRPr="004B3A99" w:rsidP="004B3A99">
      <w:pPr>
        <w:pStyle w:val="AllowPageBreak"/>
      </w:pPr>
    </w:p>
    <w:p w:rsidR="00000000" w:rsidRPr="004B3A99" w:rsidP="004B3A99">
      <w:pPr>
        <w:pStyle w:val="Heading1"/>
      </w:pPr>
      <w:bookmarkStart w:id="12" w:name="O_584106"/>
      <w:bookmarkEnd w:id="12"/>
      <w:r w:rsidRPr="004B3A99">
        <w:t>Unit Sector(s)</w:t>
      </w:r>
    </w:p>
    <w:p w:rsidR="00000000" w:rsidRPr="004B3A99" w:rsidP="004B3A99">
      <w:pPr>
        <w:pStyle w:val="BodyText"/>
      </w:pPr>
      <w:r w:rsidRPr="004B3A99">
        <w:t>Not applicable.</w:t>
      </w:r>
    </w:p>
    <w:p w:rsidR="00000000" w:rsidRPr="004B3A99" w:rsidP="004B3A99">
      <w:pPr>
        <w:pStyle w:val="AllowPageBreak"/>
      </w:pPr>
    </w:p>
    <w:p w:rsidR="00000000" w:rsidRPr="004B3A99" w:rsidP="004B3A99">
      <w:pPr>
        <w:pStyle w:val="Heading1"/>
      </w:pPr>
      <w:bookmarkStart w:id="13" w:name="O_584105"/>
      <w:bookmarkEnd w:id="13"/>
      <w:r w:rsidRPr="004B3A99">
        <w:t>Competency Field</w:t>
      </w:r>
    </w:p>
    <w:tbl>
      <w:tblPr>
        <w:tblW w:w="0" w:type="auto"/>
        <w:tblLayout w:type="fixed"/>
        <w:tblCellMar>
          <w:left w:w="62" w:type="dxa"/>
          <w:right w:w="62" w:type="dxa"/>
        </w:tblCellMar>
        <w:tblLook w:val="0000"/>
      </w:tblPr>
      <w:tblGrid>
        <w:gridCol w:w="2700"/>
        <w:gridCol w:w="5760"/>
      </w:tblGrid>
      <w:tr w:rsidTr="00B76C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B3A99">
            <w:pPr>
              <w:pStyle w:val="BodyText"/>
              <w:rPr>
                <w:lang w:val="en-NZ"/>
              </w:rPr>
            </w:pPr>
            <w:r w:rsidRPr="004B3A99">
              <w:rPr>
                <w:rStyle w:val="SpecialBold"/>
              </w:rPr>
              <w:t xml:space="preserve">11) </w:t>
            </w:r>
          </w:p>
        </w:tc>
      </w:tr>
      <w:tr w:rsidTr="00B76C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A99" w:rsidP="004B3A99">
            <w:pPr>
              <w:pStyle w:val="BodyText"/>
            </w:pPr>
            <w:r w:rsidRPr="004B3A99">
              <w:t>Assembly</w:t>
            </w:r>
          </w:p>
        </w:tc>
      </w:tr>
    </w:tbl>
    <w:p w:rsidR="00000000" w:rsidRPr="004B3A99" w:rsidP="004B3A99">
      <w:pPr>
        <w:pStyle w:val="BodyText"/>
      </w:pPr>
    </w:p>
    <w:p w:rsidR="00000000" w:rsidRPr="004B3A99" w:rsidP="004B3A99"/>
    <w:sectPr w:rsidSect="004B3A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99" w:rsidRPr="00B76CD0" w:rsidP="00B76C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CD0" w:rsidP="004B3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6CD0" w:rsidP="004B3A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76CD0" w:rsidP="004B3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99" w:rsidRPr="00B76CD0" w:rsidP="00B76C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CD0" w:rsidRPr="002D2AF8" w:rsidP="004B3A99">
    <w:pPr>
      <w:pStyle w:val="Header"/>
      <w:framePr w:wrap="around"/>
    </w:pPr>
    <w:r>
      <w:fldChar w:fldCharType="begin"/>
    </w:r>
    <w:r>
      <w:instrText xml:space="preserve"> TITLE   \* MERGEFORMAT </w:instrText>
    </w:r>
    <w:r>
      <w:fldChar w:fldCharType="separate"/>
    </w:r>
    <w:r>
      <w:t>UEENEEA112A Fabricate and assemble bus bars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76CD0" w:rsidP="004B3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622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A0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8A4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A99"/>
    <w:pPr>
      <w:spacing w:before="360" w:after="60"/>
      <w:outlineLvl w:val="0"/>
    </w:pPr>
    <w:rPr>
      <w:sz w:val="32"/>
    </w:rPr>
  </w:style>
  <w:style w:type="paragraph" w:styleId="Heading2">
    <w:name w:val="heading 2"/>
    <w:basedOn w:val="HeadingBase"/>
    <w:next w:val="BodyText"/>
    <w:link w:val="Heading2Char"/>
    <w:qFormat/>
    <w:rsid w:val="004B3A99"/>
    <w:pPr>
      <w:keepLines/>
      <w:spacing w:before="240" w:after="120"/>
      <w:outlineLvl w:val="1"/>
    </w:pPr>
    <w:rPr>
      <w:sz w:val="28"/>
      <w:szCs w:val="40"/>
    </w:rPr>
  </w:style>
  <w:style w:type="paragraph" w:styleId="Heading3">
    <w:name w:val="heading 3"/>
    <w:basedOn w:val="HeadingBase"/>
    <w:next w:val="BodyText"/>
    <w:link w:val="Heading3Char"/>
    <w:qFormat/>
    <w:rsid w:val="004B3A99"/>
    <w:pPr>
      <w:spacing w:before="180" w:after="120"/>
      <w:outlineLvl w:val="2"/>
    </w:pPr>
    <w:rPr>
      <w:spacing w:val="-10"/>
      <w:kern w:val="32"/>
    </w:rPr>
  </w:style>
  <w:style w:type="paragraph" w:styleId="Heading4">
    <w:name w:val="heading 4"/>
    <w:basedOn w:val="HeadingBase"/>
    <w:next w:val="BodyText"/>
    <w:link w:val="Heading4Char"/>
    <w:qFormat/>
    <w:rsid w:val="004B3A99"/>
    <w:pPr>
      <w:spacing w:before="160" w:after="120"/>
      <w:outlineLvl w:val="3"/>
    </w:pPr>
    <w:rPr>
      <w:sz w:val="22"/>
    </w:rPr>
  </w:style>
  <w:style w:type="paragraph" w:styleId="Heading5">
    <w:name w:val="heading 5"/>
    <w:basedOn w:val="HeadingBase"/>
    <w:next w:val="Normal"/>
    <w:link w:val="Heading5Char"/>
    <w:qFormat/>
    <w:rsid w:val="004B3A99"/>
    <w:pPr>
      <w:spacing w:before="80"/>
      <w:outlineLvl w:val="4"/>
    </w:pPr>
    <w:rPr>
      <w:color w:val="918585"/>
      <w:sz w:val="20"/>
    </w:rPr>
  </w:style>
  <w:style w:type="paragraph" w:styleId="Heading6">
    <w:name w:val="heading 6"/>
    <w:basedOn w:val="HeadingBase"/>
    <w:next w:val="Normal"/>
    <w:link w:val="Heading6Char"/>
    <w:qFormat/>
    <w:rsid w:val="004B3A99"/>
    <w:pPr>
      <w:spacing w:before="60"/>
      <w:outlineLvl w:val="5"/>
    </w:pPr>
    <w:rPr>
      <w:color w:val="918585"/>
      <w:sz w:val="20"/>
    </w:rPr>
  </w:style>
  <w:style w:type="paragraph" w:styleId="Heading7">
    <w:name w:val="heading 7"/>
    <w:basedOn w:val="Normal"/>
    <w:next w:val="Normal"/>
    <w:link w:val="Heading7Char"/>
    <w:qFormat/>
    <w:rsid w:val="004B3A99"/>
    <w:pPr>
      <w:ind w:left="720"/>
      <w:outlineLvl w:val="6"/>
    </w:pPr>
    <w:rPr>
      <w:i/>
    </w:rPr>
  </w:style>
  <w:style w:type="paragraph" w:styleId="Heading8">
    <w:name w:val="heading 8"/>
    <w:basedOn w:val="Normal"/>
    <w:next w:val="Normal"/>
    <w:link w:val="Heading8Char"/>
    <w:qFormat/>
    <w:rsid w:val="004B3A99"/>
    <w:pPr>
      <w:ind w:left="720"/>
      <w:outlineLvl w:val="7"/>
    </w:pPr>
    <w:rPr>
      <w:i/>
    </w:rPr>
  </w:style>
  <w:style w:type="paragraph" w:styleId="Heading9">
    <w:name w:val="heading 9"/>
    <w:basedOn w:val="Normal"/>
    <w:next w:val="Normal"/>
    <w:link w:val="Heading9Char"/>
    <w:qFormat/>
    <w:rsid w:val="004B3A99"/>
    <w:pPr>
      <w:ind w:left="720"/>
      <w:outlineLvl w:val="8"/>
    </w:pPr>
    <w:rPr>
      <w:i/>
    </w:rPr>
  </w:style>
  <w:style w:type="character" w:default="1" w:styleId="DefaultParagraphFont">
    <w:name w:val="Default Paragraph Font"/>
    <w:uiPriority w:val="1"/>
    <w:unhideWhenUsed/>
    <w:rsid w:val="004B3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A99"/>
  </w:style>
  <w:style w:type="character" w:customStyle="1" w:styleId="Heading1Char">
    <w:name w:val="Heading 1 Char"/>
    <w:basedOn w:val="DefaultParagraphFont"/>
    <w:link w:val="Heading1"/>
    <w:rsid w:val="004B3A99"/>
    <w:rPr>
      <w:rFonts w:ascii="Times New Roman" w:eastAsia="Times New Roman" w:hAnsi="Times New Roman" w:cs="Times New Roman"/>
      <w:b/>
      <w:sz w:val="32"/>
      <w:szCs w:val="20"/>
      <w:lang w:eastAsia="en-US"/>
    </w:rPr>
  </w:style>
  <w:style w:type="paragraph" w:styleId="BodyText">
    <w:name w:val="Body Text"/>
    <w:basedOn w:val="Normal"/>
    <w:link w:val="BodyTextChar"/>
    <w:rsid w:val="004B3A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A99"/>
    <w:rPr>
      <w:rFonts w:ascii="Times New Roman" w:eastAsia="Times New Roman" w:hAnsi="Times New Roman" w:cs="Times New Roman"/>
      <w:sz w:val="24"/>
      <w:lang w:eastAsia="en-US"/>
    </w:rPr>
  </w:style>
  <w:style w:type="paragraph" w:styleId="ListBullet">
    <w:name w:val="List Bullet"/>
    <w:basedOn w:val="List"/>
    <w:rsid w:val="004B3A99"/>
    <w:pPr>
      <w:numPr>
        <w:numId w:val="13"/>
      </w:numPr>
      <w:tabs>
        <w:tab w:val="clear" w:pos="340"/>
      </w:tabs>
      <w:spacing w:before="40" w:after="40"/>
    </w:pPr>
  </w:style>
  <w:style w:type="character" w:customStyle="1" w:styleId="SpecialBold">
    <w:name w:val="Special Bold"/>
    <w:basedOn w:val="DefaultParagraphFont"/>
    <w:rsid w:val="004B3A99"/>
    <w:rPr>
      <w:b/>
      <w:spacing w:val="0"/>
    </w:rPr>
  </w:style>
  <w:style w:type="paragraph" w:styleId="ListBullet2">
    <w:name w:val="List Bullet 2"/>
    <w:basedOn w:val="List2"/>
    <w:rsid w:val="004B3A99"/>
    <w:pPr>
      <w:numPr>
        <w:numId w:val="14"/>
      </w:numPr>
      <w:tabs>
        <w:tab w:val="clear" w:pos="680"/>
      </w:tabs>
    </w:pPr>
  </w:style>
  <w:style w:type="paragraph" w:customStyle="1" w:styleId="SuperHeading">
    <w:name w:val="SuperHeading"/>
    <w:basedOn w:val="Normal"/>
    <w:rsid w:val="004B3A99"/>
    <w:pPr>
      <w:spacing w:before="240" w:after="120"/>
      <w:outlineLvl w:val="0"/>
    </w:pPr>
    <w:rPr>
      <w:rFonts w:ascii="Times New Roman" w:hAnsi="Times New Roman"/>
      <w:b/>
      <w:sz w:val="32"/>
    </w:rPr>
  </w:style>
  <w:style w:type="paragraph" w:customStyle="1" w:styleId="AllowPageBreak">
    <w:name w:val="AllowPageBreak"/>
    <w:rsid w:val="004B3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A99"/>
    <w:rPr>
      <w:rFonts w:ascii="Courier New" w:eastAsia="Times New Roman" w:hAnsi="Courier New" w:cs="Times New Roman"/>
      <w:i/>
      <w:szCs w:val="20"/>
      <w:lang w:eastAsia="en-US"/>
    </w:rPr>
  </w:style>
  <w:style w:type="paragraph" w:customStyle="1" w:styleId="HeadingBase">
    <w:name w:val="Heading Base"/>
    <w:rsid w:val="004B3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A99"/>
    <w:pPr>
      <w:tabs>
        <w:tab w:val="right" w:leader="dot" w:pos="9072"/>
      </w:tabs>
      <w:ind w:left="567"/>
    </w:pPr>
    <w:rPr>
      <w:szCs w:val="22"/>
    </w:rPr>
  </w:style>
  <w:style w:type="paragraph" w:customStyle="1" w:styleId="TOCBase">
    <w:name w:val="TOC Base"/>
    <w:rsid w:val="004B3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A99"/>
    <w:pPr>
      <w:tabs>
        <w:tab w:val="right" w:leader="dot" w:pos="9072"/>
      </w:tabs>
      <w:spacing w:before="40" w:after="40"/>
      <w:ind w:left="284"/>
    </w:pPr>
    <w:rPr>
      <w:rFonts w:ascii="Times New Roman" w:hAnsi="Times New Roman"/>
    </w:rPr>
  </w:style>
  <w:style w:type="paragraph" w:styleId="TOC1">
    <w:name w:val="toc 1"/>
    <w:basedOn w:val="TOCBase"/>
    <w:next w:val="Normal"/>
    <w:rsid w:val="004B3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A99"/>
    <w:rPr>
      <w:rFonts w:ascii="Times New Roman" w:eastAsia="Times New Roman" w:hAnsi="Times New Roman" w:cs="Times New Roman"/>
      <w:sz w:val="16"/>
      <w:lang w:eastAsia="en-US"/>
    </w:rPr>
  </w:style>
  <w:style w:type="paragraph" w:styleId="Title">
    <w:name w:val="Title"/>
    <w:basedOn w:val="HeadingBase"/>
    <w:link w:val="TitleChar"/>
    <w:qFormat/>
    <w:rsid w:val="004B3A99"/>
    <w:pPr>
      <w:spacing w:before="5040"/>
      <w:jc w:val="center"/>
    </w:pPr>
    <w:rPr>
      <w:sz w:val="48"/>
      <w:szCs w:val="72"/>
      <w:lang w:val="en-US"/>
    </w:rPr>
  </w:style>
  <w:style w:type="character" w:customStyle="1" w:styleId="TitleChar">
    <w:name w:val="Title Char"/>
    <w:basedOn w:val="DefaultParagraphFont"/>
    <w:link w:val="Title"/>
    <w:rsid w:val="004B3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A99"/>
    <w:pPr>
      <w:tabs>
        <w:tab w:val="left" w:pos="3600"/>
        <w:tab w:val="left" w:pos="3958"/>
      </w:tabs>
    </w:pPr>
  </w:style>
  <w:style w:type="paragraph" w:styleId="List">
    <w:name w:val="List"/>
    <w:basedOn w:val="BodyText"/>
    <w:next w:val="BodyText"/>
    <w:rsid w:val="004B3A99"/>
    <w:pPr>
      <w:tabs>
        <w:tab w:val="left" w:pos="340"/>
      </w:tabs>
      <w:spacing w:before="60" w:after="60"/>
      <w:ind w:left="340" w:hanging="340"/>
    </w:pPr>
  </w:style>
  <w:style w:type="paragraph" w:customStyle="1" w:styleId="Note">
    <w:name w:val="Note"/>
    <w:basedOn w:val="BodyText"/>
    <w:rsid w:val="004B3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A99"/>
    <w:pPr>
      <w:framePr w:wrap="auto" w:hAnchor="text" w:y="6049"/>
    </w:pPr>
    <w:rPr>
      <w:color w:val="000000"/>
      <w:sz w:val="40"/>
    </w:rPr>
  </w:style>
  <w:style w:type="paragraph" w:customStyle="1" w:styleId="TOCTitle">
    <w:name w:val="TOCTitle"/>
    <w:basedOn w:val="Heading1"/>
    <w:rsid w:val="004B3A99"/>
    <w:pPr>
      <w:spacing w:after="240"/>
      <w:jc w:val="center"/>
      <w:outlineLvl w:val="9"/>
    </w:pPr>
    <w:rPr>
      <w:caps/>
    </w:rPr>
  </w:style>
  <w:style w:type="paragraph" w:customStyle="1" w:styleId="Version">
    <w:name w:val="Version"/>
    <w:rsid w:val="004B3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A99"/>
    <w:pPr>
      <w:keepNext w:val="0"/>
      <w:tabs>
        <w:tab w:val="right" w:pos="4176"/>
      </w:tabs>
      <w:ind w:left="198" w:hanging="198"/>
    </w:pPr>
    <w:rPr>
      <w:rFonts w:ascii="Garamond" w:hAnsi="Garamond"/>
    </w:rPr>
  </w:style>
  <w:style w:type="paragraph" w:styleId="IndexHeading">
    <w:name w:val="index heading"/>
    <w:basedOn w:val="Normal"/>
    <w:next w:val="Index1"/>
    <w:semiHidden/>
    <w:rsid w:val="004B3A99"/>
    <w:pPr>
      <w:spacing w:before="120" w:after="120"/>
    </w:pPr>
    <w:rPr>
      <w:rFonts w:ascii="Arial" w:hAnsi="Arial"/>
      <w:b/>
      <w:color w:val="918585"/>
      <w:sz w:val="24"/>
    </w:rPr>
  </w:style>
  <w:style w:type="paragraph" w:styleId="Header">
    <w:name w:val="header"/>
    <w:basedOn w:val="Normal"/>
    <w:link w:val="HeaderChar"/>
    <w:rsid w:val="004B3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A99"/>
    <w:rPr>
      <w:rFonts w:ascii="Times New Roman" w:eastAsia="Times New Roman" w:hAnsi="Times New Roman" w:cs="Times New Roman"/>
      <w:sz w:val="16"/>
      <w:szCs w:val="20"/>
      <w:lang w:val="en-GB" w:eastAsia="en-US"/>
    </w:rPr>
  </w:style>
  <w:style w:type="paragraph" w:customStyle="1" w:styleId="Chapter">
    <w:name w:val="Chapter"/>
    <w:basedOn w:val="Normal"/>
    <w:rsid w:val="004B3A99"/>
    <w:pPr>
      <w:spacing w:before="240"/>
    </w:pPr>
    <w:rPr>
      <w:rFonts w:ascii="Times New Roman" w:hAnsi="Times New Roman"/>
      <w:smallCaps/>
      <w:spacing w:val="80"/>
      <w:sz w:val="28"/>
    </w:rPr>
  </w:style>
  <w:style w:type="paragraph" w:customStyle="1" w:styleId="InChapter">
    <w:name w:val="InChapter"/>
    <w:basedOn w:val="Heading3"/>
    <w:rsid w:val="004B3A99"/>
    <w:pPr>
      <w:spacing w:after="240"/>
      <w:outlineLvl w:val="9"/>
    </w:pPr>
    <w:rPr>
      <w:noProof/>
    </w:rPr>
  </w:style>
  <w:style w:type="paragraph" w:styleId="Index2">
    <w:name w:val="index 2"/>
    <w:basedOn w:val="Normal"/>
    <w:next w:val="Normal"/>
    <w:semiHidden/>
    <w:rsid w:val="004B3A99"/>
    <w:pPr>
      <w:tabs>
        <w:tab w:val="right" w:pos="4176"/>
      </w:tabs>
      <w:ind w:left="568" w:hanging="284"/>
    </w:pPr>
    <w:rPr>
      <w:rFonts w:ascii="Garamond" w:hAnsi="Garamond"/>
    </w:rPr>
  </w:style>
  <w:style w:type="paragraph" w:customStyle="1" w:styleId="Byline">
    <w:name w:val="Byline"/>
    <w:rsid w:val="004B3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A99"/>
    <w:pPr>
      <w:tabs>
        <w:tab w:val="clear" w:pos="3600"/>
        <w:tab w:val="clear" w:pos="3958"/>
      </w:tabs>
      <w:jc w:val="right"/>
    </w:pPr>
  </w:style>
  <w:style w:type="character" w:styleId="Emphasis">
    <w:name w:val="Emphasis"/>
    <w:basedOn w:val="DefaultParagraphFont"/>
    <w:qFormat/>
    <w:rsid w:val="004B3A99"/>
    <w:rPr>
      <w:i/>
    </w:rPr>
  </w:style>
  <w:style w:type="paragraph" w:styleId="Caption">
    <w:name w:val="caption"/>
    <w:basedOn w:val="BodyText"/>
    <w:next w:val="Normal"/>
    <w:qFormat/>
    <w:rsid w:val="004B3A99"/>
    <w:pPr>
      <w:framePr w:w="2268" w:hSpace="181" w:vSpace="181" w:wrap="around" w:vAnchor="text" w:hAnchor="page" w:x="1135" w:y="285" w:anchorLock="1"/>
    </w:pPr>
    <w:rPr>
      <w:i/>
    </w:rPr>
  </w:style>
  <w:style w:type="paragraph" w:customStyle="1" w:styleId="MiniTOCTitle">
    <w:name w:val="MiniTOCTitle"/>
    <w:basedOn w:val="Heading4"/>
    <w:rsid w:val="004B3A99"/>
    <w:pPr>
      <w:spacing w:before="240"/>
      <w:outlineLvl w:val="9"/>
    </w:pPr>
    <w:rPr>
      <w:noProof/>
      <w:sz w:val="24"/>
    </w:rPr>
  </w:style>
  <w:style w:type="paragraph" w:customStyle="1" w:styleId="MiniTOCItem">
    <w:name w:val="MiniTOCItem"/>
    <w:basedOn w:val="ListBullet"/>
    <w:rsid w:val="004B3A99"/>
    <w:pPr>
      <w:numPr>
        <w:numId w:val="0"/>
      </w:numPr>
      <w:tabs>
        <w:tab w:val="right" w:leader="dot" w:pos="6521"/>
      </w:tabs>
      <w:spacing w:before="0" w:after="0"/>
    </w:pPr>
  </w:style>
  <w:style w:type="paragraph" w:customStyle="1" w:styleId="TOFTitle">
    <w:name w:val="TOFTitle"/>
    <w:basedOn w:val="TOCTitle"/>
    <w:rsid w:val="004B3A99"/>
  </w:style>
  <w:style w:type="paragraph" w:styleId="TableofFigures">
    <w:name w:val="table of figures"/>
    <w:basedOn w:val="Normal"/>
    <w:next w:val="Normal"/>
    <w:semiHidden/>
    <w:rsid w:val="004B3A99"/>
    <w:pPr>
      <w:tabs>
        <w:tab w:val="right" w:leader="dot" w:pos="9072"/>
      </w:tabs>
      <w:ind w:left="970" w:hanging="403"/>
    </w:pPr>
    <w:rPr>
      <w:rFonts w:ascii="Times New Roman" w:hAnsi="Times New Roman"/>
      <w:b/>
    </w:rPr>
  </w:style>
  <w:style w:type="paragraph" w:styleId="ListNumber">
    <w:name w:val="List Number"/>
    <w:basedOn w:val="List"/>
    <w:rsid w:val="004B3A99"/>
    <w:pPr>
      <w:numPr>
        <w:numId w:val="11"/>
      </w:numPr>
    </w:pPr>
  </w:style>
  <w:style w:type="character" w:customStyle="1" w:styleId="WingdingSymbols">
    <w:name w:val="Wingding Symbols"/>
    <w:rsid w:val="004B3A99"/>
    <w:rPr>
      <w:rFonts w:ascii="Wingdings" w:hAnsi="Wingdings"/>
    </w:rPr>
  </w:style>
  <w:style w:type="paragraph" w:customStyle="1" w:styleId="TableHeading">
    <w:name w:val="Table Heading"/>
    <w:basedOn w:val="HeadingBase"/>
    <w:rsid w:val="004B3A99"/>
    <w:pPr>
      <w:keepLines/>
      <w:pBdr>
        <w:bottom w:val="single" w:sz="6" w:space="1" w:color="918585"/>
      </w:pBdr>
      <w:spacing w:before="240"/>
    </w:pPr>
  </w:style>
  <w:style w:type="character" w:customStyle="1" w:styleId="HotSpot">
    <w:name w:val="HotSpot"/>
    <w:rsid w:val="004B3A99"/>
    <w:rPr>
      <w:color w:val="0033CC"/>
      <w:u w:val="none"/>
    </w:rPr>
  </w:style>
  <w:style w:type="paragraph" w:customStyle="1" w:styleId="BodyTextRight">
    <w:name w:val="Body Text Right"/>
    <w:basedOn w:val="BodyText"/>
    <w:rsid w:val="004B3A99"/>
    <w:pPr>
      <w:spacing w:before="0" w:after="0"/>
      <w:jc w:val="right"/>
    </w:pPr>
  </w:style>
  <w:style w:type="paragraph" w:styleId="Index3">
    <w:name w:val="index 3"/>
    <w:basedOn w:val="ListNumber2"/>
    <w:next w:val="Normal"/>
    <w:semiHidden/>
    <w:rsid w:val="004B3A99"/>
    <w:pPr>
      <w:numPr>
        <w:numId w:val="0"/>
      </w:numPr>
      <w:tabs>
        <w:tab w:val="right" w:leader="dot" w:pos="4176"/>
      </w:tabs>
    </w:pPr>
  </w:style>
  <w:style w:type="paragraph" w:styleId="ListNumber2">
    <w:name w:val="List Number 2"/>
    <w:basedOn w:val="List2"/>
    <w:rsid w:val="004B3A99"/>
    <w:pPr>
      <w:numPr>
        <w:numId w:val="10"/>
      </w:numPr>
      <w:tabs>
        <w:tab w:val="clear" w:pos="1060"/>
      </w:tabs>
    </w:pPr>
  </w:style>
  <w:style w:type="paragraph" w:customStyle="1" w:styleId="MarginNote">
    <w:name w:val="Margin Note"/>
    <w:basedOn w:val="BodyText"/>
    <w:rsid w:val="004B3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A99"/>
    <w:rPr>
      <w:sz w:val="32"/>
    </w:rPr>
  </w:style>
  <w:style w:type="paragraph" w:customStyle="1" w:styleId="HeadingProcedure">
    <w:name w:val="Heading Procedure"/>
    <w:basedOn w:val="HeadingBase"/>
    <w:next w:val="Normal"/>
    <w:rsid w:val="004B3A99"/>
    <w:pPr>
      <w:tabs>
        <w:tab w:val="left" w:pos="0"/>
      </w:tabs>
      <w:spacing w:before="120" w:after="60"/>
    </w:pPr>
    <w:rPr>
      <w:i/>
      <w:color w:val="918585"/>
      <w:sz w:val="22"/>
    </w:rPr>
  </w:style>
  <w:style w:type="paragraph" w:customStyle="1" w:styleId="TableBodyText">
    <w:name w:val="Table Body Text"/>
    <w:basedOn w:val="BodyText"/>
    <w:rsid w:val="004B3A99"/>
    <w:pPr>
      <w:spacing w:before="60" w:after="60"/>
    </w:pPr>
  </w:style>
  <w:style w:type="paragraph" w:styleId="ListContinue">
    <w:name w:val="List Continue"/>
    <w:basedOn w:val="List"/>
    <w:rsid w:val="004B3A99"/>
    <w:pPr>
      <w:ind w:firstLine="0"/>
    </w:pPr>
  </w:style>
  <w:style w:type="paragraph" w:customStyle="1" w:styleId="ListNote">
    <w:name w:val="List Note"/>
    <w:basedOn w:val="List"/>
    <w:rsid w:val="004B3A99"/>
    <w:pPr>
      <w:pBdr>
        <w:top w:val="single" w:sz="6" w:space="2" w:color="918585"/>
        <w:bottom w:val="single" w:sz="6" w:space="2" w:color="918585"/>
      </w:pBdr>
      <w:tabs>
        <w:tab w:val="left" w:pos="1021"/>
      </w:tabs>
      <w:ind w:firstLine="0"/>
    </w:pPr>
  </w:style>
  <w:style w:type="paragraph" w:customStyle="1" w:styleId="Warning">
    <w:name w:val="Warning"/>
    <w:basedOn w:val="BodyText"/>
    <w:rsid w:val="004B3A99"/>
    <w:pPr>
      <w:shd w:val="clear" w:color="auto" w:fill="D9D9D9"/>
      <w:tabs>
        <w:tab w:val="left" w:pos="992"/>
      </w:tabs>
      <w:ind w:left="119" w:right="119"/>
    </w:pPr>
    <w:rPr>
      <w:sz w:val="20"/>
    </w:rPr>
  </w:style>
  <w:style w:type="paragraph" w:customStyle="1" w:styleId="MarginIcons">
    <w:name w:val="Margin Icons"/>
    <w:basedOn w:val="BodyText"/>
    <w:rsid w:val="004B3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A99"/>
    <w:rPr>
      <w:rFonts w:ascii="Courier New" w:hAnsi="Courier New"/>
    </w:rPr>
  </w:style>
  <w:style w:type="paragraph" w:customStyle="1" w:styleId="NoteBullet">
    <w:name w:val="Note Bullet"/>
    <w:basedOn w:val="Note"/>
    <w:rsid w:val="004B3A99"/>
    <w:pPr>
      <w:tabs>
        <w:tab w:val="clear" w:pos="680"/>
      </w:tabs>
      <w:spacing w:before="60" w:after="60"/>
    </w:pPr>
  </w:style>
  <w:style w:type="paragraph" w:customStyle="1" w:styleId="SubHeading2">
    <w:name w:val="SubHeading2"/>
    <w:basedOn w:val="HeadingBase"/>
    <w:rsid w:val="004B3A99"/>
    <w:pPr>
      <w:spacing w:before="240" w:after="60"/>
    </w:pPr>
    <w:rPr>
      <w:sz w:val="20"/>
    </w:rPr>
  </w:style>
  <w:style w:type="paragraph" w:customStyle="1" w:styleId="SubHeading1">
    <w:name w:val="SubHeading1"/>
    <w:basedOn w:val="HeadingBase"/>
    <w:rsid w:val="004B3A99"/>
    <w:pPr>
      <w:spacing w:before="240" w:after="60"/>
    </w:pPr>
    <w:rPr>
      <w:color w:val="918585"/>
      <w:sz w:val="22"/>
    </w:rPr>
  </w:style>
  <w:style w:type="paragraph" w:customStyle="1" w:styleId="SideHeading">
    <w:name w:val="Side Heading"/>
    <w:basedOn w:val="HeadingBase"/>
    <w:rsid w:val="004B3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A99"/>
    <w:pPr>
      <w:numPr>
        <w:numId w:val="12"/>
      </w:numPr>
    </w:pPr>
  </w:style>
  <w:style w:type="paragraph" w:styleId="PlainText">
    <w:name w:val="Plain Text"/>
    <w:basedOn w:val="Normal"/>
    <w:link w:val="PlainTextChar"/>
    <w:rsid w:val="004B3A99"/>
    <w:rPr>
      <w:sz w:val="20"/>
    </w:rPr>
  </w:style>
  <w:style w:type="character" w:customStyle="1" w:styleId="PlainTextChar">
    <w:name w:val="Plain Text Char"/>
    <w:basedOn w:val="DefaultParagraphFont"/>
    <w:link w:val="PlainText"/>
    <w:rsid w:val="004B3A99"/>
    <w:rPr>
      <w:rFonts w:ascii="Courier New" w:eastAsia="Times New Roman" w:hAnsi="Courier New" w:cs="Times New Roman"/>
      <w:sz w:val="20"/>
      <w:szCs w:val="20"/>
      <w:lang w:eastAsia="en-US"/>
    </w:rPr>
  </w:style>
  <w:style w:type="character" w:customStyle="1" w:styleId="MenuOption">
    <w:name w:val="Menu Option"/>
    <w:basedOn w:val="DefaultParagraphFont"/>
    <w:rsid w:val="004B3A99"/>
    <w:rPr>
      <w:b/>
      <w:smallCaps/>
    </w:rPr>
  </w:style>
  <w:style w:type="paragraph" w:customStyle="1" w:styleId="TableListNumber">
    <w:name w:val="Table List Number"/>
    <w:basedOn w:val="ListNumber"/>
    <w:rsid w:val="004B3A99"/>
    <w:pPr>
      <w:numPr>
        <w:numId w:val="0"/>
      </w:numPr>
    </w:pPr>
  </w:style>
  <w:style w:type="paragraph" w:styleId="TOC4">
    <w:name w:val="toc 4"/>
    <w:basedOn w:val="TOCBase"/>
    <w:next w:val="Normal"/>
    <w:semiHidden/>
    <w:rsid w:val="004B3A99"/>
    <w:pPr>
      <w:tabs>
        <w:tab w:val="right" w:leader="dot" w:pos="9071"/>
      </w:tabs>
      <w:ind w:left="1701"/>
    </w:pPr>
  </w:style>
  <w:style w:type="paragraph" w:customStyle="1" w:styleId="ListAlpha">
    <w:name w:val="List Alpha"/>
    <w:basedOn w:val="List"/>
    <w:rsid w:val="004B3A99"/>
    <w:pPr>
      <w:numPr>
        <w:numId w:val="9"/>
      </w:numPr>
    </w:pPr>
  </w:style>
  <w:style w:type="paragraph" w:customStyle="1" w:styleId="ListAlpha2">
    <w:name w:val="List Alpha 2"/>
    <w:basedOn w:val="List2"/>
    <w:rsid w:val="004B3A99"/>
    <w:pPr>
      <w:numPr>
        <w:numId w:val="8"/>
      </w:numPr>
    </w:pPr>
  </w:style>
  <w:style w:type="paragraph" w:styleId="List2">
    <w:name w:val="List 2"/>
    <w:basedOn w:val="BodyText"/>
    <w:rsid w:val="004B3A99"/>
    <w:pPr>
      <w:tabs>
        <w:tab w:val="left" w:pos="680"/>
      </w:tabs>
      <w:spacing w:before="60" w:after="60"/>
      <w:ind w:left="680" w:hanging="340"/>
    </w:pPr>
  </w:style>
  <w:style w:type="paragraph" w:styleId="List3">
    <w:name w:val="List 3"/>
    <w:basedOn w:val="BodyText"/>
    <w:rsid w:val="004B3A99"/>
    <w:pPr>
      <w:tabs>
        <w:tab w:val="left" w:pos="1021"/>
      </w:tabs>
      <w:spacing w:before="60" w:after="60"/>
      <w:ind w:left="1020" w:hanging="340"/>
    </w:pPr>
  </w:style>
  <w:style w:type="paragraph" w:styleId="List4">
    <w:name w:val="List 4"/>
    <w:basedOn w:val="BodyText"/>
    <w:rsid w:val="004B3A99"/>
    <w:pPr>
      <w:tabs>
        <w:tab w:val="left" w:pos="1361"/>
      </w:tabs>
      <w:spacing w:before="60" w:after="60"/>
      <w:ind w:left="1361" w:hanging="340"/>
    </w:pPr>
  </w:style>
  <w:style w:type="paragraph" w:styleId="List5">
    <w:name w:val="List 5"/>
    <w:basedOn w:val="BodyText"/>
    <w:rsid w:val="004B3A99"/>
    <w:pPr>
      <w:tabs>
        <w:tab w:val="left" w:pos="1701"/>
      </w:tabs>
      <w:spacing w:before="60" w:after="60"/>
      <w:ind w:left="1701" w:hanging="340"/>
    </w:pPr>
  </w:style>
  <w:style w:type="paragraph" w:styleId="ListBullet3">
    <w:name w:val="List Bullet 3"/>
    <w:basedOn w:val="List3"/>
    <w:rsid w:val="004B3A99"/>
    <w:pPr>
      <w:numPr>
        <w:numId w:val="15"/>
      </w:numPr>
      <w:tabs>
        <w:tab w:val="clear" w:pos="1021"/>
      </w:tabs>
      <w:ind w:left="1037" w:hanging="357"/>
    </w:pPr>
  </w:style>
  <w:style w:type="paragraph" w:styleId="ListBullet4">
    <w:name w:val="List Bullet 4"/>
    <w:basedOn w:val="List4"/>
    <w:rsid w:val="004B3A99"/>
    <w:pPr>
      <w:numPr>
        <w:numId w:val="3"/>
      </w:numPr>
    </w:pPr>
  </w:style>
  <w:style w:type="paragraph" w:styleId="ListBullet5">
    <w:name w:val="List Bullet 5"/>
    <w:basedOn w:val="List5"/>
    <w:rsid w:val="004B3A99"/>
    <w:pPr>
      <w:numPr>
        <w:numId w:val="4"/>
      </w:numPr>
    </w:pPr>
  </w:style>
  <w:style w:type="paragraph" w:styleId="ListContinue2">
    <w:name w:val="List Continue 2"/>
    <w:basedOn w:val="List2"/>
    <w:rsid w:val="004B3A99"/>
    <w:pPr>
      <w:ind w:firstLine="0"/>
    </w:pPr>
  </w:style>
  <w:style w:type="paragraph" w:styleId="ListContinue3">
    <w:name w:val="List Continue 3"/>
    <w:basedOn w:val="List3"/>
    <w:rsid w:val="004B3A99"/>
    <w:pPr>
      <w:ind w:left="1021" w:firstLine="0"/>
    </w:pPr>
  </w:style>
  <w:style w:type="paragraph" w:styleId="ListContinue4">
    <w:name w:val="List Continue 4"/>
    <w:basedOn w:val="List4"/>
    <w:rsid w:val="004B3A99"/>
    <w:pPr>
      <w:ind w:firstLine="0"/>
    </w:pPr>
  </w:style>
  <w:style w:type="paragraph" w:styleId="ListContinue5">
    <w:name w:val="List Continue 5"/>
    <w:basedOn w:val="List5"/>
    <w:rsid w:val="004B3A99"/>
    <w:pPr>
      <w:ind w:firstLine="0"/>
    </w:pPr>
  </w:style>
  <w:style w:type="paragraph" w:styleId="ListNumber3">
    <w:name w:val="List Number 3"/>
    <w:basedOn w:val="List3"/>
    <w:rsid w:val="004B3A99"/>
    <w:pPr>
      <w:numPr>
        <w:numId w:val="5"/>
      </w:numPr>
    </w:pPr>
  </w:style>
  <w:style w:type="paragraph" w:styleId="ListNumber4">
    <w:name w:val="List Number 4"/>
    <w:basedOn w:val="List4"/>
    <w:rsid w:val="004B3A99"/>
    <w:pPr>
      <w:numPr>
        <w:numId w:val="6"/>
      </w:numPr>
    </w:pPr>
  </w:style>
  <w:style w:type="paragraph" w:styleId="ListNumber5">
    <w:name w:val="List Number 5"/>
    <w:basedOn w:val="List5"/>
    <w:rsid w:val="004B3A99"/>
    <w:pPr>
      <w:numPr>
        <w:numId w:val="7"/>
      </w:numPr>
    </w:pPr>
  </w:style>
  <w:style w:type="paragraph" w:styleId="BlockText">
    <w:name w:val="Block Text"/>
    <w:basedOn w:val="Normal"/>
    <w:rsid w:val="004B3A99"/>
    <w:pPr>
      <w:spacing w:after="120"/>
      <w:ind w:left="1440" w:right="1440"/>
    </w:pPr>
  </w:style>
  <w:style w:type="character" w:customStyle="1" w:styleId="Subscript">
    <w:name w:val="Subscript"/>
    <w:basedOn w:val="DefaultParagraphFont"/>
    <w:rsid w:val="004B3A99"/>
    <w:rPr>
      <w:sz w:val="16"/>
      <w:vertAlign w:val="subscript"/>
    </w:rPr>
  </w:style>
  <w:style w:type="character" w:customStyle="1" w:styleId="Superscript">
    <w:name w:val="Superscript"/>
    <w:basedOn w:val="DefaultParagraphFont"/>
    <w:rsid w:val="004B3A99"/>
    <w:rPr>
      <w:sz w:val="16"/>
      <w:vertAlign w:val="superscript"/>
    </w:rPr>
  </w:style>
  <w:style w:type="character" w:customStyle="1" w:styleId="Symbols">
    <w:name w:val="Symbols"/>
    <w:basedOn w:val="DefaultParagraphFont"/>
    <w:rsid w:val="004B3A99"/>
    <w:rPr>
      <w:rFonts w:ascii="Symbol" w:hAnsi="Symbol"/>
    </w:rPr>
  </w:style>
  <w:style w:type="character" w:customStyle="1" w:styleId="MenuOptions">
    <w:name w:val="Menu Options"/>
    <w:basedOn w:val="DefaultParagraphFont"/>
    <w:rsid w:val="004B3A99"/>
    <w:rPr>
      <w:rFonts w:ascii="Arial Narrow" w:hAnsi="Arial Narrow"/>
      <w:smallCaps/>
    </w:rPr>
  </w:style>
  <w:style w:type="character" w:customStyle="1" w:styleId="Buttons">
    <w:name w:val="Buttons"/>
    <w:basedOn w:val="DefaultParagraphFont"/>
    <w:rsid w:val="004B3A99"/>
    <w:rPr>
      <w:b/>
    </w:rPr>
  </w:style>
  <w:style w:type="character" w:customStyle="1" w:styleId="Underlined">
    <w:name w:val="Underlined"/>
    <w:basedOn w:val="DefaultParagraphFont"/>
    <w:rsid w:val="004B3A99"/>
    <w:rPr>
      <w:u w:val="single"/>
    </w:rPr>
  </w:style>
  <w:style w:type="paragraph" w:customStyle="1" w:styleId="TableBodyTextRight">
    <w:name w:val="Table Body Text Right"/>
    <w:basedOn w:val="TableBodyText"/>
    <w:rsid w:val="004B3A99"/>
    <w:pPr>
      <w:widowControl w:val="0"/>
      <w:autoSpaceDE w:val="0"/>
      <w:autoSpaceDN w:val="0"/>
      <w:adjustRightInd w:val="0"/>
      <w:jc w:val="right"/>
    </w:pPr>
    <w:rPr>
      <w:rFonts w:cs="Arial"/>
      <w:szCs w:val="18"/>
    </w:rPr>
  </w:style>
  <w:style w:type="paragraph" w:customStyle="1" w:styleId="CopyrightText">
    <w:name w:val="Copyright Text"/>
    <w:basedOn w:val="BodyText"/>
    <w:rsid w:val="004B3A99"/>
    <w:rPr>
      <w:sz w:val="18"/>
    </w:rPr>
  </w:style>
  <w:style w:type="paragraph" w:customStyle="1" w:styleId="BodySmallRight">
    <w:name w:val="Body Small Right"/>
    <w:basedOn w:val="BodyTextRight"/>
    <w:rsid w:val="004B3A99"/>
    <w:rPr>
      <w:sz w:val="18"/>
      <w:szCs w:val="18"/>
    </w:rPr>
  </w:style>
  <w:style w:type="paragraph" w:customStyle="1" w:styleId="MarginEdition">
    <w:name w:val="Margin Edition"/>
    <w:basedOn w:val="MarginNote"/>
    <w:rsid w:val="004B3A99"/>
    <w:pPr>
      <w:spacing w:before="0" w:after="0"/>
    </w:pPr>
    <w:rPr>
      <w:rFonts w:ascii="Times New Roman" w:hAnsi="Times New Roman"/>
      <w:color w:val="999999"/>
    </w:rPr>
  </w:style>
  <w:style w:type="paragraph" w:customStyle="1" w:styleId="Spacer">
    <w:name w:val="Spacer"/>
    <w:basedOn w:val="Normal"/>
    <w:rsid w:val="004B3A99"/>
    <w:rPr>
      <w:sz w:val="2"/>
      <w:szCs w:val="2"/>
    </w:rPr>
  </w:style>
  <w:style w:type="character" w:customStyle="1" w:styleId="Small">
    <w:name w:val="Small"/>
    <w:basedOn w:val="DefaultParagraphFont"/>
    <w:rsid w:val="004B3A99"/>
    <w:rPr>
      <w:sz w:val="16"/>
    </w:rPr>
  </w:style>
  <w:style w:type="paragraph" w:customStyle="1" w:styleId="WideTable">
    <w:name w:val="Wide Table"/>
    <w:basedOn w:val="Normal"/>
    <w:rsid w:val="004B3A99"/>
    <w:pPr>
      <w:ind w:left="-1418"/>
    </w:pPr>
    <w:rPr>
      <w:sz w:val="2"/>
      <w:szCs w:val="2"/>
    </w:rPr>
  </w:style>
  <w:style w:type="character" w:styleId="PageNumber">
    <w:name w:val="page number"/>
    <w:basedOn w:val="DefaultParagraphFont"/>
    <w:rsid w:val="004B3A99"/>
  </w:style>
  <w:style w:type="paragraph" w:styleId="Quote">
    <w:name w:val="Quote"/>
    <w:basedOn w:val="Heading1"/>
    <w:link w:val="QuoteChar"/>
    <w:qFormat/>
    <w:rsid w:val="004B3A99"/>
    <w:rPr>
      <w:b w:val="0"/>
      <w:sz w:val="72"/>
      <w:szCs w:val="72"/>
      <w:lang w:val="en-NZ"/>
    </w:rPr>
  </w:style>
  <w:style w:type="character" w:customStyle="1" w:styleId="QuoteChar">
    <w:name w:val="Quote Char"/>
    <w:basedOn w:val="DefaultParagraphFont"/>
    <w:link w:val="Quote"/>
    <w:rsid w:val="004B3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A99"/>
    <w:pPr>
      <w:pageBreakBefore/>
    </w:pPr>
  </w:style>
  <w:style w:type="paragraph" w:customStyle="1" w:styleId="Border">
    <w:name w:val="Border"/>
    <w:basedOn w:val="Normal"/>
    <w:qFormat/>
    <w:rsid w:val="004B3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A99"/>
    <w:rPr>
      <w:b/>
      <w:bCs/>
      <w:i/>
      <w:iCs/>
      <w:color w:val="auto"/>
    </w:rPr>
  </w:style>
  <w:style w:type="paragraph" w:styleId="IntenseQuote">
    <w:name w:val="Intense Quote"/>
    <w:basedOn w:val="Normal"/>
    <w:next w:val="Normal"/>
    <w:link w:val="IntenseQuoteChar"/>
    <w:uiPriority w:val="30"/>
    <w:qFormat/>
    <w:rsid w:val="004B3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A99"/>
    <w:rPr>
      <w:smallCaps/>
      <w:color w:val="auto"/>
      <w:u w:val="single"/>
    </w:rPr>
  </w:style>
  <w:style w:type="character" w:styleId="IntenseReference">
    <w:name w:val="Intense Reference"/>
    <w:basedOn w:val="DefaultParagraphFont"/>
    <w:uiPriority w:val="32"/>
    <w:qFormat/>
    <w:rsid w:val="004B3A99"/>
    <w:rPr>
      <w:b/>
      <w:bCs/>
      <w:smallCaps/>
      <w:color w:val="auto"/>
      <w:spacing w:val="5"/>
      <w:u w:val="single"/>
    </w:rPr>
  </w:style>
  <w:style w:type="paragraph" w:customStyle="1" w:styleId="2ColumnHeading">
    <w:name w:val="2Column Heading"/>
    <w:basedOn w:val="BodyText"/>
    <w:qFormat/>
    <w:rsid w:val="004B3A99"/>
    <w:pPr>
      <w:spacing w:after="60"/>
      <w:ind w:left="-2268"/>
    </w:pPr>
    <w:rPr>
      <w:b/>
    </w:rPr>
  </w:style>
  <w:style w:type="paragraph" w:customStyle="1" w:styleId="Heading1TOC">
    <w:name w:val="Heading1 TOC"/>
    <w:basedOn w:val="Normal"/>
    <w:qFormat/>
    <w:rsid w:val="004B3A99"/>
    <w:pPr>
      <w:spacing w:before="240" w:after="120"/>
    </w:pPr>
    <w:rPr>
      <w:rFonts w:ascii="Times New Roman" w:hAnsi="Times New Roman"/>
      <w:b/>
      <w:sz w:val="32"/>
    </w:rPr>
  </w:style>
  <w:style w:type="paragraph" w:customStyle="1" w:styleId="Heading2TOC">
    <w:name w:val="Heading2 TOC"/>
    <w:basedOn w:val="Normal"/>
    <w:qFormat/>
    <w:rsid w:val="004B3A99"/>
    <w:pPr>
      <w:spacing w:before="240" w:after="60"/>
    </w:pPr>
    <w:rPr>
      <w:rFonts w:ascii="Times New Roman" w:hAnsi="Times New Roman"/>
      <w:b/>
      <w:sz w:val="28"/>
    </w:rPr>
  </w:style>
  <w:style w:type="character" w:customStyle="1" w:styleId="Underline">
    <w:name w:val="Underline"/>
    <w:basedOn w:val="DefaultParagraphFont"/>
    <w:qFormat/>
    <w:rsid w:val="004B3A99"/>
    <w:rPr>
      <w:u w:val="single"/>
    </w:rPr>
  </w:style>
  <w:style w:type="character" w:customStyle="1" w:styleId="BoldandItalics">
    <w:name w:val="Bold and Italics"/>
    <w:qFormat/>
    <w:rsid w:val="004B3A99"/>
    <w:rPr>
      <w:b/>
      <w:i/>
      <w:u w:val="none"/>
    </w:rPr>
  </w:style>
  <w:style w:type="paragraph" w:styleId="BalloonText">
    <w:name w:val="Balloon Text"/>
    <w:basedOn w:val="Normal"/>
    <w:link w:val="BalloonTextChar"/>
    <w:rsid w:val="004B3A99"/>
    <w:rPr>
      <w:rFonts w:ascii="Tahoma" w:hAnsi="Tahoma" w:cs="Tahoma"/>
      <w:sz w:val="16"/>
      <w:szCs w:val="16"/>
    </w:rPr>
  </w:style>
  <w:style w:type="character" w:customStyle="1" w:styleId="BalloonTextChar">
    <w:name w:val="Balloon Text Char"/>
    <w:basedOn w:val="DefaultParagraphFont"/>
    <w:link w:val="BalloonText"/>
    <w:rsid w:val="004B3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A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A99"/>
    <w:rPr>
      <w:b/>
      <w:color w:val="660033"/>
      <w:spacing w:val="0"/>
    </w:rPr>
  </w:style>
  <w:style w:type="paragraph" w:customStyle="1" w:styleId="Nameditemlist">
    <w:name w:val="Named item list"/>
    <w:basedOn w:val="BodyText"/>
    <w:qFormat/>
    <w:rsid w:val="004B3A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1872</Words>
  <Characters>11165</Characters>
  <Application>Microsoft Office Word</Application>
  <DocSecurity>0</DocSecurity>
  <Lines>462</Lines>
  <Paragraphs>214</Paragraphs>
  <ScaleCrop>false</ScaleCrop>
  <Company>Author-it Software Corporation Ltd.</Company>
  <LinksUpToDate>false</LinksUpToDate>
  <CharactersWithSpaces>12912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UEENEEA112A Fabricate and assemble bus bars</dc:title>
  <dc:subject>Approved</dc:subject>
  <dc:creator>E-OZ Training Standards</dc:creator>
  <cp:keywords>Release: 2</cp:keywords>
  <dc:description>Review Date: 12 April 2008</dc:description>
  <cp:lastModifiedBy>HSD_TPCMSd.prod</cp:lastModifiedBy>
  <cp:revision>3</cp:revision>
  <dcterms:created xsi:type="dcterms:W3CDTF">2013-08-14T07:19:00Z</dcterms:created>
  <dcterms:modified xsi:type="dcterms:W3CDTF">2013-08-14T07:19:00Z</dcterms:modified>
</cp:coreProperties>
</file>