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0FC" w:rsidP="000920FC">
      <w:pPr>
        <w:pStyle w:val="Title"/>
      </w:pPr>
      <w:r>
        <w:fldChar w:fldCharType="begin"/>
      </w:r>
      <w:r>
        <w:instrText xml:space="preserve"> TITLE   \* MERGEFORMAT </w:instrText>
      </w:r>
      <w:r>
        <w:fldChar w:fldCharType="separate"/>
      </w:r>
      <w:r>
        <w:t>UEENEEA103A Set up and check electronic component assembly machines</w:t>
      </w:r>
      <w:r>
        <w:fldChar w:fldCharType="end"/>
      </w:r>
    </w:p>
    <w:p w:rsidR="000920FC" w:rsidP="000920FC">
      <w:pPr>
        <w:pStyle w:val="Version"/>
        <w:sectPr w:rsidSect="000C54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5499" w:rsidP="000C5499">
      <w:pPr>
        <w:pStyle w:val="SuperHeading"/>
      </w:pPr>
      <w:r w:rsidRPr="000C5499">
        <w:t>UEENEEA103A Set up and check electronic component assembly machines</w:t>
      </w:r>
    </w:p>
    <w:p w:rsidR="00000000" w:rsidRPr="000C5499" w:rsidP="000C5499">
      <w:pPr>
        <w:pStyle w:val="Heading1"/>
      </w:pPr>
      <w:bookmarkStart w:id="1" w:name="O_584033"/>
      <w:bookmarkEnd w:id="1"/>
      <w:r w:rsidRPr="000C5499">
        <w:t>Modification History</w:t>
      </w:r>
    </w:p>
    <w:p w:rsidR="00000000" w:rsidRPr="000C5499" w:rsidP="000C5499">
      <w:pPr>
        <w:pStyle w:val="BodyText"/>
      </w:pPr>
      <w:r w:rsidRPr="000C5499">
        <w:t>Not applicable.</w:t>
      </w:r>
    </w:p>
    <w:p w:rsidR="00000000" w:rsidRPr="000C5499" w:rsidP="000C5499">
      <w:pPr>
        <w:pStyle w:val="AllowPageBreak"/>
      </w:pPr>
    </w:p>
    <w:p w:rsidR="00000000" w:rsidRPr="000C5499" w:rsidP="000C5499">
      <w:pPr>
        <w:pStyle w:val="Heading1"/>
      </w:pPr>
      <w:bookmarkStart w:id="2" w:name="O_584032"/>
      <w:bookmarkEnd w:id="2"/>
      <w:r w:rsidRPr="000C5499">
        <w:t>Unit Descriptor</w:t>
      </w:r>
    </w:p>
    <w:tbl>
      <w:tblPr>
        <w:tblW w:w="0" w:type="auto"/>
        <w:tblLayout w:type="fixed"/>
        <w:tblCellMar>
          <w:left w:w="62" w:type="dxa"/>
          <w:right w:w="62" w:type="dxa"/>
        </w:tblCellMar>
        <w:tblLook w:val="0000"/>
      </w:tblPr>
      <w:tblGrid>
        <w:gridCol w:w="2700"/>
        <w:gridCol w:w="5760"/>
      </w:tblGrid>
      <w:tr w:rsidTr="000920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rPr>
                <w:rStyle w:val="SpecialBold"/>
              </w:rPr>
              <w:t>1)</w:t>
            </w:r>
            <w:r w:rsidRPr="000C5499">
              <w:t xml:space="preserve"> </w:t>
            </w:r>
            <w:r w:rsidRPr="000C5499">
              <w:rPr>
                <w:rStyle w:val="SpecialBold"/>
              </w:rPr>
              <w:t>Scope:</w:t>
            </w:r>
          </w:p>
        </w:tc>
      </w:tr>
      <w:tr w:rsidTr="000920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C549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rPr>
                <w:rStyle w:val="SpecialBold"/>
              </w:rPr>
              <w:t>1.1) Descriptor</w:t>
            </w:r>
          </w:p>
        </w:tc>
      </w:tr>
      <w:tr w:rsidTr="000920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t>This unit covers the setting up of electronic circuit board assembly machines. It encompasses working safely, interpreting job specifications, identifying components by colour code and markings, following machine set-up routines and following quality proce</w:t>
            </w:r>
            <w:r w:rsidRPr="000C5499">
              <w:t>dures and work instructions.</w:t>
            </w:r>
          </w:p>
        </w:tc>
      </w:tr>
    </w:tbl>
    <w:p w:rsidR="00000000" w:rsidRPr="000C5499" w:rsidP="000C5499">
      <w:pPr>
        <w:pStyle w:val="BodyText"/>
      </w:pPr>
    </w:p>
    <w:p w:rsidR="00000000" w:rsidRPr="000C5499" w:rsidP="000C5499">
      <w:pPr>
        <w:pStyle w:val="AllowPageBreak"/>
      </w:pPr>
    </w:p>
    <w:p w:rsidR="00000000" w:rsidRPr="000C5499" w:rsidP="000C5499">
      <w:pPr>
        <w:pStyle w:val="Heading1"/>
      </w:pPr>
      <w:bookmarkStart w:id="3" w:name="O_584031"/>
      <w:bookmarkEnd w:id="3"/>
      <w:r w:rsidRPr="000C5499">
        <w:t>Application of the Unit</w:t>
      </w:r>
    </w:p>
    <w:tbl>
      <w:tblPr>
        <w:tblW w:w="0" w:type="auto"/>
        <w:tblLayout w:type="fixed"/>
        <w:tblCellMar>
          <w:left w:w="62" w:type="dxa"/>
          <w:right w:w="62" w:type="dxa"/>
        </w:tblCellMar>
        <w:tblLook w:val="0000"/>
      </w:tblPr>
      <w:tblGrid>
        <w:gridCol w:w="2672"/>
        <w:gridCol w:w="5699"/>
      </w:tblGrid>
      <w:tr w:rsidTr="000920F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rPr>
                <w:rStyle w:val="SpecialBold"/>
              </w:rPr>
              <w:t>2)</w:t>
            </w:r>
          </w:p>
        </w:tc>
      </w:tr>
      <w:tr w:rsidTr="000920F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t>This unit is intended for competency development entry-level employment-based programs incorporated in approved contracts of training.</w:t>
            </w:r>
          </w:p>
        </w:tc>
      </w:tr>
    </w:tbl>
    <w:p w:rsidR="00000000" w:rsidRPr="000C5499" w:rsidP="000C5499">
      <w:pPr>
        <w:pStyle w:val="BodyText"/>
      </w:pPr>
    </w:p>
    <w:p w:rsidR="00000000" w:rsidRPr="000C5499" w:rsidP="000C5499">
      <w:pPr>
        <w:pStyle w:val="AllowPageBreak"/>
      </w:pPr>
    </w:p>
    <w:p w:rsidR="00000000" w:rsidRPr="000C5499" w:rsidP="000C5499">
      <w:pPr>
        <w:pStyle w:val="Heading1"/>
      </w:pPr>
      <w:bookmarkStart w:id="4" w:name="O_584030"/>
      <w:bookmarkEnd w:id="4"/>
      <w:r w:rsidRPr="000C5499">
        <w:t>Licensing/Regulatory Information</w:t>
      </w:r>
    </w:p>
    <w:tbl>
      <w:tblPr>
        <w:tblW w:w="0" w:type="auto"/>
        <w:tblLayout w:type="fixed"/>
        <w:tblCellMar>
          <w:left w:w="62" w:type="dxa"/>
          <w:right w:w="62" w:type="dxa"/>
        </w:tblCellMar>
        <w:tblLook w:val="0000"/>
      </w:tblPr>
      <w:tblGrid>
        <w:gridCol w:w="2700"/>
        <w:gridCol w:w="5760"/>
      </w:tblGrid>
      <w:tr w:rsidTr="000920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rPr>
                <w:rStyle w:val="SpecialBold"/>
              </w:rPr>
              <w:t xml:space="preserve">3) </w:t>
            </w:r>
          </w:p>
        </w:tc>
      </w:tr>
      <w:tr w:rsidTr="000920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t>The skills and knowledge described in this unit do not require a licence to practise in the workplace. However, practice in this unit is subject to regulations directly related to occupational heal</w:t>
            </w:r>
            <w:r w:rsidRPr="000C5499">
              <w:t>th and safety and where applicable contracts of training such as apprenticeships.</w:t>
            </w:r>
          </w:p>
        </w:tc>
      </w:tr>
    </w:tbl>
    <w:p w:rsidR="00000000" w:rsidRPr="000C5499" w:rsidP="000C5499">
      <w:pPr>
        <w:pStyle w:val="BodyText"/>
      </w:pPr>
    </w:p>
    <w:p w:rsidR="00000000" w:rsidRPr="000C5499" w:rsidP="000C5499">
      <w:pPr>
        <w:pStyle w:val="AllowPageBreak"/>
      </w:pPr>
    </w:p>
    <w:p w:rsidR="00000000" w:rsidRPr="000C5499" w:rsidP="000C5499">
      <w:pPr>
        <w:pStyle w:val="Heading1"/>
      </w:pPr>
      <w:bookmarkStart w:id="5" w:name="O_584029"/>
      <w:bookmarkEnd w:id="5"/>
      <w:r w:rsidRPr="000C5499">
        <w:t>Pre-Requisites</w:t>
      </w:r>
    </w:p>
    <w:tbl>
      <w:tblPr>
        <w:tblW w:w="0" w:type="auto"/>
        <w:tblLayout w:type="fixed"/>
        <w:tblCellMar>
          <w:left w:w="62" w:type="dxa"/>
          <w:right w:w="62" w:type="dxa"/>
        </w:tblCellMar>
        <w:tblLook w:val="0000"/>
      </w:tblPr>
      <w:tblGrid>
        <w:gridCol w:w="2700"/>
        <w:gridCol w:w="1440"/>
        <w:gridCol w:w="4320"/>
      </w:tblGrid>
      <w:tr w:rsidTr="000920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rPr>
                <w:rStyle w:val="SpecialBold"/>
              </w:rPr>
              <w:t xml:space="preserve">4) </w:t>
            </w:r>
          </w:p>
        </w:tc>
      </w:tr>
      <w:tr w:rsidTr="000920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rPr>
                <w:rStyle w:val="SpecialBold"/>
              </w:rPr>
              <w:t>4.1)</w:t>
            </w:r>
          </w:p>
        </w:tc>
      </w:tr>
      <w:tr w:rsidTr="000920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Granting competency in this unit shall be made only after competency in the following unit(s) has/have been confirmed.</w:t>
            </w:r>
          </w:p>
        </w:tc>
      </w:tr>
      <w:tr w:rsidTr="000920FC">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 xml:space="preserve">UEENEEA101A </w:t>
            </w:r>
          </w:p>
        </w:tc>
        <w:tc>
          <w:tcPr>
            <w:tcW w:w="432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Assemble electronic components</w:t>
            </w:r>
          </w:p>
        </w:tc>
      </w:tr>
      <w:tr w:rsidTr="000920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UEENEEA102A</w:t>
            </w:r>
          </w:p>
        </w:tc>
        <w:tc>
          <w:tcPr>
            <w:tcW w:w="432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t>Select electronic components for assembly</w:t>
            </w:r>
          </w:p>
        </w:tc>
      </w:tr>
    </w:tbl>
    <w:p w:rsidR="00000000" w:rsidRPr="000C5499" w:rsidP="000C549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920F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rPr>
                <w:rStyle w:val="SpecialBold"/>
              </w:rPr>
              <w:t xml:space="preserve">4.2) </w:t>
            </w:r>
          </w:p>
        </w:tc>
      </w:tr>
      <w:tr w:rsidTr="000920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Participants are best equipped to achieve competency in this unit if they have reading, writing and Numeracy skills indicated by the following scales. Description of each scale is given in Volume 2, Part 3 ‘Literacy and Numeracy’</w:t>
            </w:r>
          </w:p>
        </w:tc>
      </w:tr>
      <w:tr w:rsidTr="000920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Reading</w:t>
            </w:r>
          </w:p>
        </w:tc>
        <w:tc>
          <w:tcPr>
            <w:tcW w:w="81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3</w:t>
            </w:r>
          </w:p>
        </w:tc>
        <w:tc>
          <w:tcPr>
            <w:tcW w:w="99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Writing</w:t>
            </w:r>
          </w:p>
        </w:tc>
        <w:tc>
          <w:tcPr>
            <w:tcW w:w="90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3</w:t>
            </w:r>
          </w:p>
        </w:tc>
        <w:tc>
          <w:tcPr>
            <w:tcW w:w="12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Numeracy</w:t>
            </w:r>
          </w:p>
        </w:tc>
        <w:tc>
          <w:tcPr>
            <w:tcW w:w="72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t>3</w:t>
            </w:r>
          </w:p>
        </w:tc>
      </w:tr>
    </w:tbl>
    <w:p w:rsidR="00000000" w:rsidRPr="000C5499" w:rsidP="000C5499">
      <w:pPr>
        <w:pStyle w:val="BodyText"/>
      </w:pPr>
    </w:p>
    <w:p w:rsidR="00000000" w:rsidRPr="000C5499" w:rsidP="000C5499">
      <w:pPr>
        <w:pStyle w:val="AllowPageBreak"/>
      </w:pPr>
    </w:p>
    <w:p w:rsidR="00000000" w:rsidRPr="000C5499" w:rsidP="000C5499">
      <w:pPr>
        <w:pStyle w:val="Heading1"/>
      </w:pPr>
      <w:bookmarkStart w:id="6" w:name="O_584028"/>
      <w:bookmarkEnd w:id="6"/>
      <w:r w:rsidRPr="000C5499">
        <w:t>Employability Skills Information</w:t>
      </w:r>
    </w:p>
    <w:tbl>
      <w:tblPr>
        <w:tblW w:w="0" w:type="auto"/>
        <w:tblLayout w:type="fixed"/>
        <w:tblCellMar>
          <w:left w:w="62" w:type="dxa"/>
          <w:right w:w="62" w:type="dxa"/>
        </w:tblCellMar>
        <w:tblLook w:val="0000"/>
      </w:tblPr>
      <w:tblGrid>
        <w:gridCol w:w="2700"/>
        <w:gridCol w:w="5760"/>
      </w:tblGrid>
      <w:tr w:rsidTr="000920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rPr>
                <w:rStyle w:val="SpecialBold"/>
              </w:rPr>
              <w:t xml:space="preserve">5) </w:t>
            </w:r>
          </w:p>
        </w:tc>
      </w:tr>
      <w:tr w:rsidTr="000920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t xml:space="preserve">The required outcomes described in this unit of competency contain applicable facets of Employability Skills. The Employability Skills Summary </w:t>
            </w:r>
            <w:r w:rsidRPr="000C5499">
              <w:t>of the qualification in which this unit of competency is packaged will assist in identifying Employability Skill requirements.</w:t>
            </w:r>
          </w:p>
        </w:tc>
      </w:tr>
    </w:tbl>
    <w:p w:rsidR="00000000" w:rsidRPr="000C5499" w:rsidP="000C5499">
      <w:pPr>
        <w:pStyle w:val="BodyText"/>
      </w:pPr>
    </w:p>
    <w:p w:rsidR="00000000" w:rsidRPr="000C5499" w:rsidP="000C5499">
      <w:pPr>
        <w:pStyle w:val="AllowPageBreak"/>
      </w:pPr>
    </w:p>
    <w:p w:rsidR="00000000" w:rsidRPr="000C5499" w:rsidP="000C5499">
      <w:pPr>
        <w:pStyle w:val="Heading1"/>
      </w:pPr>
      <w:bookmarkStart w:id="7" w:name="O_584027"/>
      <w:bookmarkEnd w:id="7"/>
      <w:r w:rsidRPr="000C5499">
        <w:t>Elements and Performance Criteria Pre-Content</w:t>
      </w:r>
    </w:p>
    <w:tbl>
      <w:tblPr>
        <w:tblW w:w="0" w:type="auto"/>
        <w:tblLayout w:type="fixed"/>
        <w:tblCellMar>
          <w:left w:w="62" w:type="dxa"/>
          <w:right w:w="62" w:type="dxa"/>
        </w:tblCellMar>
        <w:tblLook w:val="0000"/>
      </w:tblPr>
      <w:tblGrid>
        <w:gridCol w:w="2700"/>
        <w:gridCol w:w="5760"/>
      </w:tblGrid>
      <w:tr w:rsidTr="000920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rPr>
                <w:rStyle w:val="SpecialBold"/>
              </w:rPr>
              <w:t>6)</w:t>
            </w:r>
            <w:r w:rsidRPr="000C5499">
              <w:t xml:space="preserve"> Elements describe the essential outcomes of a competency stan</w:t>
            </w:r>
            <w:r w:rsidRPr="000C5499">
              <w:t>dard unit</w:t>
            </w:r>
          </w:p>
        </w:tc>
        <w:tc>
          <w:tcPr>
            <w:tcW w:w="576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t>Performance Criteria describe the required performance needed to demonstrate achievement of the element. Assessment of performance is to be consistent with the Evidence Guide.</w:t>
            </w:r>
          </w:p>
        </w:tc>
      </w:tr>
    </w:tbl>
    <w:p w:rsidR="00000000" w:rsidRPr="000C5499" w:rsidP="000C5499">
      <w:pPr>
        <w:pStyle w:val="BodyText"/>
      </w:pPr>
    </w:p>
    <w:p w:rsidR="00000000" w:rsidRPr="000C5499" w:rsidP="000C5499">
      <w:pPr>
        <w:pStyle w:val="AllowPageBreak"/>
      </w:pPr>
    </w:p>
    <w:p w:rsidR="00000000" w:rsidRPr="000C5499" w:rsidP="000C5499">
      <w:pPr>
        <w:pStyle w:val="Heading1"/>
      </w:pPr>
      <w:bookmarkStart w:id="8" w:name="O_584026"/>
      <w:bookmarkEnd w:id="8"/>
      <w:r w:rsidRPr="000C549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920F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rPr>
                <w:rStyle w:val="SpecialBold"/>
              </w:rPr>
              <w:t>PERFORMANCE CRITERIA</w:t>
            </w:r>
          </w:p>
        </w:tc>
      </w:tr>
      <w:tr w:rsidTr="000920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1</w:t>
            </w:r>
          </w:p>
        </w:tc>
        <w:tc>
          <w:tcPr>
            <w:tcW w:w="2296"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Prepare to set-up machine.</w:t>
            </w:r>
          </w:p>
        </w:tc>
        <w:tc>
          <w:tcPr>
            <w:tcW w:w="90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1.1</w:t>
            </w:r>
          </w:p>
        </w:tc>
        <w:tc>
          <w:tcPr>
            <w:tcW w:w="48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OHS procedures for a given work area are identified, obtained and understood</w:t>
            </w:r>
          </w:p>
        </w:tc>
      </w:tr>
      <w:tr w:rsidTr="000920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1.2</w:t>
            </w:r>
          </w:p>
        </w:tc>
        <w:tc>
          <w:tcPr>
            <w:tcW w:w="48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Established OHS risk control measures for work preparation are followed.</w:t>
            </w:r>
          </w:p>
        </w:tc>
      </w:tr>
      <w:tr w:rsidTr="000920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1.3</w:t>
            </w:r>
          </w:p>
        </w:tc>
        <w:tc>
          <w:tcPr>
            <w:tcW w:w="48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Work instructions are obtained and understood</w:t>
            </w:r>
          </w:p>
        </w:tc>
      </w:tr>
      <w:tr w:rsidTr="000920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1.4</w:t>
            </w:r>
          </w:p>
        </w:tc>
        <w:tc>
          <w:tcPr>
            <w:tcW w:w="48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Advice is sought from the work supervisor to ensure that work is co-ordinated effectively with others</w:t>
            </w:r>
          </w:p>
        </w:tc>
      </w:tr>
      <w:tr w:rsidTr="000920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1.5</w:t>
            </w:r>
          </w:p>
        </w:tc>
        <w:tc>
          <w:tcPr>
            <w:tcW w:w="48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Materials required for the work are obtained in accordance with established routines and proce</w:t>
            </w:r>
            <w:r w:rsidRPr="000C5499">
              <w:t>dures</w:t>
            </w:r>
          </w:p>
        </w:tc>
      </w:tr>
      <w:tr w:rsidTr="000920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1.6</w:t>
            </w:r>
          </w:p>
        </w:tc>
        <w:tc>
          <w:tcPr>
            <w:tcW w:w="48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Tools, equipment and testing devices needed to carry out the work are obtained and checked for correct operation and safety</w:t>
            </w:r>
          </w:p>
        </w:tc>
      </w:tr>
      <w:tr w:rsidTr="000920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2</w:t>
            </w:r>
          </w:p>
        </w:tc>
        <w:tc>
          <w:tcPr>
            <w:tcW w:w="2296"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Set-up machine.</w:t>
            </w:r>
          </w:p>
        </w:tc>
        <w:tc>
          <w:tcPr>
            <w:tcW w:w="90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2.1</w:t>
            </w:r>
          </w:p>
        </w:tc>
        <w:tc>
          <w:tcPr>
            <w:tcW w:w="48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Established OHS risk control work measures are followed</w:t>
            </w:r>
          </w:p>
        </w:tc>
      </w:tr>
      <w:tr w:rsidTr="000920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2.2</w:t>
            </w:r>
          </w:p>
        </w:tc>
        <w:tc>
          <w:tcPr>
            <w:tcW w:w="48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Machines ar</w:t>
            </w:r>
            <w:r w:rsidRPr="000C5499">
              <w:t>e checked as being isolated where necessary in strict accordance OHS requirements and procedures</w:t>
            </w:r>
          </w:p>
        </w:tc>
      </w:tr>
      <w:tr w:rsidTr="000920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2.3</w:t>
            </w:r>
          </w:p>
        </w:tc>
        <w:tc>
          <w:tcPr>
            <w:tcW w:w="48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Electronic components are selected, sorted and placed in accordance with work instructions and established routines</w:t>
            </w:r>
          </w:p>
        </w:tc>
      </w:tr>
      <w:tr w:rsidTr="000920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2.4</w:t>
            </w:r>
          </w:p>
        </w:tc>
        <w:tc>
          <w:tcPr>
            <w:tcW w:w="48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Machine is set up in accordan</w:t>
            </w:r>
            <w:r w:rsidRPr="000C5499">
              <w:t>ce with routine instructions ensuring specified components are loaded correctly</w:t>
            </w:r>
          </w:p>
        </w:tc>
      </w:tr>
      <w:tr w:rsidTr="000920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2.5</w:t>
            </w:r>
          </w:p>
        </w:tc>
        <w:tc>
          <w:tcPr>
            <w:tcW w:w="48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Prescribed solutions are used to resolve issues with supply of component</w:t>
            </w:r>
          </w:p>
        </w:tc>
      </w:tr>
      <w:tr w:rsidTr="000920FC">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2.6</w:t>
            </w:r>
          </w:p>
        </w:tc>
        <w:tc>
          <w:tcPr>
            <w:tcW w:w="48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Routine quality checks are conducted to ensure components comply with enterprise/industry standards</w:t>
            </w:r>
          </w:p>
        </w:tc>
      </w:tr>
      <w:tr w:rsidTr="000920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2.7</w:t>
            </w:r>
          </w:p>
        </w:tc>
        <w:tc>
          <w:tcPr>
            <w:tcW w:w="48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Work is completed in acceptable timeframe given environment and workplace conditions</w:t>
            </w:r>
          </w:p>
        </w:tc>
      </w:tr>
      <w:tr w:rsidTr="000920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3</w:t>
            </w:r>
          </w:p>
        </w:tc>
        <w:tc>
          <w:tcPr>
            <w:tcW w:w="2296"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Complete work report.</w:t>
            </w:r>
          </w:p>
        </w:tc>
        <w:tc>
          <w:tcPr>
            <w:tcW w:w="90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3.1</w:t>
            </w:r>
          </w:p>
        </w:tc>
        <w:tc>
          <w:tcPr>
            <w:tcW w:w="48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Established OHS risk control measures for work completion are followed.</w:t>
            </w:r>
          </w:p>
        </w:tc>
      </w:tr>
      <w:tr w:rsidTr="000920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3.2</w:t>
            </w:r>
          </w:p>
        </w:tc>
        <w:tc>
          <w:tcPr>
            <w:tcW w:w="48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Operational checks of machine are carried out in accordance with established routines to ensure quality outcome are met</w:t>
            </w:r>
          </w:p>
        </w:tc>
      </w:tr>
      <w:tr w:rsidTr="000920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3.3</w:t>
            </w:r>
          </w:p>
        </w:tc>
        <w:tc>
          <w:tcPr>
            <w:tcW w:w="486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t>Work report forms/data sheets on components are co</w:t>
            </w:r>
            <w:r w:rsidRPr="000C5499">
              <w:t>mpleted accurately</w:t>
            </w:r>
          </w:p>
        </w:tc>
      </w:tr>
    </w:tbl>
    <w:p w:rsidR="00000000" w:rsidRPr="000C5499" w:rsidP="000C5499">
      <w:pPr>
        <w:pStyle w:val="BodyText"/>
      </w:pPr>
    </w:p>
    <w:p w:rsidR="00000000" w:rsidRPr="000C5499" w:rsidP="000C5499">
      <w:pPr>
        <w:pStyle w:val="AllowPageBreak"/>
      </w:pPr>
    </w:p>
    <w:p w:rsidR="00000000" w:rsidRPr="000C5499" w:rsidP="000C5499">
      <w:pPr>
        <w:pStyle w:val="Heading1"/>
      </w:pPr>
      <w:bookmarkStart w:id="9" w:name="O_584025"/>
      <w:bookmarkEnd w:id="9"/>
      <w:r w:rsidRPr="000C5499">
        <w:t>Required Skills and Knowledge</w:t>
      </w:r>
    </w:p>
    <w:tbl>
      <w:tblPr>
        <w:tblW w:w="0" w:type="auto"/>
        <w:tblLayout w:type="fixed"/>
        <w:tblCellMar>
          <w:left w:w="62" w:type="dxa"/>
          <w:right w:w="62" w:type="dxa"/>
        </w:tblCellMar>
        <w:tblLook w:val="0000"/>
      </w:tblPr>
      <w:tblGrid>
        <w:gridCol w:w="8460"/>
      </w:tblGrid>
      <w:tr w:rsidTr="000920F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rPr>
                <w:rStyle w:val="SpecialBold"/>
              </w:rPr>
              <w:t>REQUIRED SKILLS AND KNOWLEDGE</w:t>
            </w:r>
          </w:p>
        </w:tc>
      </w:tr>
      <w:tr w:rsidTr="000920F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rPr>
                <w:rStyle w:val="SpecialBold"/>
              </w:rPr>
              <w:t>8)</w:t>
            </w:r>
            <w:r w:rsidRPr="000C5499">
              <w:t xml:space="preserve"> This describes the essential skills and knowledge and their level, required for this unit.</w:t>
            </w:r>
          </w:p>
          <w:p w:rsidR="00000000" w:rsidRPr="000C5499" w:rsidP="000C5499">
            <w:pPr>
              <w:pStyle w:val="BodyText"/>
            </w:pPr>
            <w:r w:rsidRPr="000C5499">
              <w:t>Evidence must show that knowledge has been acquired of safe working practices and setting up and checking electronic component placement machines.</w:t>
            </w:r>
          </w:p>
          <w:p w:rsidR="00000000" w:rsidRPr="000C5499" w:rsidP="000C5499">
            <w:pPr>
              <w:pStyle w:val="BodyText"/>
            </w:pPr>
            <w:r w:rsidRPr="000C5499">
              <w:t>All knowledge and skills detailed in this unit should be contextualised to current industry practices and tec</w:t>
            </w:r>
            <w:r w:rsidRPr="000C5499">
              <w:t>hnologies.</w:t>
            </w:r>
          </w:p>
          <w:p w:rsidR="00000000" w:rsidRPr="000C5499" w:rsidP="000C5499">
            <w:pPr>
              <w:pStyle w:val="BodyText"/>
            </w:pPr>
            <w:r w:rsidRPr="000C5499">
              <w:rPr>
                <w:rStyle w:val="SpecialBold"/>
              </w:rPr>
              <w:t>KS01-EA103A</w:t>
            </w:r>
            <w:r w:rsidRPr="000C5499">
              <w:rPr>
                <w:rStyle w:val="SpecialBold"/>
              </w:rPr>
              <w:tab/>
              <w:t xml:space="preserve">              Electronic component assembly placement machines</w:t>
            </w:r>
          </w:p>
          <w:p w:rsidR="00000000" w:rsidRPr="000C5499" w:rsidP="000C5499">
            <w:pPr>
              <w:pStyle w:val="BodyText"/>
            </w:pPr>
            <w:r w:rsidRPr="000C5499">
              <w:t>Evidence shall show an understanding of electronic component place equipment, applying safe working practices and relevant Standards, Codes and Regulations to an extent i</w:t>
            </w:r>
            <w:r w:rsidRPr="000C5499">
              <w:t>ndicated by the following aspects:</w:t>
            </w:r>
          </w:p>
          <w:p w:rsidR="00000000" w:rsidRPr="000C5499" w:rsidP="000C5499">
            <w:pPr>
              <w:pStyle w:val="BodyText"/>
            </w:pPr>
            <w:r w:rsidRPr="000C5499">
              <w:t>T1.</w:t>
            </w:r>
            <w:r w:rsidRPr="000C5499">
              <w:tab/>
              <w:t>Process control requirements and procedures</w:t>
            </w:r>
          </w:p>
          <w:p w:rsidR="00000000" w:rsidRPr="000C5499" w:rsidP="000C5499">
            <w:pPr>
              <w:pStyle w:val="BodyText"/>
            </w:pPr>
            <w:r w:rsidRPr="000C5499">
              <w:t>T2.</w:t>
            </w:r>
            <w:r w:rsidRPr="000C5499">
              <w:tab/>
              <w:t>Solder paste composition encompassing:</w:t>
            </w:r>
          </w:p>
          <w:p w:rsidR="00000000" w:rsidRPr="000C5499" w:rsidP="000C5499">
            <w:pPr>
              <w:pStyle w:val="ListBullet"/>
            </w:pPr>
            <w:r w:rsidRPr="000C5499">
              <w:t>storage and shelf life</w:t>
            </w:r>
          </w:p>
          <w:p w:rsidR="00000000" w:rsidRPr="000C5499" w:rsidP="000C5499">
            <w:pPr>
              <w:pStyle w:val="ListBullet"/>
            </w:pPr>
            <w:r w:rsidRPr="000C5499">
              <w:t>preparation</w:t>
            </w:r>
          </w:p>
          <w:p w:rsidR="00000000" w:rsidRPr="000C5499" w:rsidP="000C5499">
            <w:pPr>
              <w:pStyle w:val="ListBullet"/>
            </w:pPr>
            <w:r w:rsidRPr="000C5499">
              <w:t>testing</w:t>
            </w:r>
          </w:p>
          <w:p w:rsidR="00000000" w:rsidRPr="000C5499" w:rsidP="000C5499">
            <w:pPr>
              <w:pStyle w:val="BodyText"/>
            </w:pPr>
            <w:r w:rsidRPr="000C5499">
              <w:t>T3.</w:t>
            </w:r>
            <w:r w:rsidRPr="000C5499">
              <w:tab/>
              <w:t>Solder paste deposition equipment encompassing:</w:t>
            </w:r>
          </w:p>
          <w:p w:rsidR="00000000" w:rsidRPr="000C5499" w:rsidP="000C5499">
            <w:pPr>
              <w:pStyle w:val="ListBullet"/>
            </w:pPr>
            <w:r w:rsidRPr="000C5499">
              <w:t>manual, setup and application</w:t>
            </w:r>
          </w:p>
          <w:p w:rsidR="00000000" w:rsidRPr="000C5499" w:rsidP="000C5499">
            <w:pPr>
              <w:pStyle w:val="ListBullet"/>
            </w:pPr>
            <w:r w:rsidRPr="000C5499">
              <w:t>aut</w:t>
            </w:r>
            <w:r w:rsidRPr="000C5499">
              <w:t>omatic,  setup and application</w:t>
            </w:r>
          </w:p>
          <w:p w:rsidR="00000000" w:rsidRPr="000C5499" w:rsidP="000C5499">
            <w:pPr>
              <w:pStyle w:val="BodyText"/>
            </w:pPr>
            <w:r w:rsidRPr="000C5499">
              <w:t>T4.</w:t>
            </w:r>
            <w:r w:rsidRPr="000C5499">
              <w:tab/>
              <w:t>Automatic component placement systems encompassing:</w:t>
            </w:r>
          </w:p>
          <w:p w:rsidR="00000000" w:rsidRPr="000C5499" w:rsidP="000C5499">
            <w:pPr>
              <w:pStyle w:val="ListBullet"/>
            </w:pPr>
            <w:r w:rsidRPr="000C5499">
              <w:t xml:space="preserve">set up </w:t>
            </w:r>
          </w:p>
          <w:p w:rsidR="00000000" w:rsidRPr="000C5499" w:rsidP="000C5499">
            <w:pPr>
              <w:pStyle w:val="ListBullet"/>
            </w:pPr>
            <w:r w:rsidRPr="000C5499">
              <w:t xml:space="preserve">operation </w:t>
            </w:r>
          </w:p>
          <w:p w:rsidR="00000000" w:rsidRPr="000C5499" w:rsidP="000C5499">
            <w:pPr>
              <w:pStyle w:val="ListBullet"/>
            </w:pPr>
            <w:r w:rsidRPr="000C5499">
              <w:t>adjustments</w:t>
            </w:r>
          </w:p>
          <w:p w:rsidR="00000000" w:rsidRPr="000C5499" w:rsidP="000C5499">
            <w:pPr>
              <w:pStyle w:val="BodyText"/>
            </w:pPr>
            <w:r w:rsidRPr="000C5499">
              <w:t>T5.</w:t>
            </w:r>
            <w:r w:rsidRPr="000C5499">
              <w:tab/>
              <w:t>Reflow ovens and solder reflow</w:t>
            </w:r>
          </w:p>
          <w:p w:rsidR="00000000" w:rsidRPr="000C5499" w:rsidP="000C5499">
            <w:pPr>
              <w:pStyle w:val="BodyText"/>
            </w:pPr>
            <w:r w:rsidRPr="000C5499">
              <w:t>T6.</w:t>
            </w:r>
            <w:r w:rsidRPr="000C5499">
              <w:tab/>
              <w:t>Cleaning agents and techniques</w:t>
            </w:r>
          </w:p>
          <w:p w:rsidR="00000000" w:rsidRPr="000C5499" w:rsidP="000C5499">
            <w:pPr>
              <w:pStyle w:val="BodyText"/>
            </w:pPr>
            <w:r w:rsidRPr="000C5499">
              <w:t>T7</w:t>
            </w:r>
            <w:r w:rsidRPr="000C5499">
              <w:tab/>
              <w:t>Inspection methods and procedures</w:t>
            </w:r>
          </w:p>
        </w:tc>
      </w:tr>
    </w:tbl>
    <w:p w:rsidR="00000000" w:rsidRPr="000C5499" w:rsidP="000C5499">
      <w:pPr>
        <w:pStyle w:val="BodyText"/>
      </w:pPr>
    </w:p>
    <w:p w:rsidR="00000000" w:rsidRPr="000C5499" w:rsidP="000C5499">
      <w:pPr>
        <w:pStyle w:val="AllowPageBreak"/>
      </w:pPr>
    </w:p>
    <w:p w:rsidR="00000000" w:rsidRPr="000C5499" w:rsidP="000C5499">
      <w:pPr>
        <w:pStyle w:val="Heading1"/>
      </w:pPr>
      <w:bookmarkStart w:id="10" w:name="O_584024"/>
      <w:bookmarkEnd w:id="10"/>
      <w:r w:rsidRPr="000C5499">
        <w:t>Evidence Guide</w:t>
      </w:r>
    </w:p>
    <w:tbl>
      <w:tblPr>
        <w:tblW w:w="0" w:type="auto"/>
        <w:tblLayout w:type="fixed"/>
        <w:tblCellMar>
          <w:left w:w="62" w:type="dxa"/>
          <w:right w:w="62" w:type="dxa"/>
        </w:tblCellMar>
        <w:tblLook w:val="0000"/>
      </w:tblPr>
      <w:tblGrid>
        <w:gridCol w:w="8460"/>
      </w:tblGrid>
      <w:tr w:rsidTr="000920F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rPr>
                <w:rStyle w:val="SpecialBold"/>
              </w:rPr>
              <w:t>EVIDENCE GUIDE</w:t>
            </w:r>
          </w:p>
        </w:tc>
      </w:tr>
      <w:tr w:rsidTr="000920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rPr>
                <w:rStyle w:val="SpecialBold"/>
              </w:rPr>
              <w:t>9)</w:t>
            </w:r>
            <w:r w:rsidRPr="000C5499">
              <w:t xml:space="preserve"> This provides essential advice for assessment of the unit. It must be read in conjunction with the performance criteria and the range statement of the unit and the Training Package Assessment Guidelines.</w:t>
            </w:r>
          </w:p>
          <w:p w:rsidR="00000000" w:rsidRPr="000C5499" w:rsidP="000C5499">
            <w:pPr>
              <w:pStyle w:val="BodyText"/>
            </w:pPr>
            <w:r w:rsidRPr="000C5499">
              <w:t>The Evidence Guide forms an integral part of this unit. It must be used in conjunction with all parts of this unit and performed in accordance with the Assessment Guidelines of this Training Package.</w:t>
            </w:r>
          </w:p>
        </w:tc>
      </w:tr>
    </w:tbl>
    <w:p w:rsidR="00000000" w:rsidRPr="000C5499" w:rsidP="000C5499">
      <w:pPr>
        <w:pStyle w:val="BodyText"/>
      </w:pPr>
    </w:p>
    <w:tbl>
      <w:tblPr>
        <w:tblW w:w="0" w:type="auto"/>
        <w:tblLayout w:type="fixed"/>
        <w:tblCellMar>
          <w:left w:w="62" w:type="dxa"/>
          <w:right w:w="62" w:type="dxa"/>
        </w:tblCellMar>
        <w:tblLook w:val="0000"/>
      </w:tblPr>
      <w:tblGrid>
        <w:gridCol w:w="1890"/>
        <w:gridCol w:w="6570"/>
      </w:tblGrid>
      <w:tr w:rsidTr="000920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rPr>
                <w:rStyle w:val="SpecialBold"/>
              </w:rPr>
              <w:t>9.1)</w:t>
            </w:r>
          </w:p>
        </w:tc>
      </w:tr>
      <w:tr w:rsidTr="000920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t xml:space="preserve">Longitudinal competency </w:t>
            </w:r>
            <w:r w:rsidRPr="000C5499">
              <w:t>development approaches to assessment, such as Profiling, require data to be reliably gathered in a form that can be consistently interpreted over time. This approach is best utilised in Apprenticeship programs and reduces assessment intervention. It is the</w:t>
            </w:r>
            <w:r w:rsidRPr="000C5499">
              <w:t xml:space="preserve"> industry-preferred model for apprenticeships. However, where summative (or final) assessment is used it is to include the application of the competency in the normal work environment or, at a minimum, the application of the competency in a realistically s</w:t>
            </w:r>
            <w:r w:rsidRPr="000C5499">
              <w:t>imulated work environment. It is recognised that, in some circumstances, assessment in part or full can occur outside the workplace. However, it must be in accord with industry and regulatory policy.</w:t>
            </w:r>
          </w:p>
          <w:p w:rsidR="00000000" w:rsidRPr="000C5499" w:rsidP="000C5499">
            <w:pPr>
              <w:pStyle w:val="BodyText"/>
            </w:pPr>
            <w:r w:rsidRPr="000C5499">
              <w:t>Methods chosen for a particular assessment will be influ</w:t>
            </w:r>
            <w:r w:rsidRPr="000C5499">
              <w:t>enced by various factors. These include the extent of the assessment, the most effective locations for the assessment activities to take place, access to physical resources, additional safety measures that may be required and the critical nature of the com</w:t>
            </w:r>
            <w:r w:rsidRPr="000C5499">
              <w:t>petencies being assessed.</w:t>
            </w:r>
          </w:p>
          <w:p w:rsidR="00000000" w:rsidRPr="000C5499" w:rsidP="000C5499">
            <w:pPr>
              <w:pStyle w:val="BodyText"/>
            </w:pPr>
            <w:r w:rsidRPr="000C5499">
              <w:t>The critical safety nature of working with electricity, electrical equipment, gas or any other hazardous substance/material carries risk in deeming a person competent. Sources of evidence need to be ‘rich’ in nature to minimise er</w:t>
            </w:r>
            <w:r w:rsidRPr="000C5499">
              <w:t>ror in judgment.</w:t>
            </w:r>
          </w:p>
          <w:p w:rsidR="00000000" w:rsidRPr="000C5499" w:rsidP="000C5499">
            <w:pPr>
              <w:pStyle w:val="BodyText"/>
            </w:pPr>
            <w:r w:rsidRPr="000C5499">
              <w:t>Activities associated with normal every day work have a bearing on the decision as to how much and how detailed the data gathered will contribute to its ‘richness’. Some skills are more critical to safety and operational requirem</w:t>
            </w:r>
            <w:r w:rsidRPr="000C5499">
              <w:t>ents while the same skills may be more or less frequently practised. These points are raised for the assessors to consider when choosing an assessment method and developing assessment instruments. Sample assessment instruments are included for Assessors in</w:t>
            </w:r>
            <w:r w:rsidRPr="000C5499">
              <w:t xml:space="preserve"> the Assessment Guidelines of this Training Package.</w:t>
            </w:r>
          </w:p>
        </w:tc>
      </w:tr>
    </w:tbl>
    <w:p w:rsidR="00000000" w:rsidRPr="000C5499" w:rsidP="000C5499">
      <w:pPr>
        <w:pStyle w:val="BodyText"/>
      </w:pPr>
    </w:p>
    <w:tbl>
      <w:tblPr>
        <w:tblW w:w="0" w:type="auto"/>
        <w:tblLayout w:type="fixed"/>
        <w:tblCellMar>
          <w:left w:w="62" w:type="dxa"/>
          <w:right w:w="62" w:type="dxa"/>
        </w:tblCellMar>
        <w:tblLook w:val="0000"/>
      </w:tblPr>
      <w:tblGrid>
        <w:gridCol w:w="1890"/>
        <w:gridCol w:w="1530"/>
        <w:gridCol w:w="5040"/>
      </w:tblGrid>
      <w:tr w:rsidTr="000920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rPr>
                <w:rStyle w:val="SpecialBold"/>
              </w:rPr>
              <w:t>9.2)</w:t>
            </w:r>
          </w:p>
        </w:tc>
      </w:tr>
      <w:tr w:rsidTr="000920FC">
        <w:tblPrEx>
          <w:tblW w:w="0" w:type="auto"/>
          <w:tblLayout w:type="fixed"/>
          <w:tblCellMar>
            <w:left w:w="62" w:type="dxa"/>
            <w:right w:w="62" w:type="dxa"/>
          </w:tblCellMar>
          <w:tblLook w:val="0000"/>
        </w:tblPrEx>
        <w:trPr>
          <w:trHeight w:val="742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t>Before the critical aspects of evidence are considered all prerequisites must be met.</w:t>
            </w:r>
          </w:p>
          <w:p w:rsidR="00000000" w:rsidRPr="000C5499" w:rsidP="000C5499">
            <w:pPr>
              <w:pStyle w:val="BodyText"/>
            </w:pPr>
            <w:r w:rsidRPr="000C5499">
              <w:t>Evidence for competence in thi</w:t>
            </w:r>
            <w:r w:rsidRPr="000C5499">
              <w:t>s unit must be considered holistically. Each Element and associated performance criteria shall be demonstrated on at least two occasions in accordance with the ‘Assessment Guidelines – UEE11’.  Evidence shall also comprise:</w:t>
            </w:r>
          </w:p>
          <w:p w:rsidR="00000000" w:rsidRPr="000C5499" w:rsidP="000C5499">
            <w:pPr>
              <w:pStyle w:val="ListBullet"/>
            </w:pPr>
            <w:r w:rsidRPr="000C5499">
              <w:t>A representative body of work p</w:t>
            </w:r>
            <w:r w:rsidRPr="000C5499">
              <w:t>erformance demonstrated within the timeframes typically expected of the discipline, work function and industrial environment. In particular this shall incorporate evidence that shows a candidate is able to:</w:t>
            </w:r>
          </w:p>
          <w:p w:rsidR="00000000" w:rsidRPr="000C5499" w:rsidP="000C5499">
            <w:pPr>
              <w:pStyle w:val="ListBullet2"/>
            </w:pPr>
            <w:r w:rsidRPr="000C5499">
              <w:t>Implement Occupational Health and Safety workplace procedures and practices including the use of risk control measures as specified in the performance criteria and range statement</w:t>
            </w:r>
          </w:p>
          <w:p w:rsidR="00000000" w:rsidRPr="000C5499" w:rsidP="000C5499">
            <w:pPr>
              <w:pStyle w:val="ListBullet2"/>
            </w:pPr>
            <w:r w:rsidRPr="000C5499">
              <w:t>Apply sustainable energy principles and practices as specified in the perfor</w:t>
            </w:r>
            <w:r w:rsidRPr="000C5499">
              <w:t>mance criteria and range statement</w:t>
            </w:r>
          </w:p>
          <w:p w:rsidR="00000000" w:rsidRPr="000C5499" w:rsidP="000C5499">
            <w:pPr>
              <w:pStyle w:val="ListBullet2"/>
            </w:pPr>
            <w:r w:rsidRPr="000C5499">
              <w:t>Demonstrate an understanding of the essential knowledge and associated skills as described in this unit.  It may be required by some jurisdictions that RTOs provide a percentile graded result for the purpose of regulatory</w:t>
            </w:r>
            <w:r w:rsidRPr="000C5499">
              <w:t xml:space="preserve"> or licensing requirements.   </w:t>
            </w:r>
          </w:p>
          <w:p w:rsidR="00000000" w:rsidRPr="000C5499" w:rsidP="000C5499">
            <w:pPr>
              <w:pStyle w:val="ListBullet2"/>
            </w:pPr>
            <w:r w:rsidRPr="000C5499">
              <w:t>Demonstrate an appropriate level of skills enabling employment</w:t>
            </w:r>
          </w:p>
          <w:p w:rsidR="00000000" w:rsidRPr="000C5499" w:rsidP="000C5499">
            <w:pPr>
              <w:pStyle w:val="ListBullet2"/>
            </w:pPr>
            <w:r w:rsidRPr="000C5499">
              <w:t>Conduct work observing the relevant Anti Discrimination legislation, regulations, polices and workplace procedures</w:t>
            </w:r>
          </w:p>
          <w:p w:rsidR="00000000" w:rsidRPr="000C5499" w:rsidP="000C5499">
            <w:pPr>
              <w:pStyle w:val="ListBullet"/>
            </w:pPr>
            <w:r w:rsidRPr="000C5499">
              <w:t>Demonstrated consistent performance across a r</w:t>
            </w:r>
            <w:r w:rsidRPr="000C5499">
              <w:t>epresentative range of contexts from the prescribed items below:</w:t>
            </w:r>
          </w:p>
          <w:p w:rsidR="00000000" w:rsidP="000C5499">
            <w:pPr>
              <w:pStyle w:val="ListBullet2"/>
              <w:rPr>
                <w:lang w:val="en-NZ"/>
              </w:rPr>
            </w:pPr>
            <w:r w:rsidRPr="000C5499">
              <w:t>Set-up and check electronic component placement machines as described in 8) and including:</w:t>
            </w:r>
          </w:p>
        </w:tc>
      </w:tr>
      <w:tr w:rsidTr="000920FC">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A</w:t>
            </w:r>
          </w:p>
        </w:tc>
        <w:tc>
          <w:tcPr>
            <w:tcW w:w="504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Following assembly job specifications.</w:t>
            </w:r>
          </w:p>
        </w:tc>
      </w:tr>
      <w:tr w:rsidTr="000920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B</w:t>
            </w:r>
          </w:p>
        </w:tc>
        <w:tc>
          <w:tcPr>
            <w:tcW w:w="504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Identifying components.</w:t>
            </w:r>
          </w:p>
        </w:tc>
      </w:tr>
      <w:tr w:rsidTr="000920FC">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C</w:t>
            </w:r>
          </w:p>
        </w:tc>
        <w:tc>
          <w:tcPr>
            <w:tcW w:w="504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Handling components without damaging them.</w:t>
            </w:r>
          </w:p>
        </w:tc>
      </w:tr>
      <w:tr w:rsidTr="000920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D</w:t>
            </w:r>
          </w:p>
        </w:tc>
        <w:tc>
          <w:tcPr>
            <w:tcW w:w="504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Conducting machine operation checks.</w:t>
            </w:r>
          </w:p>
        </w:tc>
      </w:tr>
      <w:tr w:rsidTr="000920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E</w:t>
            </w:r>
          </w:p>
        </w:tc>
        <w:tc>
          <w:tcPr>
            <w:tcW w:w="504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Adhering to quality procedures.</w:t>
            </w:r>
          </w:p>
        </w:tc>
      </w:tr>
      <w:tr w:rsidTr="000920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F</w:t>
            </w:r>
          </w:p>
        </w:tc>
        <w:tc>
          <w:tcPr>
            <w:tcW w:w="504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t>Dealing with unplanned events by drawing on essential knowledge and skills to provide appropriate solutions incorporated in the holi</w:t>
            </w:r>
            <w:r w:rsidRPr="000C5499">
              <w:t>stic assessment with the above listed items.</w:t>
            </w:r>
          </w:p>
        </w:tc>
      </w:tr>
    </w:tbl>
    <w:p w:rsidR="00000000" w:rsidRPr="000C5499" w:rsidP="000C5499">
      <w:pPr>
        <w:pStyle w:val="BodyText"/>
      </w:pPr>
    </w:p>
    <w:tbl>
      <w:tblPr>
        <w:tblW w:w="0" w:type="auto"/>
        <w:tblLayout w:type="fixed"/>
        <w:tblCellMar>
          <w:left w:w="62" w:type="dxa"/>
          <w:right w:w="62" w:type="dxa"/>
        </w:tblCellMar>
        <w:tblLook w:val="0000"/>
      </w:tblPr>
      <w:tblGrid>
        <w:gridCol w:w="1890"/>
        <w:gridCol w:w="6570"/>
      </w:tblGrid>
      <w:tr w:rsidTr="000920F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rPr>
                <w:rStyle w:val="SpecialBold"/>
              </w:rPr>
              <w:t>9.3)</w:t>
            </w:r>
          </w:p>
        </w:tc>
      </w:tr>
      <w:tr w:rsidTr="000920F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t xml:space="preserve">This unit should be assessed as it relates to normal work practice using procedures, information and resources typical of a workplace. This </w:t>
            </w:r>
            <w:r w:rsidRPr="000C5499">
              <w:t>should include:</w:t>
            </w:r>
          </w:p>
          <w:p w:rsidR="00000000" w:rsidRPr="000C5499" w:rsidP="000C5499">
            <w:pPr>
              <w:pStyle w:val="ListBullet"/>
            </w:pPr>
            <w:r w:rsidRPr="000C5499">
              <w:t>OHS policy and work procedures and instructions.</w:t>
            </w:r>
          </w:p>
          <w:p w:rsidR="00000000" w:rsidRPr="000C5499" w:rsidP="000C5499">
            <w:pPr>
              <w:pStyle w:val="ListBullet"/>
            </w:pPr>
            <w:r w:rsidRPr="000C5499">
              <w:t>Suitable work environment, facilities, equipment and materials to undertake actual work as prescribed in this unit.</w:t>
            </w:r>
          </w:p>
          <w:p w:rsidR="00000000" w:rsidRPr="000C5499" w:rsidP="000C5499">
            <w:pPr>
              <w:pStyle w:val="BodyText"/>
            </w:pPr>
            <w:r w:rsidRPr="000C5499">
              <w:t>These should be used in the formal learning/assessment environment.</w:t>
            </w:r>
          </w:p>
          <w:p w:rsidR="00000000" w:rsidRPr="000C5499" w:rsidP="000C5499">
            <w:pPr>
              <w:pStyle w:val="BodyText"/>
            </w:pPr>
            <w:r w:rsidRPr="000C5499">
              <w:t>Note:</w:t>
            </w:r>
          </w:p>
          <w:p w:rsidR="00000000" w:rsidRPr="000C5499" w:rsidP="000C5499">
            <w:pPr>
              <w:pStyle w:val="BodyText"/>
            </w:pPr>
            <w:r w:rsidRPr="000C5499">
              <w:t>Where simulation is considered a suitable strategy for assessment it must ensure that the conditions for assessment are authentic and as far as possible reproduce and replicate the workplace and is consistent with the approved industry simulation policy.</w:t>
            </w:r>
          </w:p>
          <w:p w:rsidR="00000000" w:rsidRPr="000C5499" w:rsidP="000C5499">
            <w:pPr>
              <w:pStyle w:val="BodyText"/>
            </w:pPr>
            <w:r w:rsidRPr="000C5499">
              <w:t>T</w:t>
            </w:r>
            <w:r w:rsidRPr="000C5499">
              <w:t>he resources used for assessment should reflect current industry practices in relation to setting up and checking electronic component placement machines.</w:t>
            </w:r>
          </w:p>
        </w:tc>
      </w:tr>
    </w:tbl>
    <w:p w:rsidR="00000000" w:rsidRPr="000C5499" w:rsidP="000C5499">
      <w:pPr>
        <w:pStyle w:val="BodyText"/>
      </w:pPr>
    </w:p>
    <w:tbl>
      <w:tblPr>
        <w:tblW w:w="0" w:type="auto"/>
        <w:tblLayout w:type="fixed"/>
        <w:tblCellMar>
          <w:left w:w="62" w:type="dxa"/>
          <w:right w:w="62" w:type="dxa"/>
        </w:tblCellMar>
        <w:tblLook w:val="0000"/>
      </w:tblPr>
      <w:tblGrid>
        <w:gridCol w:w="1890"/>
        <w:gridCol w:w="6570"/>
      </w:tblGrid>
      <w:tr w:rsidTr="000920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rPr>
                <w:rStyle w:val="SpecialBold"/>
              </w:rPr>
              <w:t>9.4)</w:t>
            </w:r>
          </w:p>
        </w:tc>
      </w:tr>
      <w:tr w:rsidTr="000920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t>This unit shall be assessed by methods given in Volume 1, Part 3 ‘</w:t>
            </w:r>
            <w:r w:rsidRPr="000C5499">
              <w:t>Assessment Guidelines’.</w:t>
            </w:r>
          </w:p>
          <w:p w:rsidR="00000000" w:rsidRPr="000C5499" w:rsidP="000C5499">
            <w:pPr>
              <w:pStyle w:val="BodyText"/>
            </w:pPr>
            <w:r w:rsidRPr="000C5499">
              <w:t xml:space="preserve">Note: </w:t>
            </w:r>
            <w:r w:rsidRPr="000C5499">
              <w:br/>
              <w:t>Competent performance with inherent safe working practices is expected in the Industry to which this unit applies. This requires assessment in a structured environment which is primarily intended for learning/assessment and i</w:t>
            </w:r>
            <w:r w:rsidRPr="000C5499">
              <w:t>ncorporates all necessary equipment and facilities for learners to develop and demonstrate the essential knowledge and skills described in this unit.</w:t>
            </w:r>
          </w:p>
        </w:tc>
      </w:tr>
    </w:tbl>
    <w:p w:rsidR="00000000" w:rsidRPr="000C5499" w:rsidP="000C5499">
      <w:pPr>
        <w:pStyle w:val="BodyText"/>
      </w:pPr>
    </w:p>
    <w:tbl>
      <w:tblPr>
        <w:tblW w:w="0" w:type="auto"/>
        <w:tblLayout w:type="fixed"/>
        <w:tblCellMar>
          <w:left w:w="62" w:type="dxa"/>
          <w:right w:w="62" w:type="dxa"/>
        </w:tblCellMar>
        <w:tblLook w:val="0000"/>
      </w:tblPr>
      <w:tblGrid>
        <w:gridCol w:w="1890"/>
        <w:gridCol w:w="1530"/>
        <w:gridCol w:w="5040"/>
      </w:tblGrid>
      <w:tr w:rsidTr="000920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rPr>
                <w:rStyle w:val="SpecialBold"/>
              </w:rPr>
              <w:t>9.5)</w:t>
            </w:r>
          </w:p>
        </w:tc>
      </w:tr>
      <w:tr w:rsidTr="000920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For optimisation of training and assessment effort, competency development in this unit may be arranged concurrently with unit:</w:t>
            </w:r>
          </w:p>
        </w:tc>
      </w:tr>
      <w:tr w:rsidTr="000920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UEENEEA101A</w:t>
            </w:r>
          </w:p>
        </w:tc>
        <w:tc>
          <w:tcPr>
            <w:tcW w:w="504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Assemble electronic components</w:t>
            </w:r>
          </w:p>
        </w:tc>
      </w:tr>
      <w:tr w:rsidTr="000920F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t>UEENEEA102A</w:t>
            </w:r>
          </w:p>
        </w:tc>
        <w:tc>
          <w:tcPr>
            <w:tcW w:w="504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t>Select electronic components for assembly</w:t>
            </w:r>
          </w:p>
        </w:tc>
      </w:tr>
    </w:tbl>
    <w:p w:rsidR="00000000" w:rsidRPr="000C5499" w:rsidP="000C5499">
      <w:pPr>
        <w:pStyle w:val="BodyText"/>
      </w:pPr>
    </w:p>
    <w:p w:rsidR="00000000" w:rsidRPr="000C5499" w:rsidP="000C5499">
      <w:pPr>
        <w:pStyle w:val="AllowPageBreak"/>
      </w:pPr>
    </w:p>
    <w:p w:rsidR="00000000" w:rsidRPr="000C5499" w:rsidP="000C5499">
      <w:pPr>
        <w:pStyle w:val="Heading1"/>
      </w:pPr>
      <w:bookmarkStart w:id="11" w:name="O_584023"/>
      <w:bookmarkEnd w:id="11"/>
      <w:r w:rsidRPr="000C5499">
        <w:t>Range S</w:t>
      </w:r>
      <w:r w:rsidRPr="000C5499">
        <w:t>tatement</w:t>
      </w:r>
    </w:p>
    <w:tbl>
      <w:tblPr>
        <w:tblW w:w="0" w:type="auto"/>
        <w:tblLayout w:type="fixed"/>
        <w:tblCellMar>
          <w:left w:w="62" w:type="dxa"/>
          <w:right w:w="62" w:type="dxa"/>
        </w:tblCellMar>
        <w:tblLook w:val="0000"/>
      </w:tblPr>
      <w:tblGrid>
        <w:gridCol w:w="8460"/>
      </w:tblGrid>
      <w:tr w:rsidTr="000920F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rPr>
                <w:rStyle w:val="SpecialBold"/>
              </w:rPr>
              <w:t>RANGE STATEMENT</w:t>
            </w:r>
          </w:p>
        </w:tc>
      </w:tr>
      <w:tr w:rsidTr="000920FC">
        <w:tblPrEx>
          <w:tblW w:w="0" w:type="auto"/>
          <w:tblLayout w:type="fixed"/>
          <w:tblCellMar>
            <w:left w:w="62" w:type="dxa"/>
            <w:right w:w="62" w:type="dxa"/>
          </w:tblCellMar>
          <w:tblLook w:val="0000"/>
        </w:tblPrEx>
        <w:trPr>
          <w:trHeight w:val="2441"/>
        </w:trPr>
        <w:tc>
          <w:tcPr>
            <w:tcW w:w="846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rPr>
                <w:rStyle w:val="SpecialBold"/>
              </w:rPr>
              <w:t>10)</w:t>
            </w:r>
            <w:r w:rsidRPr="000C5499">
              <w:t xml:space="preserve"> This relates to the unit as a whole providing the range of contexts and conditions to which the performance criteria apply. It allows for different work environments and situations that will affect performance.</w:t>
            </w:r>
          </w:p>
          <w:p w:rsidR="00000000" w:rsidRPr="000C5499" w:rsidP="000C5499">
            <w:pPr>
              <w:pStyle w:val="BodyText"/>
            </w:pPr>
            <w:r w:rsidRPr="000C5499">
              <w:t>This unit must be demonstrated by setting up and checking electronic component assembly machines in an environment designed specifically for the purpose.</w:t>
            </w:r>
          </w:p>
          <w:p w:rsidR="00000000" w:rsidRPr="000C5499" w:rsidP="000C5499">
            <w:pPr>
              <w:pStyle w:val="BodyText"/>
            </w:pPr>
            <w:r w:rsidRPr="000C5499">
              <w:t>Generic terms used throughout this Vocational Standard shall be regarded as part of the Range Statemen</w:t>
            </w:r>
            <w:r w:rsidRPr="000C5499">
              <w:t>t in which competency is demonstrated. The definition of these and other terms that apply are given in Volume 2, Part 2.1.</w:t>
            </w:r>
          </w:p>
        </w:tc>
      </w:tr>
    </w:tbl>
    <w:p w:rsidR="00000000" w:rsidRPr="000C5499" w:rsidP="000C5499">
      <w:pPr>
        <w:pStyle w:val="BodyText"/>
      </w:pPr>
    </w:p>
    <w:p w:rsidR="00000000" w:rsidRPr="000C5499" w:rsidP="000C5499">
      <w:pPr>
        <w:pStyle w:val="AllowPageBreak"/>
      </w:pPr>
    </w:p>
    <w:p w:rsidR="00000000" w:rsidRPr="000C5499" w:rsidP="000C5499">
      <w:pPr>
        <w:pStyle w:val="Heading1"/>
      </w:pPr>
      <w:bookmarkStart w:id="12" w:name="O_584022"/>
      <w:bookmarkEnd w:id="12"/>
      <w:r w:rsidRPr="000C5499">
        <w:t>Unit Sector(s)</w:t>
      </w:r>
    </w:p>
    <w:p w:rsidR="00000000" w:rsidRPr="000C5499" w:rsidP="000C5499">
      <w:pPr>
        <w:pStyle w:val="BodyText"/>
      </w:pPr>
      <w:r w:rsidRPr="000C5499">
        <w:t>Not applicable.</w:t>
      </w:r>
    </w:p>
    <w:p w:rsidR="00000000" w:rsidRPr="000C5499" w:rsidP="000C5499">
      <w:pPr>
        <w:pStyle w:val="AllowPageBreak"/>
      </w:pPr>
    </w:p>
    <w:p w:rsidR="00000000" w:rsidRPr="000C5499" w:rsidP="000C5499">
      <w:pPr>
        <w:pStyle w:val="Heading1"/>
      </w:pPr>
      <w:bookmarkStart w:id="13" w:name="O_584021"/>
      <w:bookmarkEnd w:id="13"/>
      <w:r w:rsidRPr="000C5499">
        <w:t>Competency Field</w:t>
      </w:r>
    </w:p>
    <w:tbl>
      <w:tblPr>
        <w:tblW w:w="0" w:type="auto"/>
        <w:tblLayout w:type="fixed"/>
        <w:tblCellMar>
          <w:left w:w="62" w:type="dxa"/>
          <w:right w:w="62" w:type="dxa"/>
        </w:tblCellMar>
        <w:tblLook w:val="0000"/>
      </w:tblPr>
      <w:tblGrid>
        <w:gridCol w:w="2700"/>
        <w:gridCol w:w="5760"/>
      </w:tblGrid>
      <w:tr w:rsidTr="000920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C5499">
            <w:pPr>
              <w:pStyle w:val="BodyText"/>
              <w:rPr>
                <w:lang w:val="en-NZ"/>
              </w:rPr>
            </w:pPr>
            <w:r w:rsidRPr="000C5499">
              <w:rPr>
                <w:rStyle w:val="SpecialBold"/>
              </w:rPr>
              <w:t xml:space="preserve">11) </w:t>
            </w:r>
          </w:p>
        </w:tc>
      </w:tr>
      <w:tr w:rsidTr="000920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5499" w:rsidP="000C5499">
            <w:pPr>
              <w:pStyle w:val="BodyText"/>
            </w:pPr>
            <w:r w:rsidRPr="000C5499">
              <w:t>Assembly</w:t>
            </w:r>
          </w:p>
        </w:tc>
      </w:tr>
    </w:tbl>
    <w:p w:rsidR="00000000" w:rsidRPr="000C5499" w:rsidP="000C5499">
      <w:pPr>
        <w:pStyle w:val="BodyText"/>
      </w:pPr>
    </w:p>
    <w:p w:rsidR="00000000" w:rsidRPr="000C5499" w:rsidP="000C5499"/>
    <w:sectPr w:rsidSect="000C54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99" w:rsidRPr="000920FC" w:rsidP="000920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0FC" w:rsidP="000C54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920FC" w:rsidP="000C549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920FC" w:rsidP="000C54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99" w:rsidRPr="000920FC" w:rsidP="000920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0FC" w:rsidRPr="002D2AF8" w:rsidP="000C5499">
    <w:pPr>
      <w:pStyle w:val="Header"/>
      <w:framePr w:wrap="around"/>
    </w:pPr>
    <w:r>
      <w:fldChar w:fldCharType="begin"/>
    </w:r>
    <w:r>
      <w:instrText xml:space="preserve"> TITLE   \* MERGEFORMAT </w:instrText>
    </w:r>
    <w:r>
      <w:fldChar w:fldCharType="separate"/>
    </w:r>
    <w:r>
      <w:t>UEENEEA103A Set up and check electronic component assembly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920FC" w:rsidP="000C54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EAEB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9A22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B2E7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4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499"/>
    <w:pPr>
      <w:spacing w:before="360" w:after="60"/>
      <w:outlineLvl w:val="0"/>
    </w:pPr>
    <w:rPr>
      <w:sz w:val="32"/>
    </w:rPr>
  </w:style>
  <w:style w:type="paragraph" w:styleId="Heading2">
    <w:name w:val="heading 2"/>
    <w:basedOn w:val="HeadingBase"/>
    <w:next w:val="BodyText"/>
    <w:link w:val="Heading2Char"/>
    <w:qFormat/>
    <w:rsid w:val="000C5499"/>
    <w:pPr>
      <w:keepLines/>
      <w:spacing w:before="240" w:after="120"/>
      <w:outlineLvl w:val="1"/>
    </w:pPr>
    <w:rPr>
      <w:sz w:val="28"/>
      <w:szCs w:val="40"/>
    </w:rPr>
  </w:style>
  <w:style w:type="paragraph" w:styleId="Heading3">
    <w:name w:val="heading 3"/>
    <w:basedOn w:val="HeadingBase"/>
    <w:next w:val="BodyText"/>
    <w:link w:val="Heading3Char"/>
    <w:qFormat/>
    <w:rsid w:val="000C5499"/>
    <w:pPr>
      <w:spacing w:before="180" w:after="120"/>
      <w:outlineLvl w:val="2"/>
    </w:pPr>
    <w:rPr>
      <w:spacing w:val="-10"/>
      <w:kern w:val="32"/>
    </w:rPr>
  </w:style>
  <w:style w:type="paragraph" w:styleId="Heading4">
    <w:name w:val="heading 4"/>
    <w:basedOn w:val="HeadingBase"/>
    <w:next w:val="BodyText"/>
    <w:link w:val="Heading4Char"/>
    <w:qFormat/>
    <w:rsid w:val="000C5499"/>
    <w:pPr>
      <w:spacing w:before="160" w:after="120"/>
      <w:outlineLvl w:val="3"/>
    </w:pPr>
    <w:rPr>
      <w:sz w:val="22"/>
    </w:rPr>
  </w:style>
  <w:style w:type="paragraph" w:styleId="Heading5">
    <w:name w:val="heading 5"/>
    <w:basedOn w:val="HeadingBase"/>
    <w:next w:val="Normal"/>
    <w:link w:val="Heading5Char"/>
    <w:qFormat/>
    <w:rsid w:val="000C5499"/>
    <w:pPr>
      <w:spacing w:before="80"/>
      <w:outlineLvl w:val="4"/>
    </w:pPr>
    <w:rPr>
      <w:color w:val="918585"/>
      <w:sz w:val="20"/>
    </w:rPr>
  </w:style>
  <w:style w:type="paragraph" w:styleId="Heading6">
    <w:name w:val="heading 6"/>
    <w:basedOn w:val="HeadingBase"/>
    <w:next w:val="Normal"/>
    <w:link w:val="Heading6Char"/>
    <w:qFormat/>
    <w:rsid w:val="000C5499"/>
    <w:pPr>
      <w:spacing w:before="60"/>
      <w:outlineLvl w:val="5"/>
    </w:pPr>
    <w:rPr>
      <w:color w:val="918585"/>
      <w:sz w:val="20"/>
    </w:rPr>
  </w:style>
  <w:style w:type="paragraph" w:styleId="Heading7">
    <w:name w:val="heading 7"/>
    <w:basedOn w:val="Normal"/>
    <w:next w:val="Normal"/>
    <w:link w:val="Heading7Char"/>
    <w:qFormat/>
    <w:rsid w:val="000C5499"/>
    <w:pPr>
      <w:ind w:left="720"/>
      <w:outlineLvl w:val="6"/>
    </w:pPr>
    <w:rPr>
      <w:i/>
    </w:rPr>
  </w:style>
  <w:style w:type="paragraph" w:styleId="Heading8">
    <w:name w:val="heading 8"/>
    <w:basedOn w:val="Normal"/>
    <w:next w:val="Normal"/>
    <w:link w:val="Heading8Char"/>
    <w:qFormat/>
    <w:rsid w:val="000C5499"/>
    <w:pPr>
      <w:ind w:left="720"/>
      <w:outlineLvl w:val="7"/>
    </w:pPr>
    <w:rPr>
      <w:i/>
    </w:rPr>
  </w:style>
  <w:style w:type="paragraph" w:styleId="Heading9">
    <w:name w:val="heading 9"/>
    <w:basedOn w:val="Normal"/>
    <w:next w:val="Normal"/>
    <w:link w:val="Heading9Char"/>
    <w:qFormat/>
    <w:rsid w:val="000C5499"/>
    <w:pPr>
      <w:ind w:left="720"/>
      <w:outlineLvl w:val="8"/>
    </w:pPr>
    <w:rPr>
      <w:i/>
    </w:rPr>
  </w:style>
  <w:style w:type="character" w:default="1" w:styleId="DefaultParagraphFont">
    <w:name w:val="Default Paragraph Font"/>
    <w:uiPriority w:val="1"/>
    <w:unhideWhenUsed/>
    <w:rsid w:val="000C54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499"/>
  </w:style>
  <w:style w:type="character" w:customStyle="1" w:styleId="Heading1Char">
    <w:name w:val="Heading 1 Char"/>
    <w:basedOn w:val="DefaultParagraphFont"/>
    <w:link w:val="Heading1"/>
    <w:rsid w:val="000C5499"/>
    <w:rPr>
      <w:rFonts w:ascii="Times New Roman" w:eastAsia="Times New Roman" w:hAnsi="Times New Roman" w:cs="Times New Roman"/>
      <w:b/>
      <w:sz w:val="32"/>
      <w:szCs w:val="20"/>
      <w:lang w:eastAsia="en-US"/>
    </w:rPr>
  </w:style>
  <w:style w:type="paragraph" w:styleId="BodyText">
    <w:name w:val="Body Text"/>
    <w:basedOn w:val="Normal"/>
    <w:link w:val="BodyTextChar"/>
    <w:rsid w:val="000C54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5499"/>
    <w:rPr>
      <w:rFonts w:ascii="Times New Roman" w:eastAsia="Times New Roman" w:hAnsi="Times New Roman" w:cs="Times New Roman"/>
      <w:sz w:val="24"/>
      <w:lang w:eastAsia="en-US"/>
    </w:rPr>
  </w:style>
  <w:style w:type="paragraph" w:styleId="ListBullet">
    <w:name w:val="List Bullet"/>
    <w:basedOn w:val="List"/>
    <w:rsid w:val="000C5499"/>
    <w:pPr>
      <w:numPr>
        <w:numId w:val="13"/>
      </w:numPr>
      <w:tabs>
        <w:tab w:val="clear" w:pos="340"/>
      </w:tabs>
      <w:spacing w:before="40" w:after="40"/>
    </w:pPr>
  </w:style>
  <w:style w:type="character" w:customStyle="1" w:styleId="SpecialBold">
    <w:name w:val="Special Bold"/>
    <w:basedOn w:val="DefaultParagraphFont"/>
    <w:rsid w:val="000C5499"/>
    <w:rPr>
      <w:b/>
      <w:spacing w:val="0"/>
    </w:rPr>
  </w:style>
  <w:style w:type="paragraph" w:styleId="ListBullet2">
    <w:name w:val="List Bullet 2"/>
    <w:basedOn w:val="List2"/>
    <w:rsid w:val="000C5499"/>
    <w:pPr>
      <w:numPr>
        <w:numId w:val="14"/>
      </w:numPr>
      <w:tabs>
        <w:tab w:val="clear" w:pos="680"/>
      </w:tabs>
    </w:pPr>
  </w:style>
  <w:style w:type="paragraph" w:customStyle="1" w:styleId="SuperHeading">
    <w:name w:val="SuperHeading"/>
    <w:basedOn w:val="Normal"/>
    <w:rsid w:val="000C5499"/>
    <w:pPr>
      <w:spacing w:before="240" w:after="120"/>
      <w:outlineLvl w:val="0"/>
    </w:pPr>
    <w:rPr>
      <w:rFonts w:ascii="Times New Roman" w:hAnsi="Times New Roman"/>
      <w:b/>
      <w:sz w:val="32"/>
    </w:rPr>
  </w:style>
  <w:style w:type="paragraph" w:customStyle="1" w:styleId="AllowPageBreak">
    <w:name w:val="AllowPageBreak"/>
    <w:rsid w:val="000C54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54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4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4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4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4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4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4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499"/>
    <w:rPr>
      <w:rFonts w:ascii="Courier New" w:eastAsia="Times New Roman" w:hAnsi="Courier New" w:cs="Times New Roman"/>
      <w:i/>
      <w:szCs w:val="20"/>
      <w:lang w:eastAsia="en-US"/>
    </w:rPr>
  </w:style>
  <w:style w:type="paragraph" w:customStyle="1" w:styleId="HeadingBase">
    <w:name w:val="Heading Base"/>
    <w:rsid w:val="000C54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499"/>
    <w:pPr>
      <w:tabs>
        <w:tab w:val="right" w:leader="dot" w:pos="9072"/>
      </w:tabs>
      <w:ind w:left="567"/>
    </w:pPr>
    <w:rPr>
      <w:szCs w:val="22"/>
    </w:rPr>
  </w:style>
  <w:style w:type="paragraph" w:customStyle="1" w:styleId="TOCBase">
    <w:name w:val="TOC Base"/>
    <w:rsid w:val="000C54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499"/>
    <w:pPr>
      <w:tabs>
        <w:tab w:val="right" w:leader="dot" w:pos="9072"/>
      </w:tabs>
      <w:spacing w:before="40" w:after="40"/>
      <w:ind w:left="284"/>
    </w:pPr>
    <w:rPr>
      <w:rFonts w:ascii="Times New Roman" w:hAnsi="Times New Roman"/>
    </w:rPr>
  </w:style>
  <w:style w:type="paragraph" w:styleId="TOC1">
    <w:name w:val="toc 1"/>
    <w:basedOn w:val="TOCBase"/>
    <w:next w:val="Normal"/>
    <w:rsid w:val="000C54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4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499"/>
    <w:rPr>
      <w:rFonts w:ascii="Times New Roman" w:eastAsia="Times New Roman" w:hAnsi="Times New Roman" w:cs="Times New Roman"/>
      <w:sz w:val="16"/>
      <w:lang w:eastAsia="en-US"/>
    </w:rPr>
  </w:style>
  <w:style w:type="paragraph" w:styleId="Title">
    <w:name w:val="Title"/>
    <w:basedOn w:val="HeadingBase"/>
    <w:link w:val="TitleChar"/>
    <w:qFormat/>
    <w:rsid w:val="000C5499"/>
    <w:pPr>
      <w:spacing w:before="5040"/>
      <w:jc w:val="center"/>
    </w:pPr>
    <w:rPr>
      <w:sz w:val="48"/>
      <w:szCs w:val="72"/>
      <w:lang w:val="en-US"/>
    </w:rPr>
  </w:style>
  <w:style w:type="character" w:customStyle="1" w:styleId="TitleChar">
    <w:name w:val="Title Char"/>
    <w:basedOn w:val="DefaultParagraphFont"/>
    <w:link w:val="Title"/>
    <w:rsid w:val="000C54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499"/>
    <w:pPr>
      <w:tabs>
        <w:tab w:val="left" w:pos="3600"/>
        <w:tab w:val="left" w:pos="3958"/>
      </w:tabs>
    </w:pPr>
  </w:style>
  <w:style w:type="paragraph" w:styleId="List">
    <w:name w:val="List"/>
    <w:basedOn w:val="BodyText"/>
    <w:next w:val="BodyText"/>
    <w:rsid w:val="000C5499"/>
    <w:pPr>
      <w:tabs>
        <w:tab w:val="left" w:pos="340"/>
      </w:tabs>
      <w:spacing w:before="60" w:after="60"/>
      <w:ind w:left="340" w:hanging="340"/>
    </w:pPr>
  </w:style>
  <w:style w:type="paragraph" w:customStyle="1" w:styleId="Note">
    <w:name w:val="Note"/>
    <w:basedOn w:val="BodyText"/>
    <w:rsid w:val="000C54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499"/>
    <w:pPr>
      <w:framePr w:wrap="auto" w:hAnchor="text" w:y="6049"/>
    </w:pPr>
    <w:rPr>
      <w:color w:val="000000"/>
      <w:sz w:val="40"/>
    </w:rPr>
  </w:style>
  <w:style w:type="paragraph" w:customStyle="1" w:styleId="TOCTitle">
    <w:name w:val="TOCTitle"/>
    <w:basedOn w:val="Heading1"/>
    <w:rsid w:val="000C5499"/>
    <w:pPr>
      <w:spacing w:after="240"/>
      <w:jc w:val="center"/>
      <w:outlineLvl w:val="9"/>
    </w:pPr>
    <w:rPr>
      <w:caps/>
    </w:rPr>
  </w:style>
  <w:style w:type="paragraph" w:customStyle="1" w:styleId="Version">
    <w:name w:val="Version"/>
    <w:rsid w:val="000C54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499"/>
    <w:pPr>
      <w:keepNext w:val="0"/>
      <w:tabs>
        <w:tab w:val="right" w:pos="4176"/>
      </w:tabs>
      <w:ind w:left="198" w:hanging="198"/>
    </w:pPr>
    <w:rPr>
      <w:rFonts w:ascii="Garamond" w:hAnsi="Garamond"/>
    </w:rPr>
  </w:style>
  <w:style w:type="paragraph" w:styleId="IndexHeading">
    <w:name w:val="index heading"/>
    <w:basedOn w:val="Normal"/>
    <w:next w:val="Index1"/>
    <w:semiHidden/>
    <w:rsid w:val="000C5499"/>
    <w:pPr>
      <w:spacing w:before="120" w:after="120"/>
    </w:pPr>
    <w:rPr>
      <w:rFonts w:ascii="Arial" w:hAnsi="Arial"/>
      <w:b/>
      <w:color w:val="918585"/>
      <w:sz w:val="24"/>
    </w:rPr>
  </w:style>
  <w:style w:type="paragraph" w:styleId="Header">
    <w:name w:val="header"/>
    <w:basedOn w:val="Normal"/>
    <w:link w:val="HeaderChar"/>
    <w:rsid w:val="000C54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499"/>
    <w:rPr>
      <w:rFonts w:ascii="Times New Roman" w:eastAsia="Times New Roman" w:hAnsi="Times New Roman" w:cs="Times New Roman"/>
      <w:sz w:val="16"/>
      <w:szCs w:val="20"/>
      <w:lang w:val="en-GB" w:eastAsia="en-US"/>
    </w:rPr>
  </w:style>
  <w:style w:type="paragraph" w:customStyle="1" w:styleId="Chapter">
    <w:name w:val="Chapter"/>
    <w:basedOn w:val="Normal"/>
    <w:rsid w:val="000C5499"/>
    <w:pPr>
      <w:spacing w:before="240"/>
    </w:pPr>
    <w:rPr>
      <w:rFonts w:ascii="Times New Roman" w:hAnsi="Times New Roman"/>
      <w:smallCaps/>
      <w:spacing w:val="80"/>
      <w:sz w:val="28"/>
    </w:rPr>
  </w:style>
  <w:style w:type="paragraph" w:customStyle="1" w:styleId="InChapter">
    <w:name w:val="InChapter"/>
    <w:basedOn w:val="Heading3"/>
    <w:rsid w:val="000C5499"/>
    <w:pPr>
      <w:spacing w:after="240"/>
      <w:outlineLvl w:val="9"/>
    </w:pPr>
    <w:rPr>
      <w:noProof/>
    </w:rPr>
  </w:style>
  <w:style w:type="paragraph" w:styleId="Index2">
    <w:name w:val="index 2"/>
    <w:basedOn w:val="Normal"/>
    <w:next w:val="Normal"/>
    <w:semiHidden/>
    <w:rsid w:val="000C5499"/>
    <w:pPr>
      <w:tabs>
        <w:tab w:val="right" w:pos="4176"/>
      </w:tabs>
      <w:ind w:left="568" w:hanging="284"/>
    </w:pPr>
    <w:rPr>
      <w:rFonts w:ascii="Garamond" w:hAnsi="Garamond"/>
    </w:rPr>
  </w:style>
  <w:style w:type="paragraph" w:customStyle="1" w:styleId="Byline">
    <w:name w:val="Byline"/>
    <w:rsid w:val="000C54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499"/>
    <w:pPr>
      <w:tabs>
        <w:tab w:val="clear" w:pos="3600"/>
        <w:tab w:val="clear" w:pos="3958"/>
      </w:tabs>
      <w:jc w:val="right"/>
    </w:pPr>
  </w:style>
  <w:style w:type="character" w:styleId="Emphasis">
    <w:name w:val="Emphasis"/>
    <w:basedOn w:val="DefaultParagraphFont"/>
    <w:qFormat/>
    <w:rsid w:val="000C5499"/>
    <w:rPr>
      <w:i/>
    </w:rPr>
  </w:style>
  <w:style w:type="paragraph" w:styleId="Caption">
    <w:name w:val="caption"/>
    <w:basedOn w:val="BodyText"/>
    <w:next w:val="Normal"/>
    <w:qFormat/>
    <w:rsid w:val="000C5499"/>
    <w:pPr>
      <w:framePr w:w="2268" w:hSpace="181" w:vSpace="181" w:wrap="around" w:vAnchor="text" w:hAnchor="page" w:x="1135" w:y="285" w:anchorLock="1"/>
    </w:pPr>
    <w:rPr>
      <w:i/>
    </w:rPr>
  </w:style>
  <w:style w:type="paragraph" w:customStyle="1" w:styleId="MiniTOCTitle">
    <w:name w:val="MiniTOCTitle"/>
    <w:basedOn w:val="Heading4"/>
    <w:rsid w:val="000C5499"/>
    <w:pPr>
      <w:spacing w:before="240"/>
      <w:outlineLvl w:val="9"/>
    </w:pPr>
    <w:rPr>
      <w:noProof/>
      <w:sz w:val="24"/>
    </w:rPr>
  </w:style>
  <w:style w:type="paragraph" w:customStyle="1" w:styleId="MiniTOCItem">
    <w:name w:val="MiniTOCItem"/>
    <w:basedOn w:val="ListBullet"/>
    <w:rsid w:val="000C5499"/>
    <w:pPr>
      <w:numPr>
        <w:numId w:val="0"/>
      </w:numPr>
      <w:tabs>
        <w:tab w:val="right" w:leader="dot" w:pos="6521"/>
      </w:tabs>
      <w:spacing w:before="0" w:after="0"/>
    </w:pPr>
  </w:style>
  <w:style w:type="paragraph" w:customStyle="1" w:styleId="TOFTitle">
    <w:name w:val="TOFTitle"/>
    <w:basedOn w:val="TOCTitle"/>
    <w:rsid w:val="000C5499"/>
  </w:style>
  <w:style w:type="paragraph" w:styleId="TableofFigures">
    <w:name w:val="table of figures"/>
    <w:basedOn w:val="Normal"/>
    <w:next w:val="Normal"/>
    <w:semiHidden/>
    <w:rsid w:val="000C5499"/>
    <w:pPr>
      <w:tabs>
        <w:tab w:val="right" w:leader="dot" w:pos="9072"/>
      </w:tabs>
      <w:ind w:left="970" w:hanging="403"/>
    </w:pPr>
    <w:rPr>
      <w:rFonts w:ascii="Times New Roman" w:hAnsi="Times New Roman"/>
      <w:b/>
    </w:rPr>
  </w:style>
  <w:style w:type="paragraph" w:styleId="ListNumber">
    <w:name w:val="List Number"/>
    <w:basedOn w:val="List"/>
    <w:rsid w:val="000C5499"/>
    <w:pPr>
      <w:numPr>
        <w:numId w:val="11"/>
      </w:numPr>
    </w:pPr>
  </w:style>
  <w:style w:type="character" w:customStyle="1" w:styleId="WingdingSymbols">
    <w:name w:val="Wingding Symbols"/>
    <w:rsid w:val="000C5499"/>
    <w:rPr>
      <w:rFonts w:ascii="Wingdings" w:hAnsi="Wingdings"/>
    </w:rPr>
  </w:style>
  <w:style w:type="paragraph" w:customStyle="1" w:styleId="TableHeading">
    <w:name w:val="Table Heading"/>
    <w:basedOn w:val="HeadingBase"/>
    <w:rsid w:val="000C5499"/>
    <w:pPr>
      <w:keepLines/>
      <w:pBdr>
        <w:bottom w:val="single" w:sz="6" w:space="1" w:color="918585"/>
      </w:pBdr>
      <w:spacing w:before="240"/>
    </w:pPr>
  </w:style>
  <w:style w:type="character" w:customStyle="1" w:styleId="HotSpot">
    <w:name w:val="HotSpot"/>
    <w:rsid w:val="000C5499"/>
    <w:rPr>
      <w:color w:val="0033CC"/>
      <w:u w:val="none"/>
    </w:rPr>
  </w:style>
  <w:style w:type="paragraph" w:customStyle="1" w:styleId="BodyTextRight">
    <w:name w:val="Body Text Right"/>
    <w:basedOn w:val="BodyText"/>
    <w:rsid w:val="000C5499"/>
    <w:pPr>
      <w:spacing w:before="0" w:after="0"/>
      <w:jc w:val="right"/>
    </w:pPr>
  </w:style>
  <w:style w:type="paragraph" w:styleId="Index3">
    <w:name w:val="index 3"/>
    <w:basedOn w:val="ListNumber2"/>
    <w:next w:val="Normal"/>
    <w:semiHidden/>
    <w:rsid w:val="000C5499"/>
    <w:pPr>
      <w:numPr>
        <w:numId w:val="0"/>
      </w:numPr>
      <w:tabs>
        <w:tab w:val="right" w:leader="dot" w:pos="4176"/>
      </w:tabs>
    </w:pPr>
  </w:style>
  <w:style w:type="paragraph" w:styleId="ListNumber2">
    <w:name w:val="List Number 2"/>
    <w:basedOn w:val="List2"/>
    <w:rsid w:val="000C5499"/>
    <w:pPr>
      <w:numPr>
        <w:numId w:val="10"/>
      </w:numPr>
      <w:tabs>
        <w:tab w:val="clear" w:pos="1060"/>
      </w:tabs>
    </w:pPr>
  </w:style>
  <w:style w:type="paragraph" w:customStyle="1" w:styleId="MarginNote">
    <w:name w:val="Margin Note"/>
    <w:basedOn w:val="BodyText"/>
    <w:rsid w:val="000C54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4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4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499"/>
    <w:rPr>
      <w:sz w:val="32"/>
    </w:rPr>
  </w:style>
  <w:style w:type="paragraph" w:customStyle="1" w:styleId="HeadingProcedure">
    <w:name w:val="Heading Procedure"/>
    <w:basedOn w:val="HeadingBase"/>
    <w:next w:val="Normal"/>
    <w:rsid w:val="000C5499"/>
    <w:pPr>
      <w:tabs>
        <w:tab w:val="left" w:pos="0"/>
      </w:tabs>
      <w:spacing w:before="120" w:after="60"/>
    </w:pPr>
    <w:rPr>
      <w:i/>
      <w:color w:val="918585"/>
      <w:sz w:val="22"/>
    </w:rPr>
  </w:style>
  <w:style w:type="paragraph" w:customStyle="1" w:styleId="TableBodyText">
    <w:name w:val="Table Body Text"/>
    <w:basedOn w:val="BodyText"/>
    <w:rsid w:val="000C5499"/>
    <w:pPr>
      <w:spacing w:before="60" w:after="60"/>
    </w:pPr>
  </w:style>
  <w:style w:type="paragraph" w:styleId="ListContinue">
    <w:name w:val="List Continue"/>
    <w:basedOn w:val="List"/>
    <w:rsid w:val="000C5499"/>
    <w:pPr>
      <w:ind w:firstLine="0"/>
    </w:pPr>
  </w:style>
  <w:style w:type="paragraph" w:customStyle="1" w:styleId="ListNote">
    <w:name w:val="List Note"/>
    <w:basedOn w:val="List"/>
    <w:rsid w:val="000C5499"/>
    <w:pPr>
      <w:pBdr>
        <w:top w:val="single" w:sz="6" w:space="2" w:color="918585"/>
        <w:bottom w:val="single" w:sz="6" w:space="2" w:color="918585"/>
      </w:pBdr>
      <w:tabs>
        <w:tab w:val="left" w:pos="1021"/>
      </w:tabs>
      <w:ind w:firstLine="0"/>
    </w:pPr>
  </w:style>
  <w:style w:type="paragraph" w:customStyle="1" w:styleId="Warning">
    <w:name w:val="Warning"/>
    <w:basedOn w:val="BodyText"/>
    <w:rsid w:val="000C5499"/>
    <w:pPr>
      <w:shd w:val="clear" w:color="auto" w:fill="D9D9D9"/>
      <w:tabs>
        <w:tab w:val="left" w:pos="992"/>
      </w:tabs>
      <w:ind w:left="119" w:right="119"/>
    </w:pPr>
    <w:rPr>
      <w:sz w:val="20"/>
    </w:rPr>
  </w:style>
  <w:style w:type="paragraph" w:customStyle="1" w:styleId="MarginIcons">
    <w:name w:val="Margin Icons"/>
    <w:basedOn w:val="BodyText"/>
    <w:rsid w:val="000C54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499"/>
    <w:rPr>
      <w:rFonts w:ascii="Courier New" w:hAnsi="Courier New"/>
    </w:rPr>
  </w:style>
  <w:style w:type="paragraph" w:customStyle="1" w:styleId="NoteBullet">
    <w:name w:val="Note Bullet"/>
    <w:basedOn w:val="Note"/>
    <w:rsid w:val="000C5499"/>
    <w:pPr>
      <w:tabs>
        <w:tab w:val="clear" w:pos="680"/>
      </w:tabs>
      <w:spacing w:before="60" w:after="60"/>
    </w:pPr>
  </w:style>
  <w:style w:type="paragraph" w:customStyle="1" w:styleId="SubHeading2">
    <w:name w:val="SubHeading2"/>
    <w:basedOn w:val="HeadingBase"/>
    <w:rsid w:val="000C5499"/>
    <w:pPr>
      <w:spacing w:before="240" w:after="60"/>
    </w:pPr>
    <w:rPr>
      <w:sz w:val="20"/>
    </w:rPr>
  </w:style>
  <w:style w:type="paragraph" w:customStyle="1" w:styleId="SubHeading1">
    <w:name w:val="SubHeading1"/>
    <w:basedOn w:val="HeadingBase"/>
    <w:rsid w:val="000C5499"/>
    <w:pPr>
      <w:spacing w:before="240" w:after="60"/>
    </w:pPr>
    <w:rPr>
      <w:color w:val="918585"/>
      <w:sz w:val="22"/>
    </w:rPr>
  </w:style>
  <w:style w:type="paragraph" w:customStyle="1" w:styleId="SideHeading">
    <w:name w:val="Side Heading"/>
    <w:basedOn w:val="HeadingBase"/>
    <w:rsid w:val="000C54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499"/>
    <w:pPr>
      <w:numPr>
        <w:numId w:val="12"/>
      </w:numPr>
    </w:pPr>
  </w:style>
  <w:style w:type="paragraph" w:styleId="PlainText">
    <w:name w:val="Plain Text"/>
    <w:basedOn w:val="Normal"/>
    <w:link w:val="PlainTextChar"/>
    <w:rsid w:val="000C5499"/>
    <w:rPr>
      <w:sz w:val="20"/>
    </w:rPr>
  </w:style>
  <w:style w:type="character" w:customStyle="1" w:styleId="PlainTextChar">
    <w:name w:val="Plain Text Char"/>
    <w:basedOn w:val="DefaultParagraphFont"/>
    <w:link w:val="PlainText"/>
    <w:rsid w:val="000C5499"/>
    <w:rPr>
      <w:rFonts w:ascii="Courier New" w:eastAsia="Times New Roman" w:hAnsi="Courier New" w:cs="Times New Roman"/>
      <w:sz w:val="20"/>
      <w:szCs w:val="20"/>
      <w:lang w:eastAsia="en-US"/>
    </w:rPr>
  </w:style>
  <w:style w:type="character" w:customStyle="1" w:styleId="MenuOption">
    <w:name w:val="Menu Option"/>
    <w:basedOn w:val="DefaultParagraphFont"/>
    <w:rsid w:val="000C5499"/>
    <w:rPr>
      <w:b/>
      <w:smallCaps/>
    </w:rPr>
  </w:style>
  <w:style w:type="paragraph" w:customStyle="1" w:styleId="TableListNumber">
    <w:name w:val="Table List Number"/>
    <w:basedOn w:val="ListNumber"/>
    <w:rsid w:val="000C5499"/>
    <w:pPr>
      <w:numPr>
        <w:numId w:val="0"/>
      </w:numPr>
    </w:pPr>
  </w:style>
  <w:style w:type="paragraph" w:styleId="TOC4">
    <w:name w:val="toc 4"/>
    <w:basedOn w:val="TOCBase"/>
    <w:next w:val="Normal"/>
    <w:semiHidden/>
    <w:rsid w:val="000C5499"/>
    <w:pPr>
      <w:tabs>
        <w:tab w:val="right" w:leader="dot" w:pos="9071"/>
      </w:tabs>
      <w:ind w:left="1701"/>
    </w:pPr>
  </w:style>
  <w:style w:type="paragraph" w:customStyle="1" w:styleId="ListAlpha">
    <w:name w:val="List Alpha"/>
    <w:basedOn w:val="List"/>
    <w:rsid w:val="000C5499"/>
    <w:pPr>
      <w:numPr>
        <w:numId w:val="9"/>
      </w:numPr>
    </w:pPr>
  </w:style>
  <w:style w:type="paragraph" w:customStyle="1" w:styleId="ListAlpha2">
    <w:name w:val="List Alpha 2"/>
    <w:basedOn w:val="List2"/>
    <w:rsid w:val="000C5499"/>
    <w:pPr>
      <w:numPr>
        <w:numId w:val="8"/>
      </w:numPr>
    </w:pPr>
  </w:style>
  <w:style w:type="paragraph" w:styleId="List2">
    <w:name w:val="List 2"/>
    <w:basedOn w:val="BodyText"/>
    <w:rsid w:val="000C5499"/>
    <w:pPr>
      <w:tabs>
        <w:tab w:val="left" w:pos="680"/>
      </w:tabs>
      <w:spacing w:before="60" w:after="60"/>
      <w:ind w:left="680" w:hanging="340"/>
    </w:pPr>
  </w:style>
  <w:style w:type="paragraph" w:styleId="List3">
    <w:name w:val="List 3"/>
    <w:basedOn w:val="BodyText"/>
    <w:rsid w:val="000C5499"/>
    <w:pPr>
      <w:tabs>
        <w:tab w:val="left" w:pos="1021"/>
      </w:tabs>
      <w:spacing w:before="60" w:after="60"/>
      <w:ind w:left="1020" w:hanging="340"/>
    </w:pPr>
  </w:style>
  <w:style w:type="paragraph" w:styleId="List4">
    <w:name w:val="List 4"/>
    <w:basedOn w:val="BodyText"/>
    <w:rsid w:val="000C5499"/>
    <w:pPr>
      <w:tabs>
        <w:tab w:val="left" w:pos="1361"/>
      </w:tabs>
      <w:spacing w:before="60" w:after="60"/>
      <w:ind w:left="1361" w:hanging="340"/>
    </w:pPr>
  </w:style>
  <w:style w:type="paragraph" w:styleId="List5">
    <w:name w:val="List 5"/>
    <w:basedOn w:val="BodyText"/>
    <w:rsid w:val="000C5499"/>
    <w:pPr>
      <w:tabs>
        <w:tab w:val="left" w:pos="1701"/>
      </w:tabs>
      <w:spacing w:before="60" w:after="60"/>
      <w:ind w:left="1701" w:hanging="340"/>
    </w:pPr>
  </w:style>
  <w:style w:type="paragraph" w:styleId="ListBullet3">
    <w:name w:val="List Bullet 3"/>
    <w:basedOn w:val="List3"/>
    <w:rsid w:val="000C5499"/>
    <w:pPr>
      <w:numPr>
        <w:numId w:val="15"/>
      </w:numPr>
      <w:tabs>
        <w:tab w:val="clear" w:pos="1021"/>
      </w:tabs>
      <w:ind w:left="1037" w:hanging="357"/>
    </w:pPr>
  </w:style>
  <w:style w:type="paragraph" w:styleId="ListBullet4">
    <w:name w:val="List Bullet 4"/>
    <w:basedOn w:val="List4"/>
    <w:rsid w:val="000C5499"/>
    <w:pPr>
      <w:numPr>
        <w:numId w:val="3"/>
      </w:numPr>
    </w:pPr>
  </w:style>
  <w:style w:type="paragraph" w:styleId="ListBullet5">
    <w:name w:val="List Bullet 5"/>
    <w:basedOn w:val="List5"/>
    <w:rsid w:val="000C5499"/>
    <w:pPr>
      <w:numPr>
        <w:numId w:val="4"/>
      </w:numPr>
    </w:pPr>
  </w:style>
  <w:style w:type="paragraph" w:styleId="ListContinue2">
    <w:name w:val="List Continue 2"/>
    <w:basedOn w:val="List2"/>
    <w:rsid w:val="000C5499"/>
    <w:pPr>
      <w:ind w:firstLine="0"/>
    </w:pPr>
  </w:style>
  <w:style w:type="paragraph" w:styleId="ListContinue3">
    <w:name w:val="List Continue 3"/>
    <w:basedOn w:val="List3"/>
    <w:rsid w:val="000C5499"/>
    <w:pPr>
      <w:ind w:left="1021" w:firstLine="0"/>
    </w:pPr>
  </w:style>
  <w:style w:type="paragraph" w:styleId="ListContinue4">
    <w:name w:val="List Continue 4"/>
    <w:basedOn w:val="List4"/>
    <w:rsid w:val="000C5499"/>
    <w:pPr>
      <w:ind w:firstLine="0"/>
    </w:pPr>
  </w:style>
  <w:style w:type="paragraph" w:styleId="ListContinue5">
    <w:name w:val="List Continue 5"/>
    <w:basedOn w:val="List5"/>
    <w:rsid w:val="000C5499"/>
    <w:pPr>
      <w:ind w:firstLine="0"/>
    </w:pPr>
  </w:style>
  <w:style w:type="paragraph" w:styleId="ListNumber3">
    <w:name w:val="List Number 3"/>
    <w:basedOn w:val="List3"/>
    <w:rsid w:val="000C5499"/>
    <w:pPr>
      <w:numPr>
        <w:numId w:val="5"/>
      </w:numPr>
    </w:pPr>
  </w:style>
  <w:style w:type="paragraph" w:styleId="ListNumber4">
    <w:name w:val="List Number 4"/>
    <w:basedOn w:val="List4"/>
    <w:rsid w:val="000C5499"/>
    <w:pPr>
      <w:numPr>
        <w:numId w:val="6"/>
      </w:numPr>
    </w:pPr>
  </w:style>
  <w:style w:type="paragraph" w:styleId="ListNumber5">
    <w:name w:val="List Number 5"/>
    <w:basedOn w:val="List5"/>
    <w:rsid w:val="000C5499"/>
    <w:pPr>
      <w:numPr>
        <w:numId w:val="7"/>
      </w:numPr>
    </w:pPr>
  </w:style>
  <w:style w:type="paragraph" w:styleId="BlockText">
    <w:name w:val="Block Text"/>
    <w:basedOn w:val="Normal"/>
    <w:rsid w:val="000C5499"/>
    <w:pPr>
      <w:spacing w:after="120"/>
      <w:ind w:left="1440" w:right="1440"/>
    </w:pPr>
  </w:style>
  <w:style w:type="character" w:customStyle="1" w:styleId="Subscript">
    <w:name w:val="Subscript"/>
    <w:basedOn w:val="DefaultParagraphFont"/>
    <w:rsid w:val="000C5499"/>
    <w:rPr>
      <w:sz w:val="16"/>
      <w:vertAlign w:val="subscript"/>
    </w:rPr>
  </w:style>
  <w:style w:type="character" w:customStyle="1" w:styleId="Superscript">
    <w:name w:val="Superscript"/>
    <w:basedOn w:val="DefaultParagraphFont"/>
    <w:rsid w:val="000C5499"/>
    <w:rPr>
      <w:sz w:val="16"/>
      <w:vertAlign w:val="superscript"/>
    </w:rPr>
  </w:style>
  <w:style w:type="character" w:customStyle="1" w:styleId="Symbols">
    <w:name w:val="Symbols"/>
    <w:basedOn w:val="DefaultParagraphFont"/>
    <w:rsid w:val="000C5499"/>
    <w:rPr>
      <w:rFonts w:ascii="Symbol" w:hAnsi="Symbol"/>
    </w:rPr>
  </w:style>
  <w:style w:type="character" w:customStyle="1" w:styleId="MenuOptions">
    <w:name w:val="Menu Options"/>
    <w:basedOn w:val="DefaultParagraphFont"/>
    <w:rsid w:val="000C5499"/>
    <w:rPr>
      <w:rFonts w:ascii="Arial Narrow" w:hAnsi="Arial Narrow"/>
      <w:smallCaps/>
    </w:rPr>
  </w:style>
  <w:style w:type="character" w:customStyle="1" w:styleId="Buttons">
    <w:name w:val="Buttons"/>
    <w:basedOn w:val="DefaultParagraphFont"/>
    <w:rsid w:val="000C5499"/>
    <w:rPr>
      <w:b/>
    </w:rPr>
  </w:style>
  <w:style w:type="character" w:customStyle="1" w:styleId="Underlined">
    <w:name w:val="Underlined"/>
    <w:basedOn w:val="DefaultParagraphFont"/>
    <w:rsid w:val="000C5499"/>
    <w:rPr>
      <w:u w:val="single"/>
    </w:rPr>
  </w:style>
  <w:style w:type="paragraph" w:customStyle="1" w:styleId="TableBodyTextRight">
    <w:name w:val="Table Body Text Right"/>
    <w:basedOn w:val="TableBodyText"/>
    <w:rsid w:val="000C5499"/>
    <w:pPr>
      <w:widowControl w:val="0"/>
      <w:autoSpaceDE w:val="0"/>
      <w:autoSpaceDN w:val="0"/>
      <w:adjustRightInd w:val="0"/>
      <w:jc w:val="right"/>
    </w:pPr>
    <w:rPr>
      <w:rFonts w:cs="Arial"/>
      <w:szCs w:val="18"/>
    </w:rPr>
  </w:style>
  <w:style w:type="paragraph" w:customStyle="1" w:styleId="CopyrightText">
    <w:name w:val="Copyright Text"/>
    <w:basedOn w:val="BodyText"/>
    <w:rsid w:val="000C5499"/>
    <w:rPr>
      <w:sz w:val="18"/>
    </w:rPr>
  </w:style>
  <w:style w:type="paragraph" w:customStyle="1" w:styleId="BodySmallRight">
    <w:name w:val="Body Small Right"/>
    <w:basedOn w:val="BodyTextRight"/>
    <w:rsid w:val="000C5499"/>
    <w:rPr>
      <w:sz w:val="18"/>
      <w:szCs w:val="18"/>
    </w:rPr>
  </w:style>
  <w:style w:type="paragraph" w:customStyle="1" w:styleId="MarginEdition">
    <w:name w:val="Margin Edition"/>
    <w:basedOn w:val="MarginNote"/>
    <w:rsid w:val="000C5499"/>
    <w:pPr>
      <w:spacing w:before="0" w:after="0"/>
    </w:pPr>
    <w:rPr>
      <w:rFonts w:ascii="Times New Roman" w:hAnsi="Times New Roman"/>
      <w:color w:val="999999"/>
    </w:rPr>
  </w:style>
  <w:style w:type="paragraph" w:customStyle="1" w:styleId="Spacer">
    <w:name w:val="Spacer"/>
    <w:basedOn w:val="Normal"/>
    <w:rsid w:val="000C5499"/>
    <w:rPr>
      <w:sz w:val="2"/>
      <w:szCs w:val="2"/>
    </w:rPr>
  </w:style>
  <w:style w:type="character" w:customStyle="1" w:styleId="Small">
    <w:name w:val="Small"/>
    <w:basedOn w:val="DefaultParagraphFont"/>
    <w:rsid w:val="000C5499"/>
    <w:rPr>
      <w:sz w:val="16"/>
    </w:rPr>
  </w:style>
  <w:style w:type="paragraph" w:customStyle="1" w:styleId="WideTable">
    <w:name w:val="Wide Table"/>
    <w:basedOn w:val="Normal"/>
    <w:rsid w:val="000C5499"/>
    <w:pPr>
      <w:ind w:left="-1418"/>
    </w:pPr>
    <w:rPr>
      <w:sz w:val="2"/>
      <w:szCs w:val="2"/>
    </w:rPr>
  </w:style>
  <w:style w:type="character" w:styleId="PageNumber">
    <w:name w:val="page number"/>
    <w:basedOn w:val="DefaultParagraphFont"/>
    <w:rsid w:val="000C5499"/>
  </w:style>
  <w:style w:type="paragraph" w:styleId="Quote">
    <w:name w:val="Quote"/>
    <w:basedOn w:val="Heading1"/>
    <w:link w:val="QuoteChar"/>
    <w:qFormat/>
    <w:rsid w:val="000C5499"/>
    <w:rPr>
      <w:b w:val="0"/>
      <w:sz w:val="72"/>
      <w:szCs w:val="72"/>
      <w:lang w:val="en-NZ"/>
    </w:rPr>
  </w:style>
  <w:style w:type="character" w:customStyle="1" w:styleId="QuoteChar">
    <w:name w:val="Quote Char"/>
    <w:basedOn w:val="DefaultParagraphFont"/>
    <w:link w:val="Quote"/>
    <w:rsid w:val="000C54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499"/>
    <w:pPr>
      <w:pageBreakBefore/>
    </w:pPr>
  </w:style>
  <w:style w:type="paragraph" w:customStyle="1" w:styleId="Border">
    <w:name w:val="Border"/>
    <w:basedOn w:val="Normal"/>
    <w:qFormat/>
    <w:rsid w:val="000C54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499"/>
    <w:rPr>
      <w:b/>
      <w:bCs/>
      <w:i/>
      <w:iCs/>
      <w:color w:val="auto"/>
    </w:rPr>
  </w:style>
  <w:style w:type="paragraph" w:styleId="IntenseQuote">
    <w:name w:val="Intense Quote"/>
    <w:basedOn w:val="Normal"/>
    <w:next w:val="Normal"/>
    <w:link w:val="IntenseQuoteChar"/>
    <w:uiPriority w:val="30"/>
    <w:qFormat/>
    <w:rsid w:val="000C54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4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499"/>
    <w:rPr>
      <w:smallCaps/>
      <w:color w:val="auto"/>
      <w:u w:val="single"/>
    </w:rPr>
  </w:style>
  <w:style w:type="character" w:styleId="IntenseReference">
    <w:name w:val="Intense Reference"/>
    <w:basedOn w:val="DefaultParagraphFont"/>
    <w:uiPriority w:val="32"/>
    <w:qFormat/>
    <w:rsid w:val="000C5499"/>
    <w:rPr>
      <w:b/>
      <w:bCs/>
      <w:smallCaps/>
      <w:color w:val="auto"/>
      <w:spacing w:val="5"/>
      <w:u w:val="single"/>
    </w:rPr>
  </w:style>
  <w:style w:type="paragraph" w:customStyle="1" w:styleId="2ColumnHeading">
    <w:name w:val="2Column Heading"/>
    <w:basedOn w:val="BodyText"/>
    <w:qFormat/>
    <w:rsid w:val="000C5499"/>
    <w:pPr>
      <w:spacing w:after="60"/>
      <w:ind w:left="-2268"/>
    </w:pPr>
    <w:rPr>
      <w:b/>
    </w:rPr>
  </w:style>
  <w:style w:type="paragraph" w:customStyle="1" w:styleId="Heading1TOC">
    <w:name w:val="Heading1 TOC"/>
    <w:basedOn w:val="Normal"/>
    <w:qFormat/>
    <w:rsid w:val="000C5499"/>
    <w:pPr>
      <w:spacing w:before="240" w:after="120"/>
    </w:pPr>
    <w:rPr>
      <w:rFonts w:ascii="Times New Roman" w:hAnsi="Times New Roman"/>
      <w:b/>
      <w:sz w:val="32"/>
    </w:rPr>
  </w:style>
  <w:style w:type="paragraph" w:customStyle="1" w:styleId="Heading2TOC">
    <w:name w:val="Heading2 TOC"/>
    <w:basedOn w:val="Normal"/>
    <w:qFormat/>
    <w:rsid w:val="000C5499"/>
    <w:pPr>
      <w:spacing w:before="240" w:after="60"/>
    </w:pPr>
    <w:rPr>
      <w:rFonts w:ascii="Times New Roman" w:hAnsi="Times New Roman"/>
      <w:b/>
      <w:sz w:val="28"/>
    </w:rPr>
  </w:style>
  <w:style w:type="character" w:customStyle="1" w:styleId="Underline">
    <w:name w:val="Underline"/>
    <w:basedOn w:val="DefaultParagraphFont"/>
    <w:qFormat/>
    <w:rsid w:val="000C5499"/>
    <w:rPr>
      <w:u w:val="single"/>
    </w:rPr>
  </w:style>
  <w:style w:type="character" w:customStyle="1" w:styleId="BoldandItalics">
    <w:name w:val="Bold and Italics"/>
    <w:qFormat/>
    <w:rsid w:val="000C5499"/>
    <w:rPr>
      <w:b/>
      <w:i/>
      <w:u w:val="none"/>
    </w:rPr>
  </w:style>
  <w:style w:type="paragraph" w:styleId="BalloonText">
    <w:name w:val="Balloon Text"/>
    <w:basedOn w:val="Normal"/>
    <w:link w:val="BalloonTextChar"/>
    <w:rsid w:val="000C5499"/>
    <w:rPr>
      <w:rFonts w:ascii="Tahoma" w:hAnsi="Tahoma" w:cs="Tahoma"/>
      <w:sz w:val="16"/>
      <w:szCs w:val="16"/>
    </w:rPr>
  </w:style>
  <w:style w:type="character" w:customStyle="1" w:styleId="BalloonTextChar">
    <w:name w:val="Balloon Text Char"/>
    <w:basedOn w:val="DefaultParagraphFont"/>
    <w:link w:val="BalloonText"/>
    <w:rsid w:val="000C54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4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54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499"/>
    <w:rPr>
      <w:b/>
      <w:color w:val="660033"/>
      <w:spacing w:val="0"/>
    </w:rPr>
  </w:style>
  <w:style w:type="paragraph" w:customStyle="1" w:styleId="Nameditemlist">
    <w:name w:val="Named item list"/>
    <w:basedOn w:val="BodyText"/>
    <w:qFormat/>
    <w:rsid w:val="000C54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1656</Words>
  <Characters>9967</Characters>
  <Application>Microsoft Office Word</Application>
  <DocSecurity>0</DocSecurity>
  <Lines>405</Lines>
  <Paragraphs>172</Paragraphs>
  <ScaleCrop>false</ScaleCrop>
  <Company>Author-it Software Corporation Ltd.</Company>
  <LinksUpToDate>false</LinksUpToDate>
  <CharactersWithSpaces>11499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UEENEEA103A Set up and check electronic component assembly machines</dc:title>
  <dc:subject>Approved</dc:subject>
  <dc:creator>E-OZ Training Standards</dc:creator>
  <cp:keywords>Release 2</cp:keywords>
  <dc:description>Review Date: 12 April 2008</dc:description>
  <cp:lastModifiedBy>HSD_TPCMSd.prod</cp:lastModifiedBy>
  <cp:revision>3</cp:revision>
  <dcterms:created xsi:type="dcterms:W3CDTF">2013-08-14T01:01:00Z</dcterms:created>
  <dcterms:modified xsi:type="dcterms:W3CDTF">2013-08-14T01:01:00Z</dcterms:modified>
</cp:coreProperties>
</file>