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3ABA" w:rsidP="00723ABA">
      <w:pPr>
        <w:pStyle w:val="Title"/>
      </w:pPr>
      <w:r>
        <w:fldChar w:fldCharType="begin"/>
      </w:r>
      <w:r>
        <w:instrText xml:space="preserve"> TITLE   \* MERGEFORMAT </w:instrText>
      </w:r>
      <w:r>
        <w:fldChar w:fldCharType="separate"/>
      </w:r>
      <w:r>
        <w:t>UEE42611 Certificate IV in Hazardous areas - Electrical</w:t>
      </w:r>
      <w:r>
        <w:fldChar w:fldCharType="end"/>
      </w:r>
    </w:p>
    <w:p w:rsidR="00723ABA" w:rsidP="00723ABA">
      <w:pPr>
        <w:pStyle w:val="Version"/>
        <w:sectPr w:rsidSect="000C3A0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0C3A0D" w:rsidP="000C3A0D">
      <w:pPr>
        <w:pStyle w:val="SuperHeading"/>
      </w:pPr>
      <w:r w:rsidRPr="000C3A0D">
        <w:t>UEE42611 Certificate IV in Hazardous areas - Electrical</w:t>
      </w:r>
    </w:p>
    <w:p w:rsidR="00000000" w:rsidRPr="000C3A0D" w:rsidP="000C3A0D">
      <w:pPr>
        <w:pStyle w:val="Heading1"/>
      </w:pPr>
      <w:bookmarkStart w:id="1" w:name="O_640575"/>
      <w:bookmarkEnd w:id="1"/>
      <w:r w:rsidRPr="000C3A0D">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723ABA">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Points</w:t>
            </w:r>
          </w:p>
        </w:tc>
      </w:tr>
      <w:tr w:rsidTr="00723ABA">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HLTCPR211A Perform CPR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3A0D" w:rsidP="000C3A0D">
            <w:pPr>
              <w:pStyle w:val="BodyText"/>
            </w:pPr>
            <w:r w:rsidRPr="000C3A0D">
              <w:t>10</w:t>
            </w:r>
          </w:p>
        </w:tc>
      </w:tr>
    </w:tbl>
    <w:p w:rsidR="00000000" w:rsidRPr="000C3A0D" w:rsidP="000C3A0D">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723ABA">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3A0D">
            <w:pPr>
              <w:pStyle w:val="BodyText"/>
              <w:rPr>
                <w:lang w:val="en-NZ"/>
              </w:rPr>
            </w:pPr>
            <w:r w:rsidRPr="000C3A0D">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3A0D">
            <w:pPr>
              <w:pStyle w:val="BodyText"/>
              <w:rPr>
                <w:lang w:val="en-NZ"/>
              </w:rPr>
            </w:pPr>
            <w:r w:rsidRPr="000C3A0D">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3A0D">
            <w:pPr>
              <w:pStyle w:val="BodyText"/>
              <w:rPr>
                <w:lang w:val="en-NZ"/>
              </w:rPr>
            </w:pPr>
            <w:r w:rsidRPr="000C3A0D">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C3A0D" w:rsidP="000C3A0D">
            <w:pPr>
              <w:pStyle w:val="BodyText"/>
            </w:pPr>
            <w:r w:rsidRPr="000C3A0D">
              <w:t>Edit Name to reflect correct Unit title</w:t>
            </w:r>
          </w:p>
          <w:p w:rsidR="00000000" w:rsidP="000C3A0D">
            <w:pPr>
              <w:pStyle w:val="BodyText"/>
              <w:rPr>
                <w:lang w:val="en-NZ"/>
              </w:rPr>
            </w:pPr>
            <w:r w:rsidRPr="000C3A0D">
              <w:t>UEENEEK145A Implement and monitor energy sector environmental and sustainable policies and procedures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C3A0D" w:rsidP="000C3A0D">
            <w:pPr>
              <w:pStyle w:val="BodyText"/>
            </w:pPr>
            <w:r w:rsidRPr="000C3A0D">
              <w:t>20</w:t>
            </w:r>
          </w:p>
        </w:tc>
      </w:tr>
    </w:tbl>
    <w:p w:rsidR="00000000" w:rsidRPr="000C3A0D" w:rsidP="000C3A0D">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723ABA">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3A0D">
            <w:pPr>
              <w:pStyle w:val="BodyText"/>
              <w:rPr>
                <w:lang w:val="en-NZ"/>
              </w:rPr>
            </w:pPr>
            <w:r w:rsidRPr="000C3A0D">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3A0D">
            <w:pPr>
              <w:pStyle w:val="BodyText"/>
              <w:rPr>
                <w:lang w:val="en-NZ"/>
              </w:rPr>
            </w:pPr>
            <w:r w:rsidRPr="000C3A0D">
              <w:t>Update</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3A0D">
            <w:pPr>
              <w:pStyle w:val="BodyText"/>
              <w:rPr>
                <w:lang w:val="en-NZ"/>
              </w:rPr>
            </w:pPr>
            <w:r w:rsidRPr="000C3A0D">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3A0D">
            <w:pPr>
              <w:pStyle w:val="BodyText"/>
              <w:rPr>
                <w:lang w:val="en-NZ"/>
              </w:rPr>
            </w:pPr>
            <w:r w:rsidRPr="000C3A0D">
              <w:t>HLTAID001 - Provide cardiopulmonary resuscitation</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3A0D">
            <w:pPr>
              <w:pStyle w:val="BodyText"/>
              <w:rPr>
                <w:lang w:val="en-NZ"/>
              </w:rPr>
            </w:pPr>
            <w:r w:rsidRPr="000C3A0D">
              <w:t>10</w:t>
            </w:r>
          </w:p>
        </w:tc>
      </w:tr>
      <w:tr w:rsidTr="00723ABA">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Correct title of UEENEEE101A - Apply Occupational Health and Safe</w:t>
            </w:r>
            <w:r w:rsidRPr="000C3A0D">
              <w:t>ty regulations, codes and practices in the workplace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20</w:t>
            </w:r>
          </w:p>
        </w:tc>
      </w:tr>
      <w:tr w:rsidTr="00723ABA">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Correct title of UEENEEE102A - Fabricate, assemble and dismantle utilities industry components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40</w:t>
            </w:r>
          </w:p>
        </w:tc>
      </w:tr>
      <w:tr w:rsidTr="00723ABA">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Correct title of UEENEEM080A - Report on the integrity of explosion-protected equipment in a hazardous area</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20</w:t>
            </w:r>
          </w:p>
        </w:tc>
      </w:tr>
      <w:tr w:rsidTr="00723ABA">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Correct title of UEENEED101A - Use computer applications relevant to a workplace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3A0D" w:rsidP="000C3A0D">
            <w:pPr>
              <w:pStyle w:val="BodyText"/>
            </w:pPr>
            <w:r w:rsidRPr="000C3A0D">
              <w:t>20</w:t>
            </w:r>
          </w:p>
        </w:tc>
      </w:tr>
    </w:tbl>
    <w:p w:rsidR="00000000" w:rsidRPr="000C3A0D" w:rsidP="000C3A0D">
      <w:pPr>
        <w:pStyle w:val="BodyText"/>
      </w:pPr>
    </w:p>
    <w:p w:rsidR="00000000" w:rsidRPr="000C3A0D" w:rsidP="000C3A0D">
      <w:pPr>
        <w:pStyle w:val="AllowPageBreak"/>
      </w:pPr>
    </w:p>
    <w:p w:rsidR="00000000" w:rsidRPr="000C3A0D" w:rsidP="000C3A0D">
      <w:pPr>
        <w:pStyle w:val="Heading1"/>
      </w:pPr>
      <w:bookmarkStart w:id="2" w:name="O_640574"/>
      <w:bookmarkEnd w:id="2"/>
      <w:r w:rsidRPr="000C3A0D">
        <w:t>Description</w:t>
      </w:r>
    </w:p>
    <w:p w:rsidR="00000000" w:rsidRPr="000C3A0D" w:rsidP="00723ABA">
      <w:pPr>
        <w:pStyle w:val="Heading3"/>
      </w:pPr>
      <w:r w:rsidRPr="000C3A0D">
        <w:rPr>
          <w:rStyle w:val="SpecialBold"/>
        </w:rPr>
        <w:t>Scope</w:t>
      </w:r>
    </w:p>
    <w:p w:rsidR="00000000" w:rsidRPr="000C3A0D" w:rsidP="00723ABA">
      <w:pPr>
        <w:pStyle w:val="BodyText"/>
      </w:pPr>
      <w:r w:rsidRPr="000C3A0D">
        <w:t>This qualification provides competencies to supervise selection, installation, commissioning maintenance and testing of explosion-protected equipment and systems for control and monitoring of plant and processes.  The qualification provides competencies in</w:t>
      </w:r>
      <w:r w:rsidRPr="000C3A0D">
        <w:t xml:space="preserve"> working with explosion protections techniques with elections in how they apply to coal mining, gas and dust atmospheres. It includes ERAC requirements for an ‘Electrician’s licence’ and competencies to select, install, set up, test, fault find, repair and</w:t>
      </w:r>
      <w:r w:rsidRPr="000C3A0D">
        <w:t xml:space="preserve"> maintain stand alone renewable energy equipment and systems.</w:t>
      </w:r>
    </w:p>
    <w:p w:rsidR="00723ABA" w:rsidP="00723ABA">
      <w:pPr>
        <w:pStyle w:val="BodyText"/>
      </w:pPr>
      <w:r w:rsidRPr="000C3A0D">
        <w:rPr>
          <w:rStyle w:val="SpecialBold"/>
        </w:rPr>
        <w:t>^ From 1 July 2022 the elective unit HLTAID001 must no longer be delivered and will be replaced in the Packaging Rules by the unit HLTAID009</w:t>
      </w:r>
      <w:r w:rsidRPr="000C3A0D">
        <w:t xml:space="preserve"> - for more information see: </w:t>
      </w:r>
      <w:r>
        <w:fldChar w:fldCharType="begin"/>
      </w:r>
      <w:r>
        <w:instrText xml:space="preserve"> HYPERLINK "https://asqa.gov.au/news-events/news/reminder-about-superseded-hlt-first-aid-units" </w:instrText>
      </w:r>
      <w:r>
        <w:fldChar w:fldCharType="separate"/>
      </w:r>
      <w:r w:rsidRPr="00363F8C">
        <w:rPr>
          <w:rStyle w:val="Hyperlink"/>
        </w:rPr>
        <w:t>https://asqa.gov.au/news-events/news/reminder-about-superseded-hlt-first-aid-units</w:t>
      </w:r>
      <w:r>
        <w:fldChar w:fldCharType="end"/>
      </w:r>
    </w:p>
    <w:p w:rsidR="00000000" w:rsidRPr="000C3A0D" w:rsidP="000C3A0D">
      <w:pPr>
        <w:pStyle w:val="Heading1"/>
      </w:pPr>
      <w:bookmarkStart w:id="3" w:name="O_640573"/>
      <w:bookmarkEnd w:id="3"/>
      <w:r w:rsidRPr="000C3A0D">
        <w:t>Pathways Information</w:t>
      </w:r>
    </w:p>
    <w:p w:rsidR="00000000" w:rsidRPr="000C3A0D" w:rsidP="00723ABA">
      <w:pPr>
        <w:pStyle w:val="BodyText"/>
      </w:pPr>
      <w:r w:rsidRPr="000C3A0D">
        <w:t>Not applicable.</w:t>
      </w:r>
    </w:p>
    <w:p w:rsidR="00000000" w:rsidRPr="000C3A0D" w:rsidP="000C3A0D">
      <w:pPr>
        <w:pStyle w:val="Heading1"/>
      </w:pPr>
      <w:bookmarkStart w:id="4" w:name="O_640572"/>
      <w:bookmarkEnd w:id="4"/>
      <w:r w:rsidRPr="000C3A0D">
        <w:t>Licensing/Regulatory Information</w:t>
      </w:r>
    </w:p>
    <w:p w:rsidR="00000000" w:rsidRPr="000C3A0D" w:rsidP="00723ABA">
      <w:pPr>
        <w:pStyle w:val="BodyText"/>
      </w:pPr>
      <w:r w:rsidRPr="000C3A0D">
        <w:t>Not applicable.</w:t>
      </w:r>
    </w:p>
    <w:p w:rsidR="00000000" w:rsidRPr="000C3A0D" w:rsidP="000C3A0D">
      <w:pPr>
        <w:pStyle w:val="Heading1"/>
      </w:pPr>
      <w:bookmarkStart w:id="5" w:name="O_640571"/>
      <w:bookmarkEnd w:id="5"/>
      <w:r w:rsidRPr="000C3A0D">
        <w:t>Entry Requirements</w:t>
      </w:r>
    </w:p>
    <w:p w:rsidR="00000000" w:rsidRPr="000C3A0D" w:rsidP="00723ABA">
      <w:pPr>
        <w:pStyle w:val="BodyText"/>
      </w:pPr>
      <w:r w:rsidRPr="000C3A0D">
        <w:t>Not applicable.</w:t>
      </w:r>
    </w:p>
    <w:p w:rsidR="00000000" w:rsidRPr="000C3A0D" w:rsidP="000C3A0D">
      <w:pPr>
        <w:pStyle w:val="Heading1"/>
      </w:pPr>
      <w:bookmarkStart w:id="6" w:name="O_640570"/>
      <w:bookmarkEnd w:id="6"/>
      <w:r w:rsidRPr="000C3A0D">
        <w:t>Employab</w:t>
      </w:r>
      <w:r w:rsidRPr="000C3A0D">
        <w:t>ility Skills Summary</w:t>
      </w:r>
    </w:p>
    <w:p w:rsidR="00000000" w:rsidRPr="000C3A0D" w:rsidP="00723ABA">
      <w:pPr>
        <w:pStyle w:val="BodyText"/>
      </w:pPr>
      <w:r w:rsidRPr="000C3A0D">
        <w:t>Not applicable.</w:t>
      </w:r>
    </w:p>
    <w:p w:rsidR="00000000" w:rsidRPr="000C3A0D" w:rsidP="000C3A0D">
      <w:pPr>
        <w:pStyle w:val="Heading1"/>
      </w:pPr>
      <w:bookmarkStart w:id="7" w:name="O_640569"/>
      <w:bookmarkEnd w:id="7"/>
      <w:r w:rsidRPr="000C3A0D">
        <w:t>Packaging Rules</w:t>
      </w:r>
    </w:p>
    <w:p w:rsidR="00000000" w:rsidRPr="000C3A0D" w:rsidP="00723ABA">
      <w:pPr>
        <w:pStyle w:val="Heading3"/>
      </w:pPr>
      <w:r w:rsidRPr="000C3A0D">
        <w:rPr>
          <w:rStyle w:val="SpecialBold"/>
        </w:rPr>
        <w:t>Completion requirements</w:t>
      </w:r>
    </w:p>
    <w:p w:rsidR="00000000" w:rsidRPr="000C3A0D" w:rsidP="00723ABA">
      <w:pPr>
        <w:pStyle w:val="BodyText"/>
      </w:pPr>
      <w:r w:rsidRPr="000C3A0D">
        <w:t>The requirements for granting this qualification will be met when competency is demonstrated and achieved for:</w:t>
      </w:r>
    </w:p>
    <w:p w:rsidR="00000000" w:rsidRPr="000C3A0D" w:rsidP="000C3A0D">
      <w:pPr>
        <w:pStyle w:val="ListBullet"/>
      </w:pPr>
      <w:r w:rsidRPr="000C3A0D">
        <w:t>All the Core competency standard units, defined in</w:t>
      </w:r>
      <w:r w:rsidRPr="000C3A0D">
        <w:t xml:space="preserve"> the Core Competency Standard Units table below and</w:t>
      </w:r>
    </w:p>
    <w:p w:rsidR="00000000" w:rsidRPr="000C3A0D" w:rsidP="000C3A0D">
      <w:pPr>
        <w:pStyle w:val="ListBullet"/>
      </w:pPr>
      <w:r w:rsidRPr="000C3A0D">
        <w:t>A combination of Elective competency standard units to achieve a total weighting of 300 points in accordance with the Elective Competency Standard Units table below.</w:t>
      </w:r>
    </w:p>
    <w:p w:rsidR="00000000" w:rsidRPr="000C3A0D" w:rsidP="00723ABA">
      <w:pPr>
        <w:pStyle w:val="BodyText"/>
      </w:pPr>
      <w:r w:rsidRPr="000C3A0D">
        <w:t>Note: UEENEEG105A - Those holding an ‘</w:t>
      </w:r>
      <w:r w:rsidRPr="000C3A0D">
        <w:t>Unrestricted Electricians Licence or equivalent issued in an Australian State or Territory meets the requirements of this unit and its pre-requisite requirements.</w:t>
      </w:r>
    </w:p>
    <w:tbl>
      <w:tblPr>
        <w:tblW w:w="0" w:type="auto"/>
        <w:tblLayout w:type="fixed"/>
        <w:tblCellMar>
          <w:left w:w="62" w:type="dxa"/>
          <w:right w:w="62" w:type="dxa"/>
        </w:tblCellMar>
        <w:tblLook w:val="0000"/>
      </w:tblPr>
      <w:tblGrid>
        <w:gridCol w:w="1895"/>
        <w:gridCol w:w="5470"/>
        <w:gridCol w:w="1282"/>
      </w:tblGrid>
      <w:tr w:rsidTr="00723ABA">
        <w:tblPrEx>
          <w:tblW w:w="0" w:type="auto"/>
          <w:tblLayout w:type="fixed"/>
          <w:tblCellMar>
            <w:left w:w="62" w:type="dxa"/>
            <w:right w:w="62" w:type="dxa"/>
          </w:tblCellMar>
          <w:tblLook w:val="0000"/>
        </w:tblPrEx>
        <w:tc>
          <w:tcPr>
            <w:tcW w:w="7365"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0C3A0D" w:rsidP="000C3A0D">
            <w:pPr>
              <w:pStyle w:val="BodyText"/>
            </w:pPr>
            <w:r w:rsidRPr="000C3A0D">
              <w:rPr>
                <w:rStyle w:val="SpecialBold"/>
              </w:rPr>
              <w:t xml:space="preserve">Core Competency Standard Units </w:t>
            </w:r>
          </w:p>
          <w:p w:rsidR="00000000" w:rsidRPr="000C3A0D" w:rsidP="000C3A0D">
            <w:pPr>
              <w:pStyle w:val="BodyText"/>
            </w:pPr>
            <w:r w:rsidRPr="000C3A0D">
              <w:t>All Core competency standard units to be achieved</w:t>
            </w:r>
          </w:p>
        </w:tc>
        <w:tc>
          <w:tcPr>
            <w:tcW w:w="1282"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0C3A0D">
            <w:pPr>
              <w:pStyle w:val="BodyText"/>
              <w:rPr>
                <w:lang w:val="en-NZ"/>
              </w:rPr>
            </w:pPr>
            <w:r w:rsidRPr="000C3A0D">
              <w:rPr>
                <w:rStyle w:val="SpecialBold"/>
              </w:rPr>
              <w:t>Weighting</w:t>
            </w:r>
            <w:r w:rsidRPr="000C3A0D">
              <w:rPr>
                <w:rStyle w:val="SpecialBold"/>
              </w:rPr>
              <w:t xml:space="preserve"> </w:t>
            </w:r>
            <w:r w:rsidRPr="000C3A0D">
              <w:rPr>
                <w:rStyle w:val="SpecialBold"/>
              </w:rPr>
              <w:t>Points</w:t>
            </w:r>
          </w:p>
        </w:tc>
      </w:tr>
      <w:tr w:rsidTr="00723ABA">
        <w:tblPrEx>
          <w:tblW w:w="0" w:type="auto"/>
          <w:tblLayout w:type="fixed"/>
          <w:tblCellMar>
            <w:left w:w="62" w:type="dxa"/>
            <w:right w:w="62" w:type="dxa"/>
          </w:tblCellMar>
          <w:tblLook w:val="0000"/>
        </w:tblPrEx>
        <w:trPr>
          <w:trHeight w:val="315"/>
        </w:trPr>
        <w:tc>
          <w:tcPr>
            <w:tcW w:w="1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UEENEEE038B</w:t>
            </w:r>
          </w:p>
        </w:tc>
        <w:tc>
          <w:tcPr>
            <w:tcW w:w="5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Participate in development and follow a personal competency development plan</w:t>
            </w:r>
          </w:p>
        </w:tc>
        <w:tc>
          <w:tcPr>
            <w:tcW w:w="1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20</w:t>
            </w:r>
          </w:p>
        </w:tc>
      </w:tr>
      <w:tr w:rsidTr="00723ABA">
        <w:tblPrEx>
          <w:tblW w:w="0" w:type="auto"/>
          <w:tblLayout w:type="fixed"/>
          <w:tblCellMar>
            <w:left w:w="62" w:type="dxa"/>
            <w:right w:w="62" w:type="dxa"/>
          </w:tblCellMar>
          <w:tblLook w:val="0000"/>
        </w:tblPrEx>
        <w:trPr>
          <w:trHeight w:val="315"/>
        </w:trPr>
        <w:tc>
          <w:tcPr>
            <w:tcW w:w="1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UEENEEE101A</w:t>
            </w:r>
          </w:p>
        </w:tc>
        <w:tc>
          <w:tcPr>
            <w:tcW w:w="5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Apply Occupational Health and Safety regulations, codes and practices in the workplace</w:t>
            </w:r>
          </w:p>
        </w:tc>
        <w:tc>
          <w:tcPr>
            <w:tcW w:w="1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20</w:t>
            </w:r>
          </w:p>
        </w:tc>
      </w:tr>
      <w:tr w:rsidTr="00723ABA">
        <w:tblPrEx>
          <w:tblW w:w="0" w:type="auto"/>
          <w:tblLayout w:type="fixed"/>
          <w:tblCellMar>
            <w:left w:w="62" w:type="dxa"/>
            <w:right w:w="62" w:type="dxa"/>
          </w:tblCellMar>
          <w:tblLook w:val="0000"/>
        </w:tblPrEx>
        <w:trPr>
          <w:trHeight w:val="372"/>
        </w:trPr>
        <w:tc>
          <w:tcPr>
            <w:tcW w:w="1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UEENEEE102A</w:t>
            </w:r>
          </w:p>
        </w:tc>
        <w:tc>
          <w:tcPr>
            <w:tcW w:w="5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Fabricate, assemble and dismantle utilities industry components</w:t>
            </w:r>
          </w:p>
        </w:tc>
        <w:tc>
          <w:tcPr>
            <w:tcW w:w="1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40</w:t>
            </w:r>
          </w:p>
        </w:tc>
      </w:tr>
      <w:tr w:rsidTr="00723ABA">
        <w:tblPrEx>
          <w:tblW w:w="0" w:type="auto"/>
          <w:tblLayout w:type="fixed"/>
          <w:tblCellMar>
            <w:left w:w="62" w:type="dxa"/>
            <w:right w:w="62" w:type="dxa"/>
          </w:tblCellMar>
          <w:tblLook w:val="0000"/>
        </w:tblPrEx>
        <w:trPr>
          <w:trHeight w:val="372"/>
        </w:trPr>
        <w:tc>
          <w:tcPr>
            <w:tcW w:w="1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UEENEEE104A</w:t>
            </w:r>
          </w:p>
        </w:tc>
        <w:tc>
          <w:tcPr>
            <w:tcW w:w="5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Solve problems in d.c. circuits</w:t>
            </w:r>
          </w:p>
        </w:tc>
        <w:tc>
          <w:tcPr>
            <w:tcW w:w="1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80</w:t>
            </w:r>
          </w:p>
        </w:tc>
      </w:tr>
      <w:tr w:rsidTr="00723ABA">
        <w:tblPrEx>
          <w:tblW w:w="0" w:type="auto"/>
          <w:tblLayout w:type="fixed"/>
          <w:tblCellMar>
            <w:left w:w="62" w:type="dxa"/>
            <w:right w:w="62" w:type="dxa"/>
          </w:tblCellMar>
          <w:tblLook w:val="0000"/>
        </w:tblPrEx>
        <w:trPr>
          <w:trHeight w:val="372"/>
        </w:trPr>
        <w:tc>
          <w:tcPr>
            <w:tcW w:w="1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UEENEEE105A</w:t>
            </w:r>
          </w:p>
        </w:tc>
        <w:tc>
          <w:tcPr>
            <w:tcW w:w="5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Fix and secure electrotechnology equipment</w:t>
            </w:r>
          </w:p>
        </w:tc>
        <w:tc>
          <w:tcPr>
            <w:tcW w:w="1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20</w:t>
            </w:r>
          </w:p>
        </w:tc>
      </w:tr>
      <w:tr w:rsidTr="00723ABA">
        <w:tblPrEx>
          <w:tblW w:w="0" w:type="auto"/>
          <w:tblLayout w:type="fixed"/>
          <w:tblCellMar>
            <w:left w:w="62" w:type="dxa"/>
            <w:right w:w="62" w:type="dxa"/>
          </w:tblCellMar>
          <w:tblLook w:val="0000"/>
        </w:tblPrEx>
        <w:trPr>
          <w:trHeight w:val="372"/>
        </w:trPr>
        <w:tc>
          <w:tcPr>
            <w:tcW w:w="1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UEENEEE107A</w:t>
            </w:r>
          </w:p>
        </w:tc>
        <w:tc>
          <w:tcPr>
            <w:tcW w:w="5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Use drawings, diagrams, sch</w:t>
            </w:r>
            <w:r w:rsidRPr="000C3A0D">
              <w:t>edules, standards, codes and specifications</w:t>
            </w:r>
          </w:p>
        </w:tc>
        <w:tc>
          <w:tcPr>
            <w:tcW w:w="1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40</w:t>
            </w:r>
          </w:p>
        </w:tc>
      </w:tr>
      <w:tr w:rsidTr="00723ABA">
        <w:tblPrEx>
          <w:tblW w:w="0" w:type="auto"/>
          <w:tblLayout w:type="fixed"/>
          <w:tblCellMar>
            <w:left w:w="62" w:type="dxa"/>
            <w:right w:w="62" w:type="dxa"/>
          </w:tblCellMar>
          <w:tblLook w:val="0000"/>
        </w:tblPrEx>
        <w:trPr>
          <w:trHeight w:val="612"/>
        </w:trPr>
        <w:tc>
          <w:tcPr>
            <w:tcW w:w="1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UEENEEE117A</w:t>
            </w:r>
          </w:p>
        </w:tc>
        <w:tc>
          <w:tcPr>
            <w:tcW w:w="5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Implement and monitor energy sector OHS policies and procedures</w:t>
            </w:r>
          </w:p>
        </w:tc>
        <w:tc>
          <w:tcPr>
            <w:tcW w:w="1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20</w:t>
            </w:r>
          </w:p>
        </w:tc>
      </w:tr>
      <w:tr w:rsidTr="00723ABA">
        <w:tblPrEx>
          <w:tblW w:w="0" w:type="auto"/>
          <w:tblLayout w:type="fixed"/>
          <w:tblCellMar>
            <w:left w:w="62" w:type="dxa"/>
            <w:right w:w="62" w:type="dxa"/>
          </w:tblCellMar>
          <w:tblLook w:val="0000"/>
        </w:tblPrEx>
        <w:trPr>
          <w:trHeight w:val="315"/>
        </w:trPr>
        <w:tc>
          <w:tcPr>
            <w:tcW w:w="1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UEENEEE124A</w:t>
            </w:r>
          </w:p>
        </w:tc>
        <w:tc>
          <w:tcPr>
            <w:tcW w:w="5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Compile and produce an energy sector detailed report</w:t>
            </w:r>
          </w:p>
        </w:tc>
        <w:tc>
          <w:tcPr>
            <w:tcW w:w="1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60</w:t>
            </w:r>
          </w:p>
        </w:tc>
      </w:tr>
      <w:tr w:rsidTr="00723ABA">
        <w:tblPrEx>
          <w:tblW w:w="0" w:type="auto"/>
          <w:tblLayout w:type="fixed"/>
          <w:tblCellMar>
            <w:left w:w="62" w:type="dxa"/>
            <w:right w:w="62" w:type="dxa"/>
          </w:tblCellMar>
          <w:tblLook w:val="0000"/>
        </w:tblPrEx>
        <w:trPr>
          <w:trHeight w:val="315"/>
        </w:trPr>
        <w:tc>
          <w:tcPr>
            <w:tcW w:w="1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UEENEEE137A</w:t>
            </w:r>
          </w:p>
        </w:tc>
        <w:tc>
          <w:tcPr>
            <w:tcW w:w="5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Document and apply measures to control OHS risks associated with electrotechnology work</w:t>
            </w:r>
          </w:p>
        </w:tc>
        <w:tc>
          <w:tcPr>
            <w:tcW w:w="1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20</w:t>
            </w:r>
          </w:p>
        </w:tc>
      </w:tr>
      <w:tr w:rsidTr="00723ABA">
        <w:tblPrEx>
          <w:tblW w:w="0" w:type="auto"/>
          <w:tblLayout w:type="fixed"/>
          <w:tblCellMar>
            <w:left w:w="62" w:type="dxa"/>
            <w:right w:w="62" w:type="dxa"/>
          </w:tblCellMar>
          <w:tblLook w:val="0000"/>
        </w:tblPrEx>
        <w:trPr>
          <w:trHeight w:val="315"/>
        </w:trPr>
        <w:tc>
          <w:tcPr>
            <w:tcW w:w="1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UEENEEG006A</w:t>
            </w:r>
          </w:p>
        </w:tc>
        <w:tc>
          <w:tcPr>
            <w:tcW w:w="5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Solve problems in single and three phase low voltage machines</w:t>
            </w:r>
          </w:p>
        </w:tc>
        <w:tc>
          <w:tcPr>
            <w:tcW w:w="1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80</w:t>
            </w:r>
          </w:p>
        </w:tc>
      </w:tr>
      <w:tr w:rsidTr="00723ABA">
        <w:tblPrEx>
          <w:tblW w:w="0" w:type="auto"/>
          <w:tblLayout w:type="fixed"/>
          <w:tblCellMar>
            <w:left w:w="62" w:type="dxa"/>
            <w:right w:w="62" w:type="dxa"/>
          </w:tblCellMar>
          <w:tblLook w:val="0000"/>
        </w:tblPrEx>
        <w:trPr>
          <w:trHeight w:val="315"/>
        </w:trPr>
        <w:tc>
          <w:tcPr>
            <w:tcW w:w="1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UEENEEG033A</w:t>
            </w:r>
          </w:p>
        </w:tc>
        <w:tc>
          <w:tcPr>
            <w:tcW w:w="5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 xml:space="preserve">Solve problems in single and three phase low voltage electrical apparatus </w:t>
            </w:r>
            <w:r w:rsidRPr="000C3A0D">
              <w:t>and circuits</w:t>
            </w:r>
          </w:p>
        </w:tc>
        <w:tc>
          <w:tcPr>
            <w:tcW w:w="1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60</w:t>
            </w:r>
          </w:p>
        </w:tc>
      </w:tr>
      <w:tr w:rsidTr="00723ABA">
        <w:tblPrEx>
          <w:tblW w:w="0" w:type="auto"/>
          <w:tblLayout w:type="fixed"/>
          <w:tblCellMar>
            <w:left w:w="62" w:type="dxa"/>
            <w:right w:w="62" w:type="dxa"/>
          </w:tblCellMar>
          <w:tblLook w:val="0000"/>
        </w:tblPrEx>
        <w:trPr>
          <w:trHeight w:val="315"/>
        </w:trPr>
        <w:tc>
          <w:tcPr>
            <w:tcW w:w="1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UEENEEG063A</w:t>
            </w:r>
          </w:p>
        </w:tc>
        <w:tc>
          <w:tcPr>
            <w:tcW w:w="5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Arrange circuits, control and protection for general electrical installations</w:t>
            </w:r>
          </w:p>
        </w:tc>
        <w:tc>
          <w:tcPr>
            <w:tcW w:w="1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40</w:t>
            </w:r>
          </w:p>
        </w:tc>
      </w:tr>
      <w:tr w:rsidTr="00723ABA">
        <w:tblPrEx>
          <w:tblW w:w="0" w:type="auto"/>
          <w:tblLayout w:type="fixed"/>
          <w:tblCellMar>
            <w:left w:w="62" w:type="dxa"/>
            <w:right w:w="62" w:type="dxa"/>
          </w:tblCellMar>
          <w:tblLook w:val="0000"/>
        </w:tblPrEx>
        <w:trPr>
          <w:trHeight w:val="315"/>
        </w:trPr>
        <w:tc>
          <w:tcPr>
            <w:tcW w:w="1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UEENEEG101A</w:t>
            </w:r>
          </w:p>
        </w:tc>
        <w:tc>
          <w:tcPr>
            <w:tcW w:w="5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Solve problems in electromagnetic devices and related circuits</w:t>
            </w:r>
          </w:p>
        </w:tc>
        <w:tc>
          <w:tcPr>
            <w:tcW w:w="1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60</w:t>
            </w:r>
          </w:p>
        </w:tc>
      </w:tr>
      <w:tr w:rsidTr="00723ABA">
        <w:tblPrEx>
          <w:tblW w:w="0" w:type="auto"/>
          <w:tblLayout w:type="fixed"/>
          <w:tblCellMar>
            <w:left w:w="62" w:type="dxa"/>
            <w:right w:w="62" w:type="dxa"/>
          </w:tblCellMar>
          <w:tblLook w:val="0000"/>
        </w:tblPrEx>
        <w:trPr>
          <w:trHeight w:val="315"/>
        </w:trPr>
        <w:tc>
          <w:tcPr>
            <w:tcW w:w="1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UEENEEG102A</w:t>
            </w:r>
          </w:p>
        </w:tc>
        <w:tc>
          <w:tcPr>
            <w:tcW w:w="5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Solve problems in low voltage a.c. circuits</w:t>
            </w:r>
          </w:p>
        </w:tc>
        <w:tc>
          <w:tcPr>
            <w:tcW w:w="1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80</w:t>
            </w:r>
          </w:p>
        </w:tc>
      </w:tr>
      <w:tr w:rsidTr="00723ABA">
        <w:tblPrEx>
          <w:tblW w:w="0" w:type="auto"/>
          <w:tblLayout w:type="fixed"/>
          <w:tblCellMar>
            <w:left w:w="62" w:type="dxa"/>
            <w:right w:w="62" w:type="dxa"/>
          </w:tblCellMar>
          <w:tblLook w:val="0000"/>
        </w:tblPrEx>
        <w:trPr>
          <w:trHeight w:val="315"/>
        </w:trPr>
        <w:tc>
          <w:tcPr>
            <w:tcW w:w="1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UEENEEG103A</w:t>
            </w:r>
          </w:p>
        </w:tc>
        <w:tc>
          <w:tcPr>
            <w:tcW w:w="5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Install low voltage wiring and accessories</w:t>
            </w:r>
          </w:p>
        </w:tc>
        <w:tc>
          <w:tcPr>
            <w:tcW w:w="1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20</w:t>
            </w:r>
          </w:p>
        </w:tc>
      </w:tr>
      <w:tr w:rsidTr="00723ABA">
        <w:tblPrEx>
          <w:tblW w:w="0" w:type="auto"/>
          <w:tblLayout w:type="fixed"/>
          <w:tblCellMar>
            <w:left w:w="62" w:type="dxa"/>
            <w:right w:w="62" w:type="dxa"/>
          </w:tblCellMar>
          <w:tblLook w:val="0000"/>
        </w:tblPrEx>
        <w:trPr>
          <w:trHeight w:val="315"/>
        </w:trPr>
        <w:tc>
          <w:tcPr>
            <w:tcW w:w="1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UEENEEG104A</w:t>
            </w:r>
          </w:p>
        </w:tc>
        <w:tc>
          <w:tcPr>
            <w:tcW w:w="5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Install appliances, switchgear and associated accessories for low voltage electrical installations</w:t>
            </w:r>
          </w:p>
        </w:tc>
        <w:tc>
          <w:tcPr>
            <w:tcW w:w="1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20</w:t>
            </w:r>
          </w:p>
        </w:tc>
      </w:tr>
      <w:tr w:rsidTr="00723ABA">
        <w:tblPrEx>
          <w:tblW w:w="0" w:type="auto"/>
          <w:tblLayout w:type="fixed"/>
          <w:tblCellMar>
            <w:left w:w="62" w:type="dxa"/>
            <w:right w:w="62" w:type="dxa"/>
          </w:tblCellMar>
          <w:tblLook w:val="0000"/>
        </w:tblPrEx>
        <w:trPr>
          <w:trHeight w:val="315"/>
        </w:trPr>
        <w:tc>
          <w:tcPr>
            <w:tcW w:w="1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UEENEEG105A</w:t>
            </w:r>
          </w:p>
        </w:tc>
        <w:tc>
          <w:tcPr>
            <w:tcW w:w="5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 xml:space="preserve">Verify compliance and functionality of low voltage general electrical </w:t>
            </w:r>
            <w:r w:rsidRPr="000C3A0D">
              <w:t>installations</w:t>
            </w:r>
          </w:p>
        </w:tc>
        <w:tc>
          <w:tcPr>
            <w:tcW w:w="1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40</w:t>
            </w:r>
          </w:p>
        </w:tc>
      </w:tr>
      <w:tr w:rsidTr="00723ABA">
        <w:tblPrEx>
          <w:tblW w:w="0" w:type="auto"/>
          <w:tblLayout w:type="fixed"/>
          <w:tblCellMar>
            <w:left w:w="62" w:type="dxa"/>
            <w:right w:w="62" w:type="dxa"/>
          </w:tblCellMar>
          <w:tblLook w:val="0000"/>
        </w:tblPrEx>
        <w:trPr>
          <w:trHeight w:val="315"/>
        </w:trPr>
        <w:tc>
          <w:tcPr>
            <w:tcW w:w="1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UEENEEG106A</w:t>
            </w:r>
          </w:p>
        </w:tc>
        <w:tc>
          <w:tcPr>
            <w:tcW w:w="5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Terminate cables, cords and accessories for low voltage circuits</w:t>
            </w:r>
          </w:p>
        </w:tc>
        <w:tc>
          <w:tcPr>
            <w:tcW w:w="1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40</w:t>
            </w:r>
          </w:p>
        </w:tc>
      </w:tr>
      <w:tr w:rsidTr="00723ABA">
        <w:tblPrEx>
          <w:tblW w:w="0" w:type="auto"/>
          <w:tblLayout w:type="fixed"/>
          <w:tblCellMar>
            <w:left w:w="62" w:type="dxa"/>
            <w:right w:w="62" w:type="dxa"/>
          </w:tblCellMar>
          <w:tblLook w:val="0000"/>
        </w:tblPrEx>
        <w:trPr>
          <w:trHeight w:val="315"/>
        </w:trPr>
        <w:tc>
          <w:tcPr>
            <w:tcW w:w="1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UEENEEG107A</w:t>
            </w:r>
          </w:p>
        </w:tc>
        <w:tc>
          <w:tcPr>
            <w:tcW w:w="5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Select wiring systems and cables for low voltage general electrical installations</w:t>
            </w:r>
          </w:p>
        </w:tc>
        <w:tc>
          <w:tcPr>
            <w:tcW w:w="1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60</w:t>
            </w:r>
          </w:p>
        </w:tc>
      </w:tr>
      <w:tr w:rsidTr="00723ABA">
        <w:tblPrEx>
          <w:tblW w:w="0" w:type="auto"/>
          <w:tblLayout w:type="fixed"/>
          <w:tblCellMar>
            <w:left w:w="62" w:type="dxa"/>
            <w:right w:w="62" w:type="dxa"/>
          </w:tblCellMar>
          <w:tblLook w:val="0000"/>
        </w:tblPrEx>
        <w:trPr>
          <w:trHeight w:val="315"/>
        </w:trPr>
        <w:tc>
          <w:tcPr>
            <w:tcW w:w="1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UEENEEG108A</w:t>
            </w:r>
          </w:p>
        </w:tc>
        <w:tc>
          <w:tcPr>
            <w:tcW w:w="5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Trouble-shoot and repair faults in low voltage electrical apparatus and circuits</w:t>
            </w:r>
          </w:p>
        </w:tc>
        <w:tc>
          <w:tcPr>
            <w:tcW w:w="1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40</w:t>
            </w:r>
          </w:p>
        </w:tc>
      </w:tr>
      <w:tr w:rsidTr="00723ABA">
        <w:tblPrEx>
          <w:tblW w:w="0" w:type="auto"/>
          <w:tblLayout w:type="fixed"/>
          <w:tblCellMar>
            <w:left w:w="62" w:type="dxa"/>
            <w:right w:w="62" w:type="dxa"/>
          </w:tblCellMar>
          <w:tblLook w:val="0000"/>
        </w:tblPrEx>
        <w:trPr>
          <w:trHeight w:val="315"/>
        </w:trPr>
        <w:tc>
          <w:tcPr>
            <w:tcW w:w="1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UEENEEG109A</w:t>
            </w:r>
          </w:p>
        </w:tc>
        <w:tc>
          <w:tcPr>
            <w:tcW w:w="5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Develop and connect electrical control circuits</w:t>
            </w:r>
          </w:p>
        </w:tc>
        <w:tc>
          <w:tcPr>
            <w:tcW w:w="1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80</w:t>
            </w:r>
          </w:p>
        </w:tc>
      </w:tr>
      <w:tr w:rsidTr="00723ABA">
        <w:tblPrEx>
          <w:tblW w:w="0" w:type="auto"/>
          <w:tblLayout w:type="fixed"/>
          <w:tblCellMar>
            <w:left w:w="62" w:type="dxa"/>
            <w:right w:w="62" w:type="dxa"/>
          </w:tblCellMar>
          <w:tblLook w:val="0000"/>
        </w:tblPrEx>
        <w:trPr>
          <w:trHeight w:val="315"/>
        </w:trPr>
        <w:tc>
          <w:tcPr>
            <w:tcW w:w="1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UEENEEK145A</w:t>
            </w:r>
          </w:p>
        </w:tc>
        <w:tc>
          <w:tcPr>
            <w:tcW w:w="5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Implement and monitor energy sector environmental and sustainable policies and procedures</w:t>
            </w:r>
          </w:p>
        </w:tc>
        <w:tc>
          <w:tcPr>
            <w:tcW w:w="1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20</w:t>
            </w:r>
          </w:p>
        </w:tc>
      </w:tr>
      <w:tr w:rsidTr="00723ABA">
        <w:tblPrEx>
          <w:tblW w:w="0" w:type="auto"/>
          <w:tblLayout w:type="fixed"/>
          <w:tblCellMar>
            <w:left w:w="62" w:type="dxa"/>
            <w:right w:w="62" w:type="dxa"/>
          </w:tblCellMar>
          <w:tblLook w:val="0000"/>
        </w:tblPrEx>
        <w:trPr>
          <w:trHeight w:val="315"/>
        </w:trPr>
        <w:tc>
          <w:tcPr>
            <w:tcW w:w="1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U</w:t>
            </w:r>
            <w:r w:rsidRPr="000C3A0D">
              <w:t>EENEEM080A</w:t>
            </w:r>
          </w:p>
        </w:tc>
        <w:tc>
          <w:tcPr>
            <w:tcW w:w="5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Report on the integrity of explosion-protected equipment in a hazardous area</w:t>
            </w:r>
          </w:p>
        </w:tc>
        <w:tc>
          <w:tcPr>
            <w:tcW w:w="1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20</w:t>
            </w:r>
          </w:p>
        </w:tc>
      </w:tr>
      <w:tr w:rsidTr="00723ABA">
        <w:tblPrEx>
          <w:tblW w:w="0" w:type="auto"/>
          <w:tblLayout w:type="fixed"/>
          <w:tblCellMar>
            <w:left w:w="62" w:type="dxa"/>
            <w:right w:w="62" w:type="dxa"/>
          </w:tblCellMar>
          <w:tblLook w:val="0000"/>
        </w:tblPrEx>
        <w:trPr>
          <w:trHeight w:val="315"/>
        </w:trPr>
        <w:tc>
          <w:tcPr>
            <w:tcW w:w="736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C3A0D" w:rsidP="000C3A0D">
            <w:pPr>
              <w:pStyle w:val="BodyText"/>
            </w:pPr>
            <w:r w:rsidRPr="000C3A0D">
              <w:rPr>
                <w:rStyle w:val="SpecialBold"/>
              </w:rPr>
              <w:t>Total points in core</w:t>
            </w:r>
          </w:p>
        </w:tc>
        <w:tc>
          <w:tcPr>
            <w:tcW w:w="1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3A0D" w:rsidP="000C3A0D">
            <w:pPr>
              <w:pStyle w:val="BodyText"/>
            </w:pPr>
            <w:r w:rsidRPr="000C3A0D">
              <w:rPr>
                <w:rStyle w:val="SpecialBold"/>
              </w:rPr>
              <w:t>980</w:t>
            </w:r>
          </w:p>
        </w:tc>
      </w:tr>
    </w:tbl>
    <w:p w:rsidR="00000000" w:rsidRPr="000C3A0D" w:rsidP="000C3A0D">
      <w:pPr>
        <w:pStyle w:val="BodyText"/>
      </w:pPr>
    </w:p>
    <w:tbl>
      <w:tblPr>
        <w:tblW w:w="0" w:type="auto"/>
        <w:tblLayout w:type="fixed"/>
        <w:tblCellMar>
          <w:left w:w="62" w:type="dxa"/>
          <w:right w:w="62" w:type="dxa"/>
        </w:tblCellMar>
        <w:tblLook w:val="0000"/>
      </w:tblPr>
      <w:tblGrid>
        <w:gridCol w:w="567"/>
        <w:gridCol w:w="5387"/>
        <w:gridCol w:w="1276"/>
        <w:gridCol w:w="1417"/>
      </w:tblGrid>
      <w:tr w:rsidTr="00723ABA">
        <w:tblPrEx>
          <w:tblW w:w="0" w:type="auto"/>
          <w:tblLayout w:type="fixed"/>
          <w:tblCellMar>
            <w:left w:w="62" w:type="dxa"/>
            <w:right w:w="62" w:type="dxa"/>
          </w:tblCellMar>
          <w:tblLook w:val="0000"/>
        </w:tblPrEx>
        <w:trPr>
          <w:trHeight w:val="315"/>
          <w:tblHeader/>
        </w:trPr>
        <w:tc>
          <w:tcPr>
            <w:tcW w:w="8647" w:type="dxa"/>
            <w:gridSpan w:val="4"/>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0C3A0D" w:rsidP="000C3A0D">
            <w:pPr>
              <w:pStyle w:val="BodyText"/>
            </w:pPr>
            <w:r w:rsidRPr="000C3A0D">
              <w:rPr>
                <w:rStyle w:val="SpecialBold"/>
              </w:rPr>
              <w:t>Elective Competency Standard Units</w:t>
            </w:r>
          </w:p>
          <w:p w:rsidR="00000000" w:rsidP="000C3A0D">
            <w:pPr>
              <w:pStyle w:val="BodyText"/>
              <w:rPr>
                <w:lang w:val="en-NZ"/>
              </w:rPr>
            </w:pPr>
            <w:r w:rsidRPr="000C3A0D">
              <w:t>Complete Elective units to achieve a total of weighting of 300 points from the following groups:</w:t>
            </w:r>
          </w:p>
        </w:tc>
      </w:tr>
      <w:tr w:rsidTr="00723ABA">
        <w:tblPrEx>
          <w:tblW w:w="0" w:type="auto"/>
          <w:tblLayout w:type="fixed"/>
          <w:tblCellMar>
            <w:left w:w="62" w:type="dxa"/>
            <w:right w:w="62" w:type="dxa"/>
          </w:tblCellMar>
          <w:tblLook w:val="0000"/>
        </w:tblPrEx>
        <w:trPr>
          <w:trHeight w:val="315"/>
          <w:tblHeader/>
        </w:trPr>
        <w:tc>
          <w:tcPr>
            <w:tcW w:w="595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3A0D" w:rsidP="000C3A0D">
            <w:pPr>
              <w:pStyle w:val="BodyText"/>
            </w:pPr>
            <w:r w:rsidRPr="000C3A0D">
              <w:rPr>
                <w:rStyle w:val="SpecialBold"/>
              </w:rPr>
              <w:t>Group</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C3A0D" w:rsidP="000C3A0D">
            <w:pPr>
              <w:pStyle w:val="BodyText"/>
            </w:pPr>
            <w:r w:rsidRPr="000C3A0D">
              <w:rPr>
                <w:rStyle w:val="SpecialBold"/>
              </w:rPr>
              <w:t>Minimum points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3A0D">
            <w:pPr>
              <w:pStyle w:val="BodyText"/>
              <w:rPr>
                <w:lang w:val="en-NZ"/>
              </w:rPr>
            </w:pPr>
            <w:r w:rsidRPr="000C3A0D">
              <w:rPr>
                <w:rStyle w:val="SpecialBold"/>
              </w:rPr>
              <w:t>Maximum points</w:t>
            </w:r>
          </w:p>
        </w:tc>
      </w:tr>
      <w:tr w:rsidTr="00723ABA">
        <w:tblPrEx>
          <w:tblW w:w="0" w:type="auto"/>
          <w:tblLayout w:type="fixed"/>
          <w:tblCellMar>
            <w:left w:w="62" w:type="dxa"/>
            <w:right w:w="62" w:type="dxa"/>
          </w:tblCellMar>
          <w:tblLook w:val="0000"/>
        </w:tblPrEx>
        <w:trPr>
          <w:trHeight w:val="315"/>
          <w:tblHeader/>
        </w:trPr>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3A0D" w:rsidP="000C3A0D">
            <w:pPr>
              <w:pStyle w:val="BodyText"/>
            </w:pPr>
            <w:r w:rsidRPr="000C3A0D">
              <w:rPr>
                <w:rStyle w:val="SpecialBold"/>
              </w:rPr>
              <w:t>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C3A0D" w:rsidP="000C3A0D">
            <w:pPr>
              <w:pStyle w:val="BodyText"/>
            </w:pPr>
            <w:r w:rsidRPr="000C3A0D">
              <w:rPr>
                <w:rStyle w:val="SpecialBold"/>
              </w:rPr>
              <w:t>Imported and Common Elective Units</w:t>
            </w:r>
          </w:p>
          <w:p w:rsidR="00000000" w:rsidP="000C3A0D">
            <w:pPr>
              <w:pStyle w:val="BodyText"/>
              <w:rPr>
                <w:lang w:val="en-NZ"/>
              </w:rPr>
            </w:pPr>
            <w:r w:rsidRPr="000C3A0D">
              <w:t>Imported units from other training packages and/or state accredited courses can be added to this group, but they must be selected from qualifications where the unit is first package</w:t>
            </w:r>
            <w:r w:rsidRPr="000C3A0D">
              <w:t>d at AQF level 4.  If units have not being assigned a weighting by the relevant EE-Oz Industry Technical Advisory Committee, their weighting will be 10 points.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3A0D">
            <w:pPr>
              <w:pStyle w:val="BodyText"/>
              <w:rPr>
                <w:lang w:val="en-NZ"/>
              </w:rPr>
            </w:pPr>
            <w:r w:rsidRPr="000C3A0D">
              <w:t>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3A0D">
            <w:pPr>
              <w:pStyle w:val="BodyText"/>
              <w:rPr>
                <w:lang w:val="en-NZ"/>
              </w:rPr>
            </w:pPr>
            <w:r w:rsidRPr="000C3A0D">
              <w:t>60</w:t>
            </w:r>
          </w:p>
        </w:tc>
      </w:tr>
      <w:tr w:rsidTr="00723ABA">
        <w:tblPrEx>
          <w:tblW w:w="0" w:type="auto"/>
          <w:tblLayout w:type="fixed"/>
          <w:tblCellMar>
            <w:left w:w="62" w:type="dxa"/>
            <w:right w:w="62" w:type="dxa"/>
          </w:tblCellMar>
          <w:tblLook w:val="0000"/>
        </w:tblPrEx>
        <w:trPr>
          <w:trHeight w:val="315"/>
        </w:trPr>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3A0D" w:rsidP="000C3A0D">
            <w:pPr>
              <w:pStyle w:val="BodyText"/>
            </w:pPr>
            <w:r w:rsidRPr="000C3A0D">
              <w:rPr>
                <w:rStyle w:val="SpecialBold"/>
              </w:rPr>
              <w:t>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3A0D">
            <w:pPr>
              <w:pStyle w:val="BodyText"/>
              <w:rPr>
                <w:lang w:val="en-NZ"/>
              </w:rPr>
            </w:pPr>
            <w:r w:rsidRPr="000C3A0D">
              <w:rPr>
                <w:rStyle w:val="SpecialBold"/>
              </w:rPr>
              <w:t xml:space="preserve">Qualification Elective Units </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3A0D">
            <w:pPr>
              <w:pStyle w:val="BodyText"/>
              <w:rPr>
                <w:lang w:val="en-NZ"/>
              </w:rPr>
            </w:pPr>
            <w:r w:rsidRPr="000C3A0D">
              <w:t>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3A0D">
            <w:pPr>
              <w:pStyle w:val="BodyText"/>
              <w:rPr>
                <w:lang w:val="en-NZ"/>
              </w:rPr>
            </w:pPr>
            <w:r w:rsidRPr="000C3A0D">
              <w:t>80</w:t>
            </w:r>
          </w:p>
        </w:tc>
      </w:tr>
      <w:tr w:rsidTr="00723ABA">
        <w:tblPrEx>
          <w:tblW w:w="0" w:type="auto"/>
          <w:tblLayout w:type="fixed"/>
          <w:tblCellMar>
            <w:left w:w="62" w:type="dxa"/>
            <w:right w:w="62" w:type="dxa"/>
          </w:tblCellMar>
          <w:tblLook w:val="0000"/>
        </w:tblPrEx>
        <w:trPr>
          <w:trHeight w:val="315"/>
        </w:trPr>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3A0D" w:rsidP="000C3A0D">
            <w:pPr>
              <w:pStyle w:val="BodyText"/>
            </w:pPr>
            <w:r w:rsidRPr="000C3A0D">
              <w:rPr>
                <w:rStyle w:val="SpecialBold"/>
              </w:rPr>
              <w:t>C</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C3A0D" w:rsidP="000C3A0D">
            <w:pPr>
              <w:pStyle w:val="BodyText"/>
            </w:pPr>
            <w:r w:rsidRPr="000C3A0D">
              <w:rPr>
                <w:rStyle w:val="SpecialBold"/>
              </w:rPr>
              <w:t xml:space="preserve">Qualification Elective Units </w:t>
            </w:r>
          </w:p>
          <w:p w:rsidR="00000000" w:rsidP="000C3A0D">
            <w:pPr>
              <w:pStyle w:val="BodyText"/>
              <w:rPr>
                <w:lang w:val="en-NZ"/>
              </w:rPr>
            </w:pPr>
            <w:r w:rsidRPr="000C3A0D">
              <w:t>You may select all your elective units from this Group</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3A0D">
            <w:pPr>
              <w:pStyle w:val="BodyText"/>
              <w:rPr>
                <w:lang w:val="en-NZ"/>
              </w:rPr>
            </w:pPr>
            <w:r w:rsidRPr="000C3A0D">
              <w:t>220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C3A0D" w:rsidP="000C3A0D">
            <w:pPr>
              <w:pStyle w:val="BodyText"/>
            </w:pPr>
            <w:r w:rsidRPr="000C3A0D">
              <w:t>300</w:t>
            </w:r>
          </w:p>
        </w:tc>
      </w:tr>
    </w:tbl>
    <w:p w:rsidR="00000000" w:rsidRPr="000C3A0D" w:rsidP="000C3A0D">
      <w:pPr>
        <w:pStyle w:val="BodyText"/>
      </w:pPr>
    </w:p>
    <w:tbl>
      <w:tblPr>
        <w:tblW w:w="0" w:type="auto"/>
        <w:tblLayout w:type="fixed"/>
        <w:tblCellMar>
          <w:left w:w="62" w:type="dxa"/>
          <w:right w:w="62" w:type="dxa"/>
        </w:tblCellMar>
        <w:tblLook w:val="0000"/>
      </w:tblPr>
      <w:tblGrid>
        <w:gridCol w:w="1985"/>
        <w:gridCol w:w="142"/>
        <w:gridCol w:w="5103"/>
        <w:gridCol w:w="1417"/>
      </w:tblGrid>
      <w:tr w:rsidTr="00723ABA">
        <w:tblPrEx>
          <w:tblW w:w="0" w:type="auto"/>
          <w:tblLayout w:type="fixed"/>
          <w:tblCellMar>
            <w:left w:w="62" w:type="dxa"/>
            <w:right w:w="62" w:type="dxa"/>
          </w:tblCellMar>
          <w:tblLook w:val="0000"/>
        </w:tblPrEx>
        <w:trPr>
          <w:trHeight w:val="315"/>
        </w:trPr>
        <w:tc>
          <w:tcPr>
            <w:tcW w:w="7230" w:type="dxa"/>
            <w:gridSpan w:val="3"/>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0C3A0D" w:rsidP="000C3A0D">
            <w:pPr>
              <w:pStyle w:val="BodyText"/>
            </w:pPr>
            <w:r w:rsidRPr="000C3A0D">
              <w:rPr>
                <w:rStyle w:val="SpecialBold"/>
              </w:rPr>
              <w:t>Group A – Imported and Common Elective Units</w:t>
            </w:r>
          </w:p>
          <w:p w:rsidR="00000000" w:rsidRPr="000C3A0D" w:rsidP="000C3A0D">
            <w:pPr>
              <w:pStyle w:val="BodyText"/>
            </w:pPr>
            <w:r w:rsidRPr="000C3A0D">
              <w:t>You may complete units to a maximum weighting of 60</w:t>
            </w:r>
          </w:p>
        </w:tc>
        <w:tc>
          <w:tcPr>
            <w:tcW w:w="1417"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0C3A0D">
            <w:pPr>
              <w:pStyle w:val="BodyText"/>
              <w:rPr>
                <w:lang w:val="en-NZ"/>
              </w:rPr>
            </w:pPr>
            <w:r w:rsidRPr="000C3A0D">
              <w:rPr>
                <w:rStyle w:val="SpecialBold"/>
              </w:rPr>
              <w:t>Weighting Points</w:t>
            </w:r>
          </w:p>
        </w:tc>
      </w:tr>
      <w:tr w:rsidTr="00723ABA">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UEENEEC001B</w:t>
            </w:r>
          </w:p>
        </w:tc>
        <w:tc>
          <w:tcPr>
            <w:tcW w:w="52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Maintain documentation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20</w:t>
            </w:r>
          </w:p>
        </w:tc>
      </w:tr>
      <w:tr w:rsidTr="00723ABA">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UEENEEC002B</w:t>
            </w:r>
          </w:p>
        </w:tc>
        <w:tc>
          <w:tcPr>
            <w:tcW w:w="52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Source and purchase material/parts for installation or service jobs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20</w:t>
            </w:r>
          </w:p>
        </w:tc>
      </w:tr>
      <w:tr w:rsidTr="00723ABA">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UEENEEC003B</w:t>
            </w:r>
          </w:p>
        </w:tc>
        <w:tc>
          <w:tcPr>
            <w:tcW w:w="52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Provide quotations for installation or service jobs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20</w:t>
            </w:r>
          </w:p>
        </w:tc>
      </w:tr>
      <w:tr w:rsidTr="00723ABA">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UEENEEC010B</w:t>
            </w:r>
          </w:p>
        </w:tc>
        <w:tc>
          <w:tcPr>
            <w:tcW w:w="52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Deliver a service to customers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20</w:t>
            </w:r>
          </w:p>
        </w:tc>
      </w:tr>
      <w:tr w:rsidTr="00723ABA">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UEENEED101A</w:t>
            </w:r>
          </w:p>
        </w:tc>
        <w:tc>
          <w:tcPr>
            <w:tcW w:w="52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Use computer applications relevant to a workplace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20</w:t>
            </w:r>
          </w:p>
        </w:tc>
      </w:tr>
      <w:tr w:rsidTr="00723ABA">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UEENEEE009B</w:t>
            </w:r>
          </w:p>
        </w:tc>
        <w:tc>
          <w:tcPr>
            <w:tcW w:w="52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Comply with scheduled and preventative maintenance program processes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20</w:t>
            </w:r>
          </w:p>
        </w:tc>
      </w:tr>
      <w:tr w:rsidTr="00723ABA">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UEENEEE020B</w:t>
            </w:r>
          </w:p>
        </w:tc>
        <w:tc>
          <w:tcPr>
            <w:tcW w:w="52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Provide basic instruction in the use of electrotechnology apparatus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20</w:t>
            </w:r>
          </w:p>
        </w:tc>
      </w:tr>
      <w:tr w:rsidTr="00723ABA">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CPCCOHS1001A</w:t>
            </w:r>
          </w:p>
        </w:tc>
        <w:tc>
          <w:tcPr>
            <w:tcW w:w="52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Work safely in the construction industry</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10</w:t>
            </w:r>
          </w:p>
        </w:tc>
      </w:tr>
      <w:tr w:rsidTr="00723ABA">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3A0D" w:rsidP="000C3A0D">
            <w:pPr>
              <w:pStyle w:val="BodyText"/>
            </w:pPr>
            <w:r w:rsidRPr="000C3A0D">
              <w:t>HLTAID001</w:t>
            </w:r>
          </w:p>
          <w:p w:rsidR="00000000" w:rsidP="000C3A0D">
            <w:pPr>
              <w:pStyle w:val="BodyText"/>
              <w:rPr>
                <w:lang w:val="en-NZ"/>
              </w:rPr>
            </w:pPr>
            <w:r w:rsidRPr="000C3A0D">
              <w:rPr>
                <w:rStyle w:val="SpecialBold"/>
              </w:rPr>
              <w:t>^ HLTAID009</w:t>
            </w:r>
          </w:p>
        </w:tc>
        <w:tc>
          <w:tcPr>
            <w:tcW w:w="52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3A0D" w:rsidP="000C3A0D">
            <w:pPr>
              <w:pStyle w:val="BodyText"/>
            </w:pPr>
            <w:r w:rsidRPr="000C3A0D">
              <w:t>Provide cardiopulmonary resuscitation</w:t>
            </w:r>
          </w:p>
          <w:p w:rsidR="00000000" w:rsidP="000C3A0D">
            <w:pPr>
              <w:pStyle w:val="BodyText"/>
              <w:rPr>
                <w:lang w:val="en-NZ"/>
              </w:rPr>
            </w:pPr>
            <w:r w:rsidRPr="000C3A0D">
              <w:rPr>
                <w:rStyle w:val="SpecialBold"/>
              </w:rPr>
              <w:t>Provide cardiopulmonary resuscitation (must be delivered from 1 July 2022)</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10</w:t>
            </w:r>
          </w:p>
        </w:tc>
      </w:tr>
      <w:tr w:rsidTr="00723ABA">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52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3A0D" w:rsidP="000C3A0D">
            <w:pPr>
              <w:pStyle w:val="BodyText"/>
            </w:pPr>
            <w:r w:rsidRPr="000C3A0D">
              <w:t>Imported units from other training packages and/or state accredited courses can be added to this group, but they must be selected from qualifications where the unit is first packaged at AQF level 4.  If units have not being assigned a weighting by the rele</w:t>
            </w:r>
            <w:r w:rsidRPr="000C3A0D">
              <w:t xml:space="preserve">vant EE-Oz Industry Technical Advisory Committee, their weighting will be 10 points. </w:t>
            </w:r>
          </w:p>
          <w:p w:rsidR="00000000" w:rsidRPr="000C3A0D" w:rsidP="000C3A0D">
            <w:pPr>
              <w:pStyle w:val="BodyText"/>
            </w:pPr>
          </w:p>
          <w:p w:rsidR="00000000" w:rsidP="000C3A0D">
            <w:pPr>
              <w:pStyle w:val="BodyText"/>
              <w:rPr>
                <w:lang w:val="en-NZ"/>
              </w:rPr>
            </w:pPr>
            <w:r w:rsidRPr="000C3A0D">
              <w:t>Note: For further information see Application of the NQC Flexibility Formula, UEE11 Electrotechnology Training Package, Version 1, Volume 1 Qualification Framework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3A0D" w:rsidP="000C3A0D">
            <w:pPr>
              <w:pStyle w:val="BodyText"/>
            </w:pPr>
          </w:p>
          <w:p w:rsidR="00000000" w:rsidP="000C3A0D">
            <w:pPr>
              <w:pStyle w:val="BodyText"/>
              <w:rPr>
                <w:lang w:val="en-NZ"/>
              </w:rPr>
            </w:pPr>
            <w:r w:rsidRPr="000C3A0D">
              <w:t xml:space="preserve">Up </w:t>
            </w:r>
            <w:r w:rsidRPr="000C3A0D">
              <w:t>to 60 points</w:t>
            </w:r>
          </w:p>
        </w:tc>
      </w:tr>
      <w:tr w:rsidTr="00723ABA">
        <w:tblPrEx>
          <w:tblW w:w="0" w:type="auto"/>
          <w:tblLayout w:type="fixed"/>
          <w:tblCellMar>
            <w:left w:w="62" w:type="dxa"/>
            <w:right w:w="62" w:type="dxa"/>
          </w:tblCellMar>
          <w:tblLook w:val="0000"/>
        </w:tblPrEx>
        <w:trPr>
          <w:trHeight w:val="315"/>
        </w:trPr>
        <w:tc>
          <w:tcPr>
            <w:tcW w:w="7230" w:type="dxa"/>
            <w:gridSpan w:val="3"/>
            <w:tcBorders>
              <w:top w:val="single" w:sz="4" w:space="0" w:color="auto"/>
              <w:left w:val="nil"/>
              <w:bottom w:val="single" w:sz="4" w:space="0" w:color="auto"/>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417" w:type="dxa"/>
            <w:tcBorders>
              <w:top w:val="single" w:sz="4" w:space="0" w:color="auto"/>
              <w:left w:val="nil"/>
              <w:bottom w:val="single" w:sz="4" w:space="0" w:color="auto"/>
              <w:right w:val="nil"/>
            </w:tcBorders>
            <w:tcMar>
              <w:top w:w="0" w:type="dxa"/>
              <w:left w:w="62" w:type="dxa"/>
              <w:bottom w:w="0" w:type="dxa"/>
              <w:right w:w="62" w:type="dxa"/>
            </w:tcMar>
          </w:tcPr>
          <w:p w:rsidR="00000000" w:rsidP="000C3A0D">
            <w:pPr>
              <w:pStyle w:val="BodyText"/>
              <w:rPr>
                <w:lang w:val="en-NZ"/>
              </w:rPr>
            </w:pPr>
          </w:p>
        </w:tc>
      </w:tr>
      <w:tr w:rsidTr="00723ABA">
        <w:tblPrEx>
          <w:tblW w:w="0" w:type="auto"/>
          <w:tblLayout w:type="fixed"/>
          <w:tblCellMar>
            <w:left w:w="62" w:type="dxa"/>
            <w:right w:w="62" w:type="dxa"/>
          </w:tblCellMar>
          <w:tblLook w:val="0000"/>
        </w:tblPrEx>
        <w:trPr>
          <w:trHeight w:val="315"/>
        </w:trPr>
        <w:tc>
          <w:tcPr>
            <w:tcW w:w="7230" w:type="dxa"/>
            <w:gridSpan w:val="3"/>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0C3A0D" w:rsidP="000C3A0D">
            <w:pPr>
              <w:pStyle w:val="BodyText"/>
            </w:pPr>
            <w:r w:rsidRPr="000C3A0D">
              <w:rPr>
                <w:rStyle w:val="SpecialBold"/>
              </w:rPr>
              <w:t>Group B – Qualification Elective Units</w:t>
            </w:r>
          </w:p>
          <w:p w:rsidR="00000000" w:rsidRPr="000C3A0D" w:rsidP="000C3A0D">
            <w:pPr>
              <w:pStyle w:val="BodyText"/>
            </w:pPr>
            <w:r w:rsidRPr="000C3A0D">
              <w:t>You may complete units to a maximum weighting of 80</w:t>
            </w:r>
          </w:p>
        </w:tc>
        <w:tc>
          <w:tcPr>
            <w:tcW w:w="1417"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0C3A0D">
            <w:pPr>
              <w:pStyle w:val="BodyText"/>
              <w:rPr>
                <w:lang w:val="en-NZ"/>
              </w:rPr>
            </w:pPr>
            <w:r w:rsidRPr="000C3A0D">
              <w:rPr>
                <w:rStyle w:val="SpecialBold"/>
              </w:rPr>
              <w:t>Weighting Points</w:t>
            </w:r>
          </w:p>
        </w:tc>
      </w:tr>
      <w:tr w:rsidTr="00723ABA">
        <w:tblPrEx>
          <w:tblW w:w="0" w:type="auto"/>
          <w:tblLayout w:type="fixed"/>
          <w:tblCellMar>
            <w:left w:w="62" w:type="dxa"/>
            <w:right w:w="62" w:type="dxa"/>
          </w:tblCellMar>
          <w:tblLook w:val="0000"/>
        </w:tblPrEx>
        <w:trPr>
          <w:trHeight w:val="315"/>
        </w:trPr>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UEENEEM019A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 xml:space="preserve">Attend to breakdowns in hazardous areas — coal mining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20</w:t>
            </w:r>
          </w:p>
        </w:tc>
      </w:tr>
      <w:tr w:rsidTr="00723ABA">
        <w:tblPrEx>
          <w:tblW w:w="0" w:type="auto"/>
          <w:tblLayout w:type="fixed"/>
          <w:tblCellMar>
            <w:left w:w="62" w:type="dxa"/>
            <w:right w:w="62" w:type="dxa"/>
          </w:tblCellMar>
          <w:tblLook w:val="0000"/>
        </w:tblPrEx>
        <w:trPr>
          <w:trHeight w:val="315"/>
        </w:trPr>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UEENEEM020A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Attend to breakdowns in hazardous areas —</w:t>
            </w:r>
            <w:r w:rsidRPr="000C3A0D">
              <w:t xml:space="preserve"> gas atmospheres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20</w:t>
            </w:r>
          </w:p>
        </w:tc>
      </w:tr>
      <w:tr w:rsidTr="00723ABA">
        <w:tblPrEx>
          <w:tblW w:w="0" w:type="auto"/>
          <w:tblLayout w:type="fixed"/>
          <w:tblCellMar>
            <w:left w:w="62" w:type="dxa"/>
            <w:right w:w="62" w:type="dxa"/>
          </w:tblCellMar>
          <w:tblLook w:val="0000"/>
        </w:tblPrEx>
        <w:trPr>
          <w:trHeight w:val="315"/>
        </w:trPr>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UEENEEM021A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Attend to breakdowns in hazardous areas — dust atmospheres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20</w:t>
            </w:r>
          </w:p>
        </w:tc>
      </w:tr>
      <w:tr w:rsidTr="00723ABA">
        <w:tblPrEx>
          <w:tblW w:w="0" w:type="auto"/>
          <w:tblLayout w:type="fixed"/>
          <w:tblCellMar>
            <w:left w:w="62" w:type="dxa"/>
            <w:right w:w="62" w:type="dxa"/>
          </w:tblCellMar>
          <w:tblLook w:val="0000"/>
        </w:tblPrEx>
        <w:trPr>
          <w:trHeight w:val="315"/>
        </w:trPr>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UEENEEM022A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 xml:space="preserve">Attend to breakdowns in hazardous areas — pressurisation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20</w:t>
            </w:r>
          </w:p>
        </w:tc>
      </w:tr>
      <w:tr w:rsidTr="00723ABA">
        <w:tblPrEx>
          <w:tblW w:w="0" w:type="auto"/>
          <w:tblLayout w:type="fixed"/>
          <w:tblCellMar>
            <w:left w:w="62" w:type="dxa"/>
            <w:right w:w="62" w:type="dxa"/>
          </w:tblCellMar>
          <w:tblLook w:val="0000"/>
        </w:tblPrEx>
        <w:trPr>
          <w:trHeight w:val="315"/>
        </w:trPr>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UEENEEM023A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Install explosion-protected equipment and wiring systems —</w:t>
            </w:r>
            <w:r w:rsidRPr="000C3A0D">
              <w:t xml:space="preserve"> coal mining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60</w:t>
            </w:r>
          </w:p>
        </w:tc>
      </w:tr>
      <w:tr w:rsidTr="00723ABA">
        <w:tblPrEx>
          <w:tblW w:w="0" w:type="auto"/>
          <w:tblLayout w:type="fixed"/>
          <w:tblCellMar>
            <w:left w:w="62" w:type="dxa"/>
            <w:right w:w="62" w:type="dxa"/>
          </w:tblCellMar>
          <w:tblLook w:val="0000"/>
        </w:tblPrEx>
        <w:trPr>
          <w:trHeight w:val="315"/>
        </w:trPr>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UEENEEM024A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 xml:space="preserve">Install explosion-protected equipment and wiring systems — gas atmospheres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60</w:t>
            </w:r>
          </w:p>
        </w:tc>
      </w:tr>
      <w:tr w:rsidTr="00723ABA">
        <w:tblPrEx>
          <w:tblW w:w="0" w:type="auto"/>
          <w:tblLayout w:type="fixed"/>
          <w:tblCellMar>
            <w:left w:w="62" w:type="dxa"/>
            <w:right w:w="62" w:type="dxa"/>
          </w:tblCellMar>
          <w:tblLook w:val="0000"/>
        </w:tblPrEx>
        <w:trPr>
          <w:trHeight w:val="315"/>
        </w:trPr>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UEENEEM025A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Install explosion-protected equipment and wiring systems — dust atmospheres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60</w:t>
            </w:r>
          </w:p>
        </w:tc>
      </w:tr>
      <w:tr w:rsidTr="00723ABA">
        <w:tblPrEx>
          <w:tblW w:w="0" w:type="auto"/>
          <w:tblLayout w:type="fixed"/>
          <w:tblCellMar>
            <w:left w:w="62" w:type="dxa"/>
            <w:right w:w="62" w:type="dxa"/>
          </w:tblCellMar>
          <w:tblLook w:val="0000"/>
        </w:tblPrEx>
        <w:trPr>
          <w:trHeight w:val="315"/>
        </w:trPr>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UEENEEM026A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Install explosion-protected equipment a</w:t>
            </w:r>
            <w:r w:rsidRPr="000C3A0D">
              <w:t xml:space="preserve">nd wiring systems — pressurisation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60</w:t>
            </w:r>
          </w:p>
        </w:tc>
      </w:tr>
      <w:tr w:rsidTr="00723ABA">
        <w:tblPrEx>
          <w:tblW w:w="0" w:type="auto"/>
          <w:tblLayout w:type="fixed"/>
          <w:tblCellMar>
            <w:left w:w="62" w:type="dxa"/>
            <w:right w:w="62" w:type="dxa"/>
          </w:tblCellMar>
          <w:tblLook w:val="0000"/>
        </w:tblPrEx>
        <w:trPr>
          <w:trHeight w:val="315"/>
        </w:trPr>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UEENEEM027A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 xml:space="preserve">Maintain equipment in hazardous areas — coal mining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60</w:t>
            </w:r>
          </w:p>
        </w:tc>
      </w:tr>
      <w:tr w:rsidTr="00723ABA">
        <w:tblPrEx>
          <w:tblW w:w="0" w:type="auto"/>
          <w:tblLayout w:type="fixed"/>
          <w:tblCellMar>
            <w:left w:w="62" w:type="dxa"/>
            <w:right w:w="62" w:type="dxa"/>
          </w:tblCellMar>
          <w:tblLook w:val="0000"/>
        </w:tblPrEx>
        <w:trPr>
          <w:trHeight w:val="315"/>
        </w:trPr>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UEENEEM028A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 xml:space="preserve">Maintain equipment in hazardous areas — gas atmospheres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60</w:t>
            </w:r>
          </w:p>
        </w:tc>
      </w:tr>
      <w:tr w:rsidTr="00723ABA">
        <w:tblPrEx>
          <w:tblW w:w="0" w:type="auto"/>
          <w:tblLayout w:type="fixed"/>
          <w:tblCellMar>
            <w:left w:w="62" w:type="dxa"/>
            <w:right w:w="62" w:type="dxa"/>
          </w:tblCellMar>
          <w:tblLook w:val="0000"/>
        </w:tblPrEx>
        <w:trPr>
          <w:trHeight w:val="315"/>
        </w:trPr>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UEENEEM029A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Maintain equipment in hazardous areas — dust atmospheres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60</w:t>
            </w:r>
          </w:p>
        </w:tc>
      </w:tr>
      <w:tr w:rsidTr="00723ABA">
        <w:tblPrEx>
          <w:tblW w:w="0" w:type="auto"/>
          <w:tblLayout w:type="fixed"/>
          <w:tblCellMar>
            <w:left w:w="62" w:type="dxa"/>
            <w:right w:w="62" w:type="dxa"/>
          </w:tblCellMar>
          <w:tblLook w:val="0000"/>
        </w:tblPrEx>
        <w:trPr>
          <w:trHeight w:val="315"/>
        </w:trPr>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UEENEEM030A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Maintain equipment in hazardous areas — pressurisation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60</w:t>
            </w:r>
          </w:p>
        </w:tc>
      </w:tr>
      <w:tr w:rsidTr="00723ABA">
        <w:tblPrEx>
          <w:tblW w:w="0" w:type="auto"/>
          <w:tblLayout w:type="fixed"/>
          <w:tblCellMar>
            <w:left w:w="62" w:type="dxa"/>
            <w:right w:w="62" w:type="dxa"/>
          </w:tblCellMar>
          <w:tblLook w:val="0000"/>
        </w:tblPrEx>
        <w:trPr>
          <w:trHeight w:val="315"/>
        </w:trPr>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UEENEEM031A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Overhaul and repair of explosion-protected equipment — coal mining</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60</w:t>
            </w:r>
          </w:p>
        </w:tc>
      </w:tr>
      <w:tr w:rsidTr="00723ABA">
        <w:tblPrEx>
          <w:tblW w:w="0" w:type="auto"/>
          <w:tblLayout w:type="fixed"/>
          <w:tblCellMar>
            <w:left w:w="62" w:type="dxa"/>
            <w:right w:w="62" w:type="dxa"/>
          </w:tblCellMar>
          <w:tblLook w:val="0000"/>
        </w:tblPrEx>
        <w:trPr>
          <w:trHeight w:val="315"/>
        </w:trPr>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UEENEEM032A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Overhaul and repair of explosion-protected equipment — flameproof enclosures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60</w:t>
            </w:r>
          </w:p>
        </w:tc>
      </w:tr>
      <w:tr w:rsidTr="00723ABA">
        <w:tblPrEx>
          <w:tblW w:w="0" w:type="auto"/>
          <w:tblLayout w:type="fixed"/>
          <w:tblCellMar>
            <w:left w:w="62" w:type="dxa"/>
            <w:right w:w="62" w:type="dxa"/>
          </w:tblCellMar>
          <w:tblLook w:val="0000"/>
        </w:tblPrEx>
        <w:trPr>
          <w:trHeight w:val="315"/>
        </w:trPr>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UEENEEM033A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Overhaul and repair of explosion-protected equipment — gas atmospheres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60</w:t>
            </w:r>
          </w:p>
        </w:tc>
      </w:tr>
      <w:tr w:rsidTr="00723ABA">
        <w:tblPrEx>
          <w:tblW w:w="0" w:type="auto"/>
          <w:tblLayout w:type="fixed"/>
          <w:tblCellMar>
            <w:left w:w="62" w:type="dxa"/>
            <w:right w:w="62" w:type="dxa"/>
          </w:tblCellMar>
          <w:tblLook w:val="0000"/>
        </w:tblPrEx>
        <w:trPr>
          <w:trHeight w:val="315"/>
        </w:trPr>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UEENEEM034A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 xml:space="preserve">Overhaul and repair of explosion-protected equipment — dust atmospheres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40</w:t>
            </w:r>
          </w:p>
        </w:tc>
      </w:tr>
      <w:tr w:rsidTr="00723ABA">
        <w:tblPrEx>
          <w:tblW w:w="0" w:type="auto"/>
          <w:tblLayout w:type="fixed"/>
          <w:tblCellMar>
            <w:left w:w="62" w:type="dxa"/>
            <w:right w:w="62" w:type="dxa"/>
          </w:tblCellMar>
          <w:tblLook w:val="0000"/>
        </w:tblPrEx>
        <w:trPr>
          <w:trHeight w:val="315"/>
        </w:trPr>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UEENEEM060A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 xml:space="preserve">Carry out overhaul and repair of explosion-protected equipment — </w:t>
            </w:r>
            <w:r w:rsidRPr="000C3A0D">
              <w:t xml:space="preserve">coal mining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60</w:t>
            </w:r>
          </w:p>
        </w:tc>
      </w:tr>
      <w:tr w:rsidTr="00723ABA">
        <w:tblPrEx>
          <w:tblW w:w="0" w:type="auto"/>
          <w:tblLayout w:type="fixed"/>
          <w:tblCellMar>
            <w:left w:w="62" w:type="dxa"/>
            <w:right w:w="62" w:type="dxa"/>
          </w:tblCellMar>
          <w:tblLook w:val="0000"/>
        </w:tblPrEx>
        <w:trPr>
          <w:trHeight w:val="315"/>
        </w:trPr>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UEENEEM061A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Carry out overhaul and repair of explosion-protected equipment — flameproof enclosures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60</w:t>
            </w:r>
          </w:p>
        </w:tc>
      </w:tr>
      <w:tr w:rsidTr="00723ABA">
        <w:tblPrEx>
          <w:tblW w:w="0" w:type="auto"/>
          <w:tblLayout w:type="fixed"/>
          <w:tblCellMar>
            <w:left w:w="62" w:type="dxa"/>
            <w:right w:w="62" w:type="dxa"/>
          </w:tblCellMar>
          <w:tblLook w:val="0000"/>
        </w:tblPrEx>
        <w:trPr>
          <w:trHeight w:val="315"/>
        </w:trPr>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UEENEEM062A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Carry out overhaul and repair of explosion-protected equipment — gas atmospheres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60</w:t>
            </w:r>
          </w:p>
        </w:tc>
      </w:tr>
      <w:tr w:rsidTr="00723ABA">
        <w:tblPrEx>
          <w:tblW w:w="0" w:type="auto"/>
          <w:tblLayout w:type="fixed"/>
          <w:tblCellMar>
            <w:left w:w="62" w:type="dxa"/>
            <w:right w:w="62" w:type="dxa"/>
          </w:tblCellMar>
          <w:tblLook w:val="0000"/>
        </w:tblPrEx>
        <w:trPr>
          <w:trHeight w:val="315"/>
        </w:trPr>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UEENEEM063A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Carry out overhaul and repair of explosion-protected equipment — dust atmospheres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60</w:t>
            </w:r>
          </w:p>
        </w:tc>
      </w:tr>
      <w:tr w:rsidTr="00723ABA">
        <w:tblPrEx>
          <w:tblW w:w="0" w:type="auto"/>
          <w:tblLayout w:type="fixed"/>
          <w:tblCellMar>
            <w:left w:w="62" w:type="dxa"/>
            <w:right w:w="62" w:type="dxa"/>
          </w:tblCellMar>
          <w:tblLook w:val="0000"/>
        </w:tblPrEx>
        <w:trPr>
          <w:trHeight w:val="315"/>
        </w:trPr>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UEENEEM070A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Repair reeling, trailing and flexible cables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60</w:t>
            </w:r>
          </w:p>
        </w:tc>
      </w:tr>
      <w:tr w:rsidTr="00723ABA">
        <w:tblPrEx>
          <w:tblW w:w="0" w:type="auto"/>
          <w:tblLayout w:type="fixed"/>
          <w:tblCellMar>
            <w:left w:w="62" w:type="dxa"/>
            <w:right w:w="62" w:type="dxa"/>
          </w:tblCellMar>
          <w:tblLook w:val="0000"/>
        </w:tblPrEx>
        <w:trPr>
          <w:trHeight w:val="315"/>
        </w:trPr>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UEENEEM071A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Test reeling, trailing and flexible cables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60</w:t>
            </w:r>
          </w:p>
        </w:tc>
      </w:tr>
      <w:tr w:rsidTr="00723ABA">
        <w:tblPrEx>
          <w:tblW w:w="0" w:type="auto"/>
          <w:tblLayout w:type="fixed"/>
          <w:tblCellMar>
            <w:left w:w="62" w:type="dxa"/>
            <w:right w:w="62" w:type="dxa"/>
          </w:tblCellMar>
          <w:tblLook w:val="0000"/>
        </w:tblPrEx>
        <w:trPr>
          <w:trHeight w:val="315"/>
        </w:trPr>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UEENEEM072A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Inspect and fit plugs/couplers for reeling, trailing and flexible cables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60</w:t>
            </w:r>
          </w:p>
        </w:tc>
      </w:tr>
      <w:tr w:rsidTr="00723ABA">
        <w:tblPrEx>
          <w:tblW w:w="0" w:type="auto"/>
          <w:tblLayout w:type="fixed"/>
          <w:tblCellMar>
            <w:left w:w="62" w:type="dxa"/>
            <w:right w:w="62" w:type="dxa"/>
          </w:tblCellMar>
          <w:tblLook w:val="0000"/>
        </w:tblPrEx>
        <w:trPr>
          <w:trHeight w:val="315"/>
        </w:trPr>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UEENEEM073A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Verify compliance of repaired reeling, trailing and flexible cables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60</w:t>
            </w:r>
          </w:p>
        </w:tc>
      </w:tr>
      <w:tr w:rsidTr="00723ABA">
        <w:tblPrEx>
          <w:tblW w:w="0" w:type="auto"/>
          <w:tblLayout w:type="fixed"/>
          <w:tblCellMar>
            <w:left w:w="62" w:type="dxa"/>
            <w:right w:w="62" w:type="dxa"/>
          </w:tblCellMar>
          <w:tblLook w:val="0000"/>
        </w:tblPrEx>
        <w:trPr>
          <w:trHeight w:val="315"/>
        </w:trPr>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UEENEEM076A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Use and maintain the integrity of a portable gas detection device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20</w:t>
            </w:r>
          </w:p>
        </w:tc>
      </w:tr>
      <w:tr w:rsidTr="00723ABA">
        <w:tblPrEx>
          <w:tblW w:w="0" w:type="auto"/>
          <w:tblLayout w:type="fixed"/>
          <w:tblCellMar>
            <w:left w:w="62" w:type="dxa"/>
            <w:right w:w="62" w:type="dxa"/>
          </w:tblCellMar>
          <w:tblLook w:val="0000"/>
        </w:tblPrEx>
        <w:trPr>
          <w:trHeight w:val="315"/>
        </w:trPr>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UEENEEM077A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Install and maintain the integrity of fixed gas detection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3A0D" w:rsidP="000C3A0D">
            <w:pPr>
              <w:pStyle w:val="BodyText"/>
            </w:pPr>
            <w:r w:rsidRPr="000C3A0D">
              <w:t>20</w:t>
            </w:r>
          </w:p>
        </w:tc>
      </w:tr>
    </w:tbl>
    <w:p w:rsidR="00000000" w:rsidRPr="000C3A0D" w:rsidP="000C3A0D">
      <w:pPr>
        <w:pStyle w:val="BodyText"/>
      </w:pPr>
    </w:p>
    <w:tbl>
      <w:tblPr>
        <w:tblW w:w="0" w:type="auto"/>
        <w:tblLayout w:type="fixed"/>
        <w:tblCellMar>
          <w:left w:w="62" w:type="dxa"/>
          <w:right w:w="62" w:type="dxa"/>
        </w:tblCellMar>
        <w:tblLook w:val="0000"/>
      </w:tblPr>
      <w:tblGrid>
        <w:gridCol w:w="2127"/>
        <w:gridCol w:w="5103"/>
        <w:gridCol w:w="1417"/>
      </w:tblGrid>
      <w:tr w:rsidTr="00723ABA">
        <w:tblPrEx>
          <w:tblW w:w="0" w:type="auto"/>
          <w:tblLayout w:type="fixed"/>
          <w:tblCellMar>
            <w:left w:w="62" w:type="dxa"/>
            <w:right w:w="62" w:type="dxa"/>
          </w:tblCellMar>
          <w:tblLook w:val="0000"/>
        </w:tblPrEx>
        <w:trPr>
          <w:trHeight w:val="315"/>
        </w:trPr>
        <w:tc>
          <w:tcPr>
            <w:tcW w:w="7230"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0C3A0D" w:rsidP="000C3A0D">
            <w:pPr>
              <w:pStyle w:val="BodyText"/>
            </w:pPr>
            <w:r w:rsidRPr="000C3A0D">
              <w:rPr>
                <w:rStyle w:val="SpecialBold"/>
              </w:rPr>
              <w:t>Group C – Qualification Elective Units</w:t>
            </w:r>
          </w:p>
          <w:p w:rsidR="00000000" w:rsidRPr="000C3A0D" w:rsidP="000C3A0D">
            <w:pPr>
              <w:pStyle w:val="BodyText"/>
            </w:pPr>
            <w:r w:rsidRPr="000C3A0D">
              <w:t>You must complete units to a minimum weighting of 220</w:t>
            </w:r>
          </w:p>
          <w:p w:rsidR="00000000" w:rsidRPr="000C3A0D" w:rsidP="000C3A0D">
            <w:pPr>
              <w:pStyle w:val="BodyText"/>
            </w:pPr>
            <w:r w:rsidRPr="000C3A0D">
              <w:t>You may select all your elective units from this Group</w:t>
            </w:r>
          </w:p>
        </w:tc>
        <w:tc>
          <w:tcPr>
            <w:tcW w:w="1417"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0C3A0D">
            <w:pPr>
              <w:pStyle w:val="BodyText"/>
              <w:rPr>
                <w:lang w:val="en-NZ"/>
              </w:rPr>
            </w:pPr>
            <w:r w:rsidRPr="000C3A0D">
              <w:rPr>
                <w:rStyle w:val="SpecialBold"/>
              </w:rPr>
              <w:t>Weighting Points</w:t>
            </w:r>
          </w:p>
        </w:tc>
      </w:tr>
      <w:tr w:rsidTr="00723ABA">
        <w:tblPrEx>
          <w:tblW w:w="0" w:type="auto"/>
          <w:tblLayout w:type="fixed"/>
          <w:tblCellMar>
            <w:left w:w="62" w:type="dxa"/>
            <w:right w:w="62" w:type="dxa"/>
          </w:tblCellMar>
          <w:tblLook w:val="0000"/>
        </w:tblPrEx>
        <w:trPr>
          <w:trHeight w:val="315"/>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UEENEEM038A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Conduct testing of hazardous areas installations — coal mining</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40</w:t>
            </w:r>
          </w:p>
        </w:tc>
      </w:tr>
      <w:tr w:rsidTr="00723ABA">
        <w:tblPrEx>
          <w:tblW w:w="0" w:type="auto"/>
          <w:tblLayout w:type="fixed"/>
          <w:tblCellMar>
            <w:left w:w="62" w:type="dxa"/>
            <w:right w:w="62" w:type="dxa"/>
          </w:tblCellMar>
          <w:tblLook w:val="0000"/>
        </w:tblPrEx>
        <w:trPr>
          <w:trHeight w:val="315"/>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UEENEEM039A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 xml:space="preserve">Conduct testing of hazardous areas installations — gas atmospheres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40</w:t>
            </w:r>
          </w:p>
        </w:tc>
      </w:tr>
      <w:tr w:rsidTr="00723ABA">
        <w:tblPrEx>
          <w:tblW w:w="0" w:type="auto"/>
          <w:tblLayout w:type="fixed"/>
          <w:tblCellMar>
            <w:left w:w="62" w:type="dxa"/>
            <w:right w:w="62" w:type="dxa"/>
          </w:tblCellMar>
          <w:tblLook w:val="0000"/>
        </w:tblPrEx>
        <w:trPr>
          <w:trHeight w:val="315"/>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UEENEEM040A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Conduct testing of hazardous areas installations — dust atmospheres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40</w:t>
            </w:r>
          </w:p>
        </w:tc>
      </w:tr>
      <w:tr w:rsidTr="00723ABA">
        <w:tblPrEx>
          <w:tblW w:w="0" w:type="auto"/>
          <w:tblLayout w:type="fixed"/>
          <w:tblCellMar>
            <w:left w:w="62" w:type="dxa"/>
            <w:right w:w="62" w:type="dxa"/>
          </w:tblCellMar>
          <w:tblLook w:val="0000"/>
        </w:tblPrEx>
        <w:trPr>
          <w:trHeight w:val="315"/>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UEENEEM041A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Conduct testing of hazardous area installations —  pressurisation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40</w:t>
            </w:r>
          </w:p>
        </w:tc>
      </w:tr>
      <w:tr w:rsidTr="00723ABA">
        <w:tblPrEx>
          <w:tblW w:w="0" w:type="auto"/>
          <w:tblLayout w:type="fixed"/>
          <w:tblCellMar>
            <w:left w:w="62" w:type="dxa"/>
            <w:right w:w="62" w:type="dxa"/>
          </w:tblCellMar>
          <w:tblLook w:val="0000"/>
        </w:tblPrEx>
        <w:trPr>
          <w:trHeight w:val="315"/>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UEENEEM042A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 xml:space="preserve">Conduct visual inspection of hazardous areas installations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40</w:t>
            </w:r>
          </w:p>
        </w:tc>
      </w:tr>
      <w:tr w:rsidTr="00723ABA">
        <w:tblPrEx>
          <w:tblW w:w="0" w:type="auto"/>
          <w:tblLayout w:type="fixed"/>
          <w:tblCellMar>
            <w:left w:w="62" w:type="dxa"/>
            <w:right w:w="62" w:type="dxa"/>
          </w:tblCellMar>
          <w:tblLook w:val="0000"/>
        </w:tblPrEx>
        <w:trPr>
          <w:trHeight w:val="315"/>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UEENEEM043A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Conduct detailed inspection of  hazardous areas installations — coal mining</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40</w:t>
            </w:r>
          </w:p>
        </w:tc>
      </w:tr>
      <w:tr w:rsidTr="00723ABA">
        <w:tblPrEx>
          <w:tblW w:w="0" w:type="auto"/>
          <w:tblLayout w:type="fixed"/>
          <w:tblCellMar>
            <w:left w:w="62" w:type="dxa"/>
            <w:right w:w="62" w:type="dxa"/>
          </w:tblCellMar>
          <w:tblLook w:val="0000"/>
        </w:tblPrEx>
        <w:trPr>
          <w:trHeight w:val="315"/>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UEENEEM044A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Conduc</w:t>
            </w:r>
            <w:r w:rsidRPr="000C3A0D">
              <w:t xml:space="preserve">t detailed inspection of  hazardous areas installations — gas atmospheres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40</w:t>
            </w:r>
          </w:p>
        </w:tc>
      </w:tr>
      <w:tr w:rsidTr="00723ABA">
        <w:tblPrEx>
          <w:tblW w:w="0" w:type="auto"/>
          <w:tblLayout w:type="fixed"/>
          <w:tblCellMar>
            <w:left w:w="62" w:type="dxa"/>
            <w:right w:w="62" w:type="dxa"/>
          </w:tblCellMar>
          <w:tblLook w:val="0000"/>
        </w:tblPrEx>
        <w:trPr>
          <w:trHeight w:val="315"/>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UEENEEM045A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Conduct detailed inspection of  hazardous areas installations — dust atmospheres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40</w:t>
            </w:r>
          </w:p>
        </w:tc>
      </w:tr>
      <w:tr w:rsidTr="00723ABA">
        <w:tblPrEx>
          <w:tblW w:w="0" w:type="auto"/>
          <w:tblLayout w:type="fixed"/>
          <w:tblCellMar>
            <w:left w:w="62" w:type="dxa"/>
            <w:right w:w="62" w:type="dxa"/>
          </w:tblCellMar>
          <w:tblLook w:val="0000"/>
        </w:tblPrEx>
        <w:trPr>
          <w:trHeight w:val="315"/>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UEENEEM046A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Conduct detailed inspection of  hazardous areas installations —</w:t>
            </w:r>
            <w:r w:rsidRPr="000C3A0D">
              <w:t xml:space="preserve"> pressurisation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40</w:t>
            </w:r>
          </w:p>
        </w:tc>
      </w:tr>
      <w:tr w:rsidTr="00723ABA">
        <w:tblPrEx>
          <w:tblW w:w="0" w:type="auto"/>
          <w:tblLayout w:type="fixed"/>
          <w:tblCellMar>
            <w:left w:w="62" w:type="dxa"/>
            <w:right w:w="62" w:type="dxa"/>
          </w:tblCellMar>
          <w:tblLook w:val="0000"/>
        </w:tblPrEx>
        <w:trPr>
          <w:trHeight w:val="315"/>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UEENEEM047A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 xml:space="preserve">Develop and manage maintenance programs for hazardous areas electrical equipment — coal mining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20</w:t>
            </w:r>
          </w:p>
        </w:tc>
      </w:tr>
      <w:tr w:rsidTr="00723ABA">
        <w:tblPrEx>
          <w:tblW w:w="0" w:type="auto"/>
          <w:tblLayout w:type="fixed"/>
          <w:tblCellMar>
            <w:left w:w="62" w:type="dxa"/>
            <w:right w:w="62" w:type="dxa"/>
          </w:tblCellMar>
          <w:tblLook w:val="0000"/>
        </w:tblPrEx>
        <w:trPr>
          <w:trHeight w:val="315"/>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UEENEEM048A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 xml:space="preserve">Develop and manage maintenance programs for hazardous areas electrical equipment — gas atmospheres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20</w:t>
            </w:r>
          </w:p>
        </w:tc>
      </w:tr>
      <w:tr w:rsidTr="00723ABA">
        <w:tblPrEx>
          <w:tblW w:w="0" w:type="auto"/>
          <w:tblLayout w:type="fixed"/>
          <w:tblCellMar>
            <w:left w:w="62" w:type="dxa"/>
            <w:right w:w="62" w:type="dxa"/>
          </w:tblCellMar>
          <w:tblLook w:val="0000"/>
        </w:tblPrEx>
        <w:trPr>
          <w:trHeight w:val="315"/>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UEENEEM</w:t>
            </w:r>
            <w:r w:rsidRPr="000C3A0D">
              <w:t>049A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Develop and manage maintenance programs for hazardous areas electrical equipment — dust atmospheres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20</w:t>
            </w:r>
          </w:p>
        </w:tc>
      </w:tr>
      <w:tr w:rsidTr="00723ABA">
        <w:tblPrEx>
          <w:tblW w:w="0" w:type="auto"/>
          <w:tblLayout w:type="fixed"/>
          <w:tblCellMar>
            <w:left w:w="62" w:type="dxa"/>
            <w:right w:w="62" w:type="dxa"/>
          </w:tblCellMar>
          <w:tblLook w:val="0000"/>
        </w:tblPrEx>
        <w:trPr>
          <w:trHeight w:val="315"/>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UEENEEM050A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Develop and manage maintenance programs for hazardous areas electrical equipment — pressurisation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20</w:t>
            </w:r>
          </w:p>
        </w:tc>
      </w:tr>
      <w:tr w:rsidTr="00723ABA">
        <w:tblPrEx>
          <w:tblW w:w="0" w:type="auto"/>
          <w:tblLayout w:type="fixed"/>
          <w:tblCellMar>
            <w:left w:w="62" w:type="dxa"/>
            <w:right w:w="62" w:type="dxa"/>
          </w:tblCellMar>
          <w:tblLook w:val="0000"/>
        </w:tblPrEx>
        <w:trPr>
          <w:trHeight w:val="315"/>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UEENEEM054A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Plan electrical insta</w:t>
            </w:r>
            <w:r w:rsidRPr="000C3A0D">
              <w:t xml:space="preserve">llations for hazardous areas — gas atmospheres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20</w:t>
            </w:r>
          </w:p>
        </w:tc>
      </w:tr>
      <w:tr w:rsidTr="00723ABA">
        <w:tblPrEx>
          <w:tblW w:w="0" w:type="auto"/>
          <w:tblLayout w:type="fixed"/>
          <w:tblCellMar>
            <w:left w:w="62" w:type="dxa"/>
            <w:right w:w="62" w:type="dxa"/>
          </w:tblCellMar>
          <w:tblLook w:val="0000"/>
        </w:tblPrEx>
        <w:trPr>
          <w:trHeight w:val="315"/>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UEENEEM055A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Plan electrical installations for hazardous areas — dust atmospheres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20</w:t>
            </w:r>
          </w:p>
        </w:tc>
      </w:tr>
      <w:tr w:rsidTr="00723ABA">
        <w:tblPrEx>
          <w:tblW w:w="0" w:type="auto"/>
          <w:tblLayout w:type="fixed"/>
          <w:tblCellMar>
            <w:left w:w="62" w:type="dxa"/>
            <w:right w:w="62" w:type="dxa"/>
          </w:tblCellMar>
          <w:tblLook w:val="0000"/>
        </w:tblPrEx>
        <w:trPr>
          <w:trHeight w:val="315"/>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UEENEEM056A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Plan electrical installations for hazardous areas — pressurisation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20</w:t>
            </w:r>
          </w:p>
        </w:tc>
      </w:tr>
      <w:tr w:rsidTr="00723ABA">
        <w:tblPrEx>
          <w:tblW w:w="0" w:type="auto"/>
          <w:tblLayout w:type="fixed"/>
          <w:tblCellMar>
            <w:left w:w="62" w:type="dxa"/>
            <w:right w:w="62" w:type="dxa"/>
          </w:tblCellMar>
          <w:tblLook w:val="0000"/>
        </w:tblPrEx>
        <w:trPr>
          <w:trHeight w:val="315"/>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UEENEEM074A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Plan electrical installations in hazardous areas — coal mining</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20</w:t>
            </w:r>
          </w:p>
        </w:tc>
      </w:tr>
      <w:tr w:rsidTr="00723ABA">
        <w:tblPrEx>
          <w:tblW w:w="0" w:type="auto"/>
          <w:tblLayout w:type="fixed"/>
          <w:tblCellMar>
            <w:left w:w="62" w:type="dxa"/>
            <w:right w:w="62" w:type="dxa"/>
          </w:tblCellMar>
          <w:tblLook w:val="0000"/>
        </w:tblPrEx>
        <w:trPr>
          <w:trHeight w:val="315"/>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UEENEEM078A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0D">
            <w:pPr>
              <w:pStyle w:val="BodyText"/>
              <w:rPr>
                <w:lang w:val="en-NZ"/>
              </w:rPr>
            </w:pPr>
            <w:r w:rsidRPr="000C3A0D">
              <w:t xml:space="preserve">Manage compliance of hazardous areas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3A0D" w:rsidP="000C3A0D">
            <w:pPr>
              <w:pStyle w:val="BodyText"/>
            </w:pPr>
            <w:r w:rsidRPr="000C3A0D">
              <w:t>20</w:t>
            </w:r>
          </w:p>
        </w:tc>
      </w:tr>
    </w:tbl>
    <w:p w:rsidR="00000000" w:rsidRPr="000C3A0D" w:rsidP="000C3A0D">
      <w:pPr>
        <w:pStyle w:val="BodyText"/>
      </w:pPr>
    </w:p>
    <w:p w:rsidR="00000000" w:rsidRPr="000C3A0D" w:rsidP="00723ABA">
      <w:pPr>
        <w:pStyle w:val="BodyText"/>
      </w:pPr>
      <w:r w:rsidRPr="000C3A0D">
        <w:rPr>
          <w:rStyle w:val="SpecialBold"/>
        </w:rPr>
        <w:t>Note:</w:t>
      </w:r>
      <w:r w:rsidRPr="000C3A0D">
        <w:t xml:space="preserve"> </w:t>
      </w:r>
      <w:r w:rsidRPr="000C3A0D">
        <w:br/>
        <w:t>1. Prerequisite pathways shall be identified and met for all elective units selected.</w:t>
      </w:r>
    </w:p>
    <w:p w:rsidR="00000000" w:rsidRPr="000C3A0D" w:rsidP="00723ABA">
      <w:pPr>
        <w:pStyle w:val="BodyText"/>
      </w:pPr>
      <w:r w:rsidRPr="000C3A0D">
        <w:t>2. In selecting elective units considerat</w:t>
      </w:r>
      <w:r w:rsidRPr="000C3A0D">
        <w:t>ions to career planning advice should be given to units that form part of a prerequisite pathway for the progression to achieve particular competencies or qualification at a higher level.</w:t>
      </w:r>
    </w:p>
    <w:p w:rsidR="00723ABA" w:rsidP="00723ABA">
      <w:pPr>
        <w:pStyle w:val="Heading4"/>
      </w:pPr>
      <w:r w:rsidRPr="000C3A0D">
        <w:rPr>
          <w:rStyle w:val="SpecialBold"/>
        </w:rPr>
        <w:t>END OF QUALIFICATION</w:t>
      </w:r>
    </w:p>
    <w:p w:rsidR="00000000" w:rsidRPr="000C3A0D" w:rsidP="000C3A0D">
      <w:pPr>
        <w:pStyle w:val="Heading1"/>
      </w:pPr>
      <w:bookmarkStart w:id="8" w:name="O_640568"/>
      <w:bookmarkEnd w:id="8"/>
      <w:r w:rsidRPr="000C3A0D">
        <w:t>Custom Content Section</w:t>
      </w:r>
    </w:p>
    <w:p w:rsidR="00000000" w:rsidRPr="000C3A0D" w:rsidP="00723ABA">
      <w:pPr>
        <w:pStyle w:val="BodyText"/>
      </w:pPr>
      <w:r w:rsidRPr="000C3A0D">
        <w:t>Not applicable.</w:t>
      </w:r>
    </w:p>
    <w:p w:rsidR="00000000" w:rsidRPr="000C3A0D" w:rsidP="000C3A0D"/>
    <w:sectPr w:rsidSect="000C3A0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A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A0D" w:rsidRPr="00723ABA" w:rsidP="00723A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A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ABA" w:rsidP="000C3A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723ABA" w:rsidP="000C3A0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23ABA" w:rsidP="000C3A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A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A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3A0D" w:rsidRPr="00723ABA" w:rsidP="00723A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A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ABA" w:rsidRPr="002D2AF8" w:rsidP="000C3A0D">
    <w:pPr>
      <w:pStyle w:val="Header"/>
      <w:framePr w:wrap="around"/>
    </w:pPr>
    <w:r>
      <w:fldChar w:fldCharType="begin"/>
    </w:r>
    <w:r>
      <w:instrText xml:space="preserve"> TITLE   \* MERGEFORMAT </w:instrText>
    </w:r>
    <w:r>
      <w:fldChar w:fldCharType="separate"/>
    </w:r>
    <w:r>
      <w:t>UEE42611 Certificate IV in Hazardous areas - Electrical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2022</w:t>
    </w:r>
    <w:r>
      <w:fldChar w:fldCharType="end"/>
    </w:r>
  </w:p>
  <w:p w:rsidR="00723ABA" w:rsidP="000C3A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8E824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69E4F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3A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3A0D"/>
    <w:pPr>
      <w:spacing w:before="360" w:after="60"/>
      <w:outlineLvl w:val="0"/>
    </w:pPr>
    <w:rPr>
      <w:sz w:val="32"/>
    </w:rPr>
  </w:style>
  <w:style w:type="paragraph" w:styleId="Heading2">
    <w:name w:val="heading 2"/>
    <w:basedOn w:val="HeadingBase"/>
    <w:next w:val="BodyText"/>
    <w:link w:val="Heading2Char"/>
    <w:qFormat/>
    <w:rsid w:val="000C3A0D"/>
    <w:pPr>
      <w:keepLines/>
      <w:spacing w:before="240" w:after="120"/>
      <w:outlineLvl w:val="1"/>
    </w:pPr>
    <w:rPr>
      <w:sz w:val="28"/>
      <w:szCs w:val="40"/>
    </w:rPr>
  </w:style>
  <w:style w:type="paragraph" w:styleId="Heading3">
    <w:name w:val="heading 3"/>
    <w:basedOn w:val="HeadingBase"/>
    <w:next w:val="BodyText"/>
    <w:link w:val="Heading3Char"/>
    <w:qFormat/>
    <w:rsid w:val="000C3A0D"/>
    <w:pPr>
      <w:spacing w:before="180" w:after="120"/>
      <w:outlineLvl w:val="2"/>
    </w:pPr>
    <w:rPr>
      <w:spacing w:val="-10"/>
      <w:kern w:val="32"/>
    </w:rPr>
  </w:style>
  <w:style w:type="paragraph" w:styleId="Heading4">
    <w:name w:val="heading 4"/>
    <w:basedOn w:val="HeadingBase"/>
    <w:next w:val="BodyText"/>
    <w:link w:val="Heading4Char"/>
    <w:qFormat/>
    <w:rsid w:val="000C3A0D"/>
    <w:pPr>
      <w:spacing w:before="160" w:after="120"/>
      <w:outlineLvl w:val="3"/>
    </w:pPr>
    <w:rPr>
      <w:sz w:val="22"/>
    </w:rPr>
  </w:style>
  <w:style w:type="paragraph" w:styleId="Heading5">
    <w:name w:val="heading 5"/>
    <w:basedOn w:val="HeadingBase"/>
    <w:next w:val="Normal"/>
    <w:link w:val="Heading5Char"/>
    <w:qFormat/>
    <w:rsid w:val="000C3A0D"/>
    <w:pPr>
      <w:spacing w:before="80"/>
      <w:outlineLvl w:val="4"/>
    </w:pPr>
    <w:rPr>
      <w:color w:val="918585"/>
      <w:sz w:val="20"/>
    </w:rPr>
  </w:style>
  <w:style w:type="paragraph" w:styleId="Heading6">
    <w:name w:val="heading 6"/>
    <w:basedOn w:val="HeadingBase"/>
    <w:next w:val="Normal"/>
    <w:link w:val="Heading6Char"/>
    <w:qFormat/>
    <w:rsid w:val="000C3A0D"/>
    <w:pPr>
      <w:spacing w:before="60"/>
      <w:outlineLvl w:val="5"/>
    </w:pPr>
    <w:rPr>
      <w:color w:val="918585"/>
      <w:sz w:val="20"/>
    </w:rPr>
  </w:style>
  <w:style w:type="paragraph" w:styleId="Heading7">
    <w:name w:val="heading 7"/>
    <w:basedOn w:val="Normal"/>
    <w:next w:val="Normal"/>
    <w:link w:val="Heading7Char"/>
    <w:qFormat/>
    <w:rsid w:val="000C3A0D"/>
    <w:pPr>
      <w:ind w:left="720"/>
      <w:outlineLvl w:val="6"/>
    </w:pPr>
    <w:rPr>
      <w:i/>
    </w:rPr>
  </w:style>
  <w:style w:type="paragraph" w:styleId="Heading8">
    <w:name w:val="heading 8"/>
    <w:basedOn w:val="Normal"/>
    <w:next w:val="Normal"/>
    <w:link w:val="Heading8Char"/>
    <w:qFormat/>
    <w:rsid w:val="000C3A0D"/>
    <w:pPr>
      <w:ind w:left="720"/>
      <w:outlineLvl w:val="7"/>
    </w:pPr>
    <w:rPr>
      <w:i/>
    </w:rPr>
  </w:style>
  <w:style w:type="paragraph" w:styleId="Heading9">
    <w:name w:val="heading 9"/>
    <w:basedOn w:val="Normal"/>
    <w:next w:val="Normal"/>
    <w:link w:val="Heading9Char"/>
    <w:qFormat/>
    <w:rsid w:val="000C3A0D"/>
    <w:pPr>
      <w:ind w:left="720"/>
      <w:outlineLvl w:val="8"/>
    </w:pPr>
    <w:rPr>
      <w:i/>
    </w:rPr>
  </w:style>
  <w:style w:type="character" w:default="1" w:styleId="DefaultParagraphFont">
    <w:name w:val="Default Paragraph Font"/>
    <w:uiPriority w:val="1"/>
    <w:unhideWhenUsed/>
    <w:rsid w:val="000C3A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3A0D"/>
  </w:style>
  <w:style w:type="character" w:customStyle="1" w:styleId="Heading1Char">
    <w:name w:val="Heading 1 Char"/>
    <w:basedOn w:val="DefaultParagraphFont"/>
    <w:link w:val="Heading1"/>
    <w:rsid w:val="000C3A0D"/>
    <w:rPr>
      <w:rFonts w:ascii="Times New Roman" w:eastAsia="Times New Roman" w:hAnsi="Times New Roman" w:cs="Times New Roman"/>
      <w:b/>
      <w:sz w:val="32"/>
      <w:szCs w:val="20"/>
      <w:lang w:eastAsia="en-US"/>
    </w:rPr>
  </w:style>
  <w:style w:type="paragraph" w:styleId="BodyText">
    <w:name w:val="Body Text"/>
    <w:basedOn w:val="Normal"/>
    <w:link w:val="BodyTextChar"/>
    <w:rsid w:val="000C3A0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3A0D"/>
    <w:rPr>
      <w:rFonts w:ascii="Times New Roman" w:eastAsia="Times New Roman" w:hAnsi="Times New Roman" w:cs="Times New Roman"/>
      <w:sz w:val="24"/>
      <w:lang w:eastAsia="en-US"/>
    </w:rPr>
  </w:style>
  <w:style w:type="paragraph" w:styleId="ListBullet">
    <w:name w:val="List Bullet"/>
    <w:basedOn w:val="List"/>
    <w:rsid w:val="000C3A0D"/>
    <w:pPr>
      <w:numPr>
        <w:numId w:val="11"/>
      </w:numPr>
      <w:tabs>
        <w:tab w:val="clear" w:pos="340"/>
      </w:tabs>
      <w:spacing w:before="40" w:after="40"/>
    </w:pPr>
  </w:style>
  <w:style w:type="character" w:customStyle="1" w:styleId="SpecialBold">
    <w:name w:val="Special Bold"/>
    <w:basedOn w:val="DefaultParagraphFont"/>
    <w:rsid w:val="000C3A0D"/>
    <w:rPr>
      <w:b/>
      <w:spacing w:val="0"/>
    </w:rPr>
  </w:style>
  <w:style w:type="paragraph" w:customStyle="1" w:styleId="SuperHeading">
    <w:name w:val="SuperHeading"/>
    <w:basedOn w:val="Normal"/>
    <w:rsid w:val="000C3A0D"/>
    <w:pPr>
      <w:spacing w:before="240" w:after="120"/>
      <w:outlineLvl w:val="0"/>
    </w:pPr>
    <w:rPr>
      <w:rFonts w:ascii="Times New Roman" w:hAnsi="Times New Roman"/>
      <w:b/>
      <w:sz w:val="32"/>
    </w:rPr>
  </w:style>
  <w:style w:type="paragraph" w:customStyle="1" w:styleId="AllowPageBreak">
    <w:name w:val="AllowPageBreak"/>
    <w:rsid w:val="000C3A0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C3A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3A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3A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3A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3A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3A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3A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3A0D"/>
    <w:rPr>
      <w:rFonts w:ascii="Courier New" w:eastAsia="Times New Roman" w:hAnsi="Courier New" w:cs="Times New Roman"/>
      <w:i/>
      <w:szCs w:val="20"/>
      <w:lang w:eastAsia="en-US"/>
    </w:rPr>
  </w:style>
  <w:style w:type="paragraph" w:customStyle="1" w:styleId="HeadingBase">
    <w:name w:val="Heading Base"/>
    <w:rsid w:val="000C3A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3A0D"/>
    <w:pPr>
      <w:tabs>
        <w:tab w:val="right" w:leader="dot" w:pos="9072"/>
      </w:tabs>
      <w:ind w:left="567"/>
    </w:pPr>
    <w:rPr>
      <w:szCs w:val="22"/>
    </w:rPr>
  </w:style>
  <w:style w:type="paragraph" w:customStyle="1" w:styleId="TOCBase">
    <w:name w:val="TOC Base"/>
    <w:rsid w:val="000C3A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3A0D"/>
    <w:pPr>
      <w:tabs>
        <w:tab w:val="right" w:leader="dot" w:pos="9072"/>
      </w:tabs>
      <w:spacing w:before="40" w:after="40"/>
      <w:ind w:left="284"/>
    </w:pPr>
    <w:rPr>
      <w:rFonts w:ascii="Times New Roman" w:hAnsi="Times New Roman"/>
    </w:rPr>
  </w:style>
  <w:style w:type="paragraph" w:styleId="TOC1">
    <w:name w:val="toc 1"/>
    <w:basedOn w:val="TOCBase"/>
    <w:next w:val="Normal"/>
    <w:rsid w:val="000C3A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3A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3A0D"/>
    <w:rPr>
      <w:rFonts w:ascii="Times New Roman" w:eastAsia="Times New Roman" w:hAnsi="Times New Roman" w:cs="Times New Roman"/>
      <w:sz w:val="16"/>
      <w:lang w:eastAsia="en-US"/>
    </w:rPr>
  </w:style>
  <w:style w:type="paragraph" w:styleId="Title">
    <w:name w:val="Title"/>
    <w:basedOn w:val="HeadingBase"/>
    <w:link w:val="TitleChar"/>
    <w:qFormat/>
    <w:rsid w:val="000C3A0D"/>
    <w:pPr>
      <w:spacing w:before="5040"/>
      <w:jc w:val="center"/>
    </w:pPr>
    <w:rPr>
      <w:sz w:val="48"/>
      <w:szCs w:val="72"/>
      <w:lang w:val="en-US"/>
    </w:rPr>
  </w:style>
  <w:style w:type="character" w:customStyle="1" w:styleId="TitleChar">
    <w:name w:val="Title Char"/>
    <w:basedOn w:val="DefaultParagraphFont"/>
    <w:link w:val="Title"/>
    <w:rsid w:val="000C3A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3A0D"/>
    <w:pPr>
      <w:tabs>
        <w:tab w:val="left" w:pos="3600"/>
        <w:tab w:val="left" w:pos="3958"/>
      </w:tabs>
    </w:pPr>
  </w:style>
  <w:style w:type="paragraph" w:styleId="List">
    <w:name w:val="List"/>
    <w:basedOn w:val="BodyText"/>
    <w:next w:val="BodyText"/>
    <w:rsid w:val="000C3A0D"/>
    <w:pPr>
      <w:tabs>
        <w:tab w:val="left" w:pos="340"/>
      </w:tabs>
      <w:spacing w:before="60" w:after="60"/>
      <w:ind w:left="340" w:hanging="340"/>
    </w:pPr>
  </w:style>
  <w:style w:type="paragraph" w:customStyle="1" w:styleId="Note">
    <w:name w:val="Note"/>
    <w:basedOn w:val="BodyText"/>
    <w:rsid w:val="000C3A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3A0D"/>
    <w:pPr>
      <w:framePr w:wrap="auto" w:hAnchor="text" w:y="6049"/>
    </w:pPr>
    <w:rPr>
      <w:color w:val="000000"/>
      <w:sz w:val="40"/>
    </w:rPr>
  </w:style>
  <w:style w:type="paragraph" w:customStyle="1" w:styleId="TOCTitle">
    <w:name w:val="TOCTitle"/>
    <w:basedOn w:val="Heading1"/>
    <w:rsid w:val="000C3A0D"/>
    <w:pPr>
      <w:spacing w:after="240"/>
      <w:jc w:val="center"/>
      <w:outlineLvl w:val="9"/>
    </w:pPr>
    <w:rPr>
      <w:caps/>
    </w:rPr>
  </w:style>
  <w:style w:type="paragraph" w:customStyle="1" w:styleId="Version">
    <w:name w:val="Version"/>
    <w:rsid w:val="000C3A0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C3A0D"/>
    <w:pPr>
      <w:numPr>
        <w:numId w:val="12"/>
      </w:numPr>
      <w:tabs>
        <w:tab w:val="clear" w:pos="680"/>
      </w:tabs>
    </w:pPr>
  </w:style>
  <w:style w:type="paragraph" w:styleId="Index1">
    <w:name w:val="index 1"/>
    <w:basedOn w:val="Normal"/>
    <w:next w:val="Normal"/>
    <w:semiHidden/>
    <w:rsid w:val="000C3A0D"/>
    <w:pPr>
      <w:keepNext w:val="0"/>
      <w:tabs>
        <w:tab w:val="right" w:pos="4176"/>
      </w:tabs>
      <w:ind w:left="198" w:hanging="198"/>
    </w:pPr>
    <w:rPr>
      <w:rFonts w:ascii="Garamond" w:hAnsi="Garamond"/>
    </w:rPr>
  </w:style>
  <w:style w:type="paragraph" w:styleId="IndexHeading">
    <w:name w:val="index heading"/>
    <w:basedOn w:val="Normal"/>
    <w:next w:val="Index1"/>
    <w:semiHidden/>
    <w:rsid w:val="000C3A0D"/>
    <w:pPr>
      <w:spacing w:before="120" w:after="120"/>
    </w:pPr>
    <w:rPr>
      <w:rFonts w:ascii="Arial" w:hAnsi="Arial"/>
      <w:b/>
      <w:color w:val="918585"/>
      <w:sz w:val="24"/>
    </w:rPr>
  </w:style>
  <w:style w:type="paragraph" w:styleId="Header">
    <w:name w:val="header"/>
    <w:basedOn w:val="Normal"/>
    <w:link w:val="HeaderChar"/>
    <w:rsid w:val="000C3A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3A0D"/>
    <w:rPr>
      <w:rFonts w:ascii="Times New Roman" w:eastAsia="Times New Roman" w:hAnsi="Times New Roman" w:cs="Times New Roman"/>
      <w:sz w:val="16"/>
      <w:szCs w:val="20"/>
      <w:lang w:val="en-GB" w:eastAsia="en-US"/>
    </w:rPr>
  </w:style>
  <w:style w:type="paragraph" w:customStyle="1" w:styleId="Chapter">
    <w:name w:val="Chapter"/>
    <w:basedOn w:val="Normal"/>
    <w:rsid w:val="000C3A0D"/>
    <w:pPr>
      <w:spacing w:before="240"/>
    </w:pPr>
    <w:rPr>
      <w:rFonts w:ascii="Times New Roman" w:hAnsi="Times New Roman"/>
      <w:smallCaps/>
      <w:spacing w:val="80"/>
      <w:sz w:val="28"/>
    </w:rPr>
  </w:style>
  <w:style w:type="paragraph" w:customStyle="1" w:styleId="InChapter">
    <w:name w:val="InChapter"/>
    <w:basedOn w:val="Heading3"/>
    <w:rsid w:val="000C3A0D"/>
    <w:pPr>
      <w:spacing w:after="240"/>
      <w:outlineLvl w:val="9"/>
    </w:pPr>
    <w:rPr>
      <w:noProof/>
    </w:rPr>
  </w:style>
  <w:style w:type="paragraph" w:styleId="Index2">
    <w:name w:val="index 2"/>
    <w:basedOn w:val="Normal"/>
    <w:next w:val="Normal"/>
    <w:semiHidden/>
    <w:rsid w:val="000C3A0D"/>
    <w:pPr>
      <w:tabs>
        <w:tab w:val="right" w:pos="4176"/>
      </w:tabs>
      <w:ind w:left="568" w:hanging="284"/>
    </w:pPr>
    <w:rPr>
      <w:rFonts w:ascii="Garamond" w:hAnsi="Garamond"/>
    </w:rPr>
  </w:style>
  <w:style w:type="paragraph" w:customStyle="1" w:styleId="Byline">
    <w:name w:val="Byline"/>
    <w:rsid w:val="000C3A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3A0D"/>
    <w:pPr>
      <w:tabs>
        <w:tab w:val="clear" w:pos="3600"/>
        <w:tab w:val="clear" w:pos="3958"/>
      </w:tabs>
      <w:jc w:val="right"/>
    </w:pPr>
  </w:style>
  <w:style w:type="character" w:styleId="Emphasis">
    <w:name w:val="Emphasis"/>
    <w:basedOn w:val="DefaultParagraphFont"/>
    <w:qFormat/>
    <w:rsid w:val="000C3A0D"/>
    <w:rPr>
      <w:i/>
    </w:rPr>
  </w:style>
  <w:style w:type="paragraph" w:styleId="Caption">
    <w:name w:val="caption"/>
    <w:basedOn w:val="BodyText"/>
    <w:next w:val="Normal"/>
    <w:qFormat/>
    <w:rsid w:val="000C3A0D"/>
    <w:pPr>
      <w:framePr w:w="2268" w:hSpace="181" w:vSpace="181" w:wrap="around" w:vAnchor="text" w:hAnchor="page" w:x="1135" w:y="285" w:anchorLock="1"/>
    </w:pPr>
    <w:rPr>
      <w:i/>
    </w:rPr>
  </w:style>
  <w:style w:type="paragraph" w:customStyle="1" w:styleId="MiniTOCTitle">
    <w:name w:val="MiniTOCTitle"/>
    <w:basedOn w:val="Heading4"/>
    <w:rsid w:val="000C3A0D"/>
    <w:pPr>
      <w:spacing w:before="240"/>
      <w:outlineLvl w:val="9"/>
    </w:pPr>
    <w:rPr>
      <w:noProof/>
      <w:sz w:val="24"/>
    </w:rPr>
  </w:style>
  <w:style w:type="paragraph" w:customStyle="1" w:styleId="MiniTOCItem">
    <w:name w:val="MiniTOCItem"/>
    <w:basedOn w:val="ListBullet"/>
    <w:rsid w:val="000C3A0D"/>
    <w:pPr>
      <w:numPr>
        <w:numId w:val="0"/>
      </w:numPr>
      <w:tabs>
        <w:tab w:val="right" w:leader="dot" w:pos="6521"/>
      </w:tabs>
      <w:spacing w:before="0" w:after="0"/>
    </w:pPr>
  </w:style>
  <w:style w:type="paragraph" w:customStyle="1" w:styleId="TOFTitle">
    <w:name w:val="TOFTitle"/>
    <w:basedOn w:val="TOCTitle"/>
    <w:rsid w:val="000C3A0D"/>
  </w:style>
  <w:style w:type="paragraph" w:styleId="TableofFigures">
    <w:name w:val="table of figures"/>
    <w:basedOn w:val="Normal"/>
    <w:next w:val="Normal"/>
    <w:semiHidden/>
    <w:rsid w:val="000C3A0D"/>
    <w:pPr>
      <w:tabs>
        <w:tab w:val="right" w:leader="dot" w:pos="9072"/>
      </w:tabs>
      <w:ind w:left="970" w:hanging="403"/>
    </w:pPr>
    <w:rPr>
      <w:rFonts w:ascii="Times New Roman" w:hAnsi="Times New Roman"/>
      <w:b/>
    </w:rPr>
  </w:style>
  <w:style w:type="paragraph" w:styleId="ListNumber">
    <w:name w:val="List Number"/>
    <w:basedOn w:val="List"/>
    <w:rsid w:val="000C3A0D"/>
    <w:pPr>
      <w:numPr>
        <w:numId w:val="14"/>
      </w:numPr>
      <w:tabs>
        <w:tab w:val="clear" w:pos="340"/>
      </w:tabs>
    </w:pPr>
  </w:style>
  <w:style w:type="character" w:customStyle="1" w:styleId="WingdingSymbols">
    <w:name w:val="Wingding Symbols"/>
    <w:rsid w:val="000C3A0D"/>
    <w:rPr>
      <w:rFonts w:ascii="Wingdings" w:hAnsi="Wingdings"/>
    </w:rPr>
  </w:style>
  <w:style w:type="paragraph" w:customStyle="1" w:styleId="TableHeading">
    <w:name w:val="Table Heading"/>
    <w:basedOn w:val="HeadingBase"/>
    <w:rsid w:val="000C3A0D"/>
    <w:pPr>
      <w:keepLines/>
      <w:pBdr>
        <w:bottom w:val="single" w:sz="6" w:space="1" w:color="918585"/>
      </w:pBdr>
      <w:spacing w:before="240"/>
    </w:pPr>
  </w:style>
  <w:style w:type="character" w:customStyle="1" w:styleId="HotSpot">
    <w:name w:val="HotSpot"/>
    <w:rsid w:val="000C3A0D"/>
    <w:rPr>
      <w:color w:val="0033CC"/>
      <w:u w:val="none"/>
    </w:rPr>
  </w:style>
  <w:style w:type="paragraph" w:customStyle="1" w:styleId="BodyTextRight">
    <w:name w:val="Body Text Right"/>
    <w:basedOn w:val="BodyText"/>
    <w:rsid w:val="000C3A0D"/>
    <w:pPr>
      <w:spacing w:before="0" w:after="0"/>
      <w:jc w:val="right"/>
    </w:pPr>
  </w:style>
  <w:style w:type="paragraph" w:styleId="Index3">
    <w:name w:val="index 3"/>
    <w:basedOn w:val="ListNumber2"/>
    <w:next w:val="Normal"/>
    <w:semiHidden/>
    <w:rsid w:val="000C3A0D"/>
    <w:pPr>
      <w:numPr>
        <w:numId w:val="0"/>
      </w:numPr>
      <w:tabs>
        <w:tab w:val="right" w:leader="dot" w:pos="4176"/>
      </w:tabs>
    </w:pPr>
  </w:style>
  <w:style w:type="paragraph" w:styleId="ListNumber2">
    <w:name w:val="List Number 2"/>
    <w:basedOn w:val="List2"/>
    <w:rsid w:val="000C3A0D"/>
    <w:pPr>
      <w:numPr>
        <w:numId w:val="9"/>
      </w:numPr>
      <w:tabs>
        <w:tab w:val="clear" w:pos="1060"/>
      </w:tabs>
    </w:pPr>
  </w:style>
  <w:style w:type="paragraph" w:customStyle="1" w:styleId="MarginNote">
    <w:name w:val="Margin Note"/>
    <w:basedOn w:val="BodyText"/>
    <w:rsid w:val="000C3A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3A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3A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3A0D"/>
    <w:rPr>
      <w:sz w:val="32"/>
    </w:rPr>
  </w:style>
  <w:style w:type="paragraph" w:customStyle="1" w:styleId="HeadingProcedure">
    <w:name w:val="Heading Procedure"/>
    <w:basedOn w:val="HeadingBase"/>
    <w:next w:val="Normal"/>
    <w:rsid w:val="000C3A0D"/>
    <w:pPr>
      <w:tabs>
        <w:tab w:val="left" w:pos="0"/>
      </w:tabs>
      <w:spacing w:before="120" w:after="60"/>
    </w:pPr>
    <w:rPr>
      <w:i/>
      <w:color w:val="918585"/>
      <w:sz w:val="22"/>
    </w:rPr>
  </w:style>
  <w:style w:type="paragraph" w:customStyle="1" w:styleId="TableBodyText">
    <w:name w:val="Table Body Text"/>
    <w:basedOn w:val="BodyText"/>
    <w:rsid w:val="000C3A0D"/>
    <w:pPr>
      <w:spacing w:before="60" w:after="60"/>
    </w:pPr>
  </w:style>
  <w:style w:type="paragraph" w:styleId="ListContinue">
    <w:name w:val="List Continue"/>
    <w:basedOn w:val="List"/>
    <w:rsid w:val="000C3A0D"/>
    <w:pPr>
      <w:ind w:firstLine="0"/>
    </w:pPr>
  </w:style>
  <w:style w:type="paragraph" w:customStyle="1" w:styleId="ListNote">
    <w:name w:val="List Note"/>
    <w:basedOn w:val="List"/>
    <w:rsid w:val="000C3A0D"/>
    <w:pPr>
      <w:pBdr>
        <w:top w:val="single" w:sz="6" w:space="2" w:color="918585"/>
        <w:bottom w:val="single" w:sz="6" w:space="2" w:color="918585"/>
      </w:pBdr>
      <w:tabs>
        <w:tab w:val="left" w:pos="1021"/>
      </w:tabs>
      <w:ind w:firstLine="0"/>
    </w:pPr>
  </w:style>
  <w:style w:type="paragraph" w:customStyle="1" w:styleId="Warning">
    <w:name w:val="Warning"/>
    <w:basedOn w:val="BodyText"/>
    <w:rsid w:val="000C3A0D"/>
    <w:pPr>
      <w:shd w:val="clear" w:color="auto" w:fill="D9D9D9"/>
      <w:tabs>
        <w:tab w:val="left" w:pos="992"/>
      </w:tabs>
      <w:ind w:left="119" w:right="119"/>
    </w:pPr>
    <w:rPr>
      <w:sz w:val="20"/>
    </w:rPr>
  </w:style>
  <w:style w:type="paragraph" w:customStyle="1" w:styleId="MarginIcons">
    <w:name w:val="Margin Icons"/>
    <w:basedOn w:val="BodyText"/>
    <w:rsid w:val="000C3A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3A0D"/>
    <w:rPr>
      <w:rFonts w:ascii="Courier New" w:hAnsi="Courier New"/>
    </w:rPr>
  </w:style>
  <w:style w:type="paragraph" w:customStyle="1" w:styleId="NoteBullet">
    <w:name w:val="Note Bullet"/>
    <w:basedOn w:val="Note"/>
    <w:rsid w:val="000C3A0D"/>
    <w:pPr>
      <w:tabs>
        <w:tab w:val="clear" w:pos="680"/>
      </w:tabs>
      <w:spacing w:before="60" w:after="60"/>
    </w:pPr>
  </w:style>
  <w:style w:type="paragraph" w:customStyle="1" w:styleId="SubHeading2">
    <w:name w:val="SubHeading2"/>
    <w:basedOn w:val="HeadingBase"/>
    <w:rsid w:val="000C3A0D"/>
    <w:pPr>
      <w:spacing w:before="240" w:after="60"/>
    </w:pPr>
    <w:rPr>
      <w:sz w:val="20"/>
    </w:rPr>
  </w:style>
  <w:style w:type="paragraph" w:customStyle="1" w:styleId="SubHeading1">
    <w:name w:val="SubHeading1"/>
    <w:basedOn w:val="HeadingBase"/>
    <w:rsid w:val="000C3A0D"/>
    <w:pPr>
      <w:spacing w:before="240" w:after="60"/>
    </w:pPr>
    <w:rPr>
      <w:color w:val="918585"/>
      <w:sz w:val="22"/>
    </w:rPr>
  </w:style>
  <w:style w:type="paragraph" w:customStyle="1" w:styleId="SideHeading">
    <w:name w:val="Side Heading"/>
    <w:basedOn w:val="HeadingBase"/>
    <w:rsid w:val="000C3A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3A0D"/>
    <w:pPr>
      <w:numPr>
        <w:numId w:val="10"/>
      </w:numPr>
    </w:pPr>
  </w:style>
  <w:style w:type="paragraph" w:styleId="PlainText">
    <w:name w:val="Plain Text"/>
    <w:basedOn w:val="Normal"/>
    <w:link w:val="PlainTextChar"/>
    <w:rsid w:val="000C3A0D"/>
    <w:rPr>
      <w:sz w:val="20"/>
    </w:rPr>
  </w:style>
  <w:style w:type="character" w:customStyle="1" w:styleId="PlainTextChar">
    <w:name w:val="Plain Text Char"/>
    <w:basedOn w:val="DefaultParagraphFont"/>
    <w:link w:val="PlainText"/>
    <w:rsid w:val="000C3A0D"/>
    <w:rPr>
      <w:rFonts w:ascii="Courier New" w:eastAsia="Times New Roman" w:hAnsi="Courier New" w:cs="Times New Roman"/>
      <w:sz w:val="20"/>
      <w:szCs w:val="20"/>
      <w:lang w:eastAsia="en-US"/>
    </w:rPr>
  </w:style>
  <w:style w:type="character" w:customStyle="1" w:styleId="MenuOption">
    <w:name w:val="Menu Option"/>
    <w:basedOn w:val="DefaultParagraphFont"/>
    <w:rsid w:val="000C3A0D"/>
    <w:rPr>
      <w:b/>
      <w:smallCaps/>
    </w:rPr>
  </w:style>
  <w:style w:type="paragraph" w:customStyle="1" w:styleId="TableListNumber">
    <w:name w:val="Table List Number"/>
    <w:basedOn w:val="ListNumber"/>
    <w:rsid w:val="000C3A0D"/>
    <w:pPr>
      <w:numPr>
        <w:numId w:val="0"/>
      </w:numPr>
    </w:pPr>
  </w:style>
  <w:style w:type="paragraph" w:styleId="TOC4">
    <w:name w:val="toc 4"/>
    <w:basedOn w:val="TOCBase"/>
    <w:next w:val="Normal"/>
    <w:semiHidden/>
    <w:rsid w:val="000C3A0D"/>
    <w:pPr>
      <w:tabs>
        <w:tab w:val="right" w:leader="dot" w:pos="9071"/>
      </w:tabs>
      <w:ind w:left="1701"/>
    </w:pPr>
  </w:style>
  <w:style w:type="paragraph" w:customStyle="1" w:styleId="ListAlpha">
    <w:name w:val="List Alpha"/>
    <w:basedOn w:val="List"/>
    <w:rsid w:val="000C3A0D"/>
    <w:pPr>
      <w:numPr>
        <w:numId w:val="8"/>
      </w:numPr>
    </w:pPr>
  </w:style>
  <w:style w:type="paragraph" w:customStyle="1" w:styleId="ListAlpha2">
    <w:name w:val="List Alpha 2"/>
    <w:basedOn w:val="List2"/>
    <w:rsid w:val="000C3A0D"/>
    <w:pPr>
      <w:numPr>
        <w:numId w:val="7"/>
      </w:numPr>
    </w:pPr>
  </w:style>
  <w:style w:type="paragraph" w:styleId="List2">
    <w:name w:val="List 2"/>
    <w:basedOn w:val="BodyText"/>
    <w:rsid w:val="000C3A0D"/>
    <w:pPr>
      <w:tabs>
        <w:tab w:val="left" w:pos="680"/>
      </w:tabs>
      <w:spacing w:before="60" w:after="60"/>
      <w:ind w:left="680" w:hanging="340"/>
    </w:pPr>
  </w:style>
  <w:style w:type="paragraph" w:styleId="List3">
    <w:name w:val="List 3"/>
    <w:basedOn w:val="BodyText"/>
    <w:rsid w:val="000C3A0D"/>
    <w:pPr>
      <w:tabs>
        <w:tab w:val="left" w:pos="1021"/>
      </w:tabs>
      <w:spacing w:before="60" w:after="60"/>
      <w:ind w:left="1020" w:hanging="340"/>
    </w:pPr>
  </w:style>
  <w:style w:type="paragraph" w:styleId="List4">
    <w:name w:val="List 4"/>
    <w:basedOn w:val="BodyText"/>
    <w:rsid w:val="000C3A0D"/>
    <w:pPr>
      <w:tabs>
        <w:tab w:val="left" w:pos="1361"/>
      </w:tabs>
      <w:spacing w:before="60" w:after="60"/>
      <w:ind w:left="1361" w:hanging="340"/>
    </w:pPr>
  </w:style>
  <w:style w:type="paragraph" w:styleId="List5">
    <w:name w:val="List 5"/>
    <w:basedOn w:val="BodyText"/>
    <w:rsid w:val="000C3A0D"/>
    <w:pPr>
      <w:tabs>
        <w:tab w:val="left" w:pos="1701"/>
      </w:tabs>
      <w:spacing w:before="60" w:after="60"/>
      <w:ind w:left="1701" w:hanging="340"/>
    </w:pPr>
  </w:style>
  <w:style w:type="paragraph" w:styleId="ListBullet3">
    <w:name w:val="List Bullet 3"/>
    <w:basedOn w:val="List3"/>
    <w:rsid w:val="000C3A0D"/>
    <w:pPr>
      <w:numPr>
        <w:numId w:val="13"/>
      </w:numPr>
      <w:tabs>
        <w:tab w:val="clear" w:pos="1021"/>
      </w:tabs>
      <w:ind w:left="1037" w:hanging="357"/>
    </w:pPr>
  </w:style>
  <w:style w:type="paragraph" w:styleId="ListBullet4">
    <w:name w:val="List Bullet 4"/>
    <w:basedOn w:val="List4"/>
    <w:rsid w:val="000C3A0D"/>
    <w:pPr>
      <w:numPr>
        <w:numId w:val="2"/>
      </w:numPr>
      <w:tabs>
        <w:tab w:val="clear" w:pos="1361"/>
      </w:tabs>
    </w:pPr>
  </w:style>
  <w:style w:type="paragraph" w:styleId="ListBullet5">
    <w:name w:val="List Bullet 5"/>
    <w:basedOn w:val="List5"/>
    <w:rsid w:val="000C3A0D"/>
    <w:pPr>
      <w:numPr>
        <w:numId w:val="3"/>
      </w:numPr>
    </w:pPr>
  </w:style>
  <w:style w:type="paragraph" w:styleId="ListContinue2">
    <w:name w:val="List Continue 2"/>
    <w:basedOn w:val="List2"/>
    <w:rsid w:val="000C3A0D"/>
    <w:pPr>
      <w:ind w:firstLine="0"/>
    </w:pPr>
  </w:style>
  <w:style w:type="paragraph" w:styleId="ListContinue3">
    <w:name w:val="List Continue 3"/>
    <w:basedOn w:val="List3"/>
    <w:rsid w:val="000C3A0D"/>
    <w:pPr>
      <w:ind w:left="1021" w:firstLine="0"/>
    </w:pPr>
  </w:style>
  <w:style w:type="paragraph" w:styleId="ListContinue4">
    <w:name w:val="List Continue 4"/>
    <w:basedOn w:val="List4"/>
    <w:rsid w:val="000C3A0D"/>
    <w:pPr>
      <w:ind w:firstLine="0"/>
    </w:pPr>
  </w:style>
  <w:style w:type="paragraph" w:styleId="ListContinue5">
    <w:name w:val="List Continue 5"/>
    <w:basedOn w:val="List5"/>
    <w:rsid w:val="000C3A0D"/>
    <w:pPr>
      <w:ind w:firstLine="0"/>
    </w:pPr>
  </w:style>
  <w:style w:type="paragraph" w:styleId="ListNumber3">
    <w:name w:val="List Number 3"/>
    <w:basedOn w:val="List3"/>
    <w:rsid w:val="000C3A0D"/>
    <w:pPr>
      <w:numPr>
        <w:numId w:val="4"/>
      </w:numPr>
    </w:pPr>
  </w:style>
  <w:style w:type="paragraph" w:styleId="ListNumber4">
    <w:name w:val="List Number 4"/>
    <w:basedOn w:val="List4"/>
    <w:rsid w:val="000C3A0D"/>
    <w:pPr>
      <w:numPr>
        <w:numId w:val="5"/>
      </w:numPr>
    </w:pPr>
  </w:style>
  <w:style w:type="paragraph" w:styleId="ListNumber5">
    <w:name w:val="List Number 5"/>
    <w:basedOn w:val="List5"/>
    <w:rsid w:val="000C3A0D"/>
    <w:pPr>
      <w:numPr>
        <w:numId w:val="6"/>
      </w:numPr>
    </w:pPr>
  </w:style>
  <w:style w:type="paragraph" w:styleId="BlockText">
    <w:name w:val="Block Text"/>
    <w:basedOn w:val="Normal"/>
    <w:rsid w:val="000C3A0D"/>
    <w:pPr>
      <w:spacing w:after="120"/>
      <w:ind w:left="1440" w:right="1440"/>
    </w:pPr>
  </w:style>
  <w:style w:type="character" w:customStyle="1" w:styleId="Subscript">
    <w:name w:val="Subscript"/>
    <w:basedOn w:val="DefaultParagraphFont"/>
    <w:rsid w:val="000C3A0D"/>
    <w:rPr>
      <w:sz w:val="16"/>
      <w:vertAlign w:val="subscript"/>
    </w:rPr>
  </w:style>
  <w:style w:type="character" w:customStyle="1" w:styleId="Superscript">
    <w:name w:val="Superscript"/>
    <w:basedOn w:val="DefaultParagraphFont"/>
    <w:rsid w:val="000C3A0D"/>
    <w:rPr>
      <w:sz w:val="16"/>
      <w:vertAlign w:val="superscript"/>
    </w:rPr>
  </w:style>
  <w:style w:type="character" w:customStyle="1" w:styleId="Symbols">
    <w:name w:val="Symbols"/>
    <w:basedOn w:val="DefaultParagraphFont"/>
    <w:rsid w:val="000C3A0D"/>
    <w:rPr>
      <w:rFonts w:ascii="Symbol" w:hAnsi="Symbol"/>
    </w:rPr>
  </w:style>
  <w:style w:type="character" w:customStyle="1" w:styleId="MenuOptions">
    <w:name w:val="Menu Options"/>
    <w:basedOn w:val="DefaultParagraphFont"/>
    <w:rsid w:val="000C3A0D"/>
    <w:rPr>
      <w:rFonts w:ascii="Arial Narrow" w:hAnsi="Arial Narrow"/>
      <w:smallCaps/>
    </w:rPr>
  </w:style>
  <w:style w:type="character" w:customStyle="1" w:styleId="Buttons">
    <w:name w:val="Buttons"/>
    <w:basedOn w:val="DefaultParagraphFont"/>
    <w:rsid w:val="000C3A0D"/>
    <w:rPr>
      <w:b/>
    </w:rPr>
  </w:style>
  <w:style w:type="character" w:customStyle="1" w:styleId="Underlined">
    <w:name w:val="Underlined"/>
    <w:basedOn w:val="DefaultParagraphFont"/>
    <w:rsid w:val="000C3A0D"/>
    <w:rPr>
      <w:u w:val="single"/>
    </w:rPr>
  </w:style>
  <w:style w:type="paragraph" w:customStyle="1" w:styleId="TableBodyTextRight">
    <w:name w:val="Table Body Text Right"/>
    <w:basedOn w:val="TableBodyText"/>
    <w:rsid w:val="000C3A0D"/>
    <w:pPr>
      <w:widowControl w:val="0"/>
      <w:autoSpaceDE w:val="0"/>
      <w:autoSpaceDN w:val="0"/>
      <w:adjustRightInd w:val="0"/>
      <w:jc w:val="right"/>
    </w:pPr>
    <w:rPr>
      <w:rFonts w:cs="Arial"/>
      <w:szCs w:val="18"/>
    </w:rPr>
  </w:style>
  <w:style w:type="paragraph" w:customStyle="1" w:styleId="CopyrightText">
    <w:name w:val="Copyright Text"/>
    <w:basedOn w:val="BodyText"/>
    <w:rsid w:val="000C3A0D"/>
    <w:rPr>
      <w:sz w:val="18"/>
    </w:rPr>
  </w:style>
  <w:style w:type="paragraph" w:customStyle="1" w:styleId="BodySmallRight">
    <w:name w:val="Body Small Right"/>
    <w:basedOn w:val="BodyTextRight"/>
    <w:rsid w:val="000C3A0D"/>
    <w:rPr>
      <w:sz w:val="18"/>
      <w:szCs w:val="18"/>
    </w:rPr>
  </w:style>
  <w:style w:type="paragraph" w:customStyle="1" w:styleId="MarginEdition">
    <w:name w:val="Margin Edition"/>
    <w:basedOn w:val="MarginNote"/>
    <w:rsid w:val="000C3A0D"/>
    <w:pPr>
      <w:spacing w:before="0" w:after="0"/>
    </w:pPr>
    <w:rPr>
      <w:rFonts w:ascii="Times New Roman" w:hAnsi="Times New Roman"/>
      <w:color w:val="999999"/>
    </w:rPr>
  </w:style>
  <w:style w:type="paragraph" w:customStyle="1" w:styleId="Spacer">
    <w:name w:val="Spacer"/>
    <w:basedOn w:val="Normal"/>
    <w:rsid w:val="000C3A0D"/>
    <w:rPr>
      <w:sz w:val="2"/>
      <w:szCs w:val="2"/>
    </w:rPr>
  </w:style>
  <w:style w:type="character" w:customStyle="1" w:styleId="Small">
    <w:name w:val="Small"/>
    <w:basedOn w:val="DefaultParagraphFont"/>
    <w:rsid w:val="000C3A0D"/>
    <w:rPr>
      <w:sz w:val="16"/>
    </w:rPr>
  </w:style>
  <w:style w:type="paragraph" w:customStyle="1" w:styleId="WideTable">
    <w:name w:val="Wide Table"/>
    <w:basedOn w:val="Normal"/>
    <w:rsid w:val="000C3A0D"/>
    <w:pPr>
      <w:ind w:left="-1418"/>
    </w:pPr>
    <w:rPr>
      <w:sz w:val="2"/>
      <w:szCs w:val="2"/>
    </w:rPr>
  </w:style>
  <w:style w:type="character" w:styleId="PageNumber">
    <w:name w:val="page number"/>
    <w:basedOn w:val="DefaultParagraphFont"/>
    <w:rsid w:val="000C3A0D"/>
  </w:style>
  <w:style w:type="paragraph" w:styleId="Quote">
    <w:name w:val="Quote"/>
    <w:basedOn w:val="Heading1"/>
    <w:link w:val="QuoteChar"/>
    <w:qFormat/>
    <w:rsid w:val="000C3A0D"/>
    <w:rPr>
      <w:b w:val="0"/>
      <w:sz w:val="72"/>
      <w:szCs w:val="72"/>
      <w:lang w:val="en-NZ"/>
    </w:rPr>
  </w:style>
  <w:style w:type="character" w:customStyle="1" w:styleId="QuoteChar">
    <w:name w:val="Quote Char"/>
    <w:basedOn w:val="DefaultParagraphFont"/>
    <w:link w:val="Quote"/>
    <w:rsid w:val="000C3A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3A0D"/>
    <w:pPr>
      <w:pageBreakBefore/>
    </w:pPr>
  </w:style>
  <w:style w:type="paragraph" w:customStyle="1" w:styleId="Border">
    <w:name w:val="Border"/>
    <w:basedOn w:val="Normal"/>
    <w:qFormat/>
    <w:rsid w:val="000C3A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3A0D"/>
    <w:rPr>
      <w:b/>
      <w:bCs/>
      <w:i/>
      <w:iCs/>
      <w:color w:val="auto"/>
    </w:rPr>
  </w:style>
  <w:style w:type="paragraph" w:styleId="IntenseQuote">
    <w:name w:val="Intense Quote"/>
    <w:basedOn w:val="Normal"/>
    <w:next w:val="Normal"/>
    <w:link w:val="IntenseQuoteChar"/>
    <w:uiPriority w:val="30"/>
    <w:qFormat/>
    <w:rsid w:val="000C3A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3A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3A0D"/>
    <w:rPr>
      <w:smallCaps/>
      <w:color w:val="auto"/>
      <w:u w:val="single"/>
    </w:rPr>
  </w:style>
  <w:style w:type="character" w:styleId="IntenseReference">
    <w:name w:val="Intense Reference"/>
    <w:basedOn w:val="DefaultParagraphFont"/>
    <w:uiPriority w:val="32"/>
    <w:qFormat/>
    <w:rsid w:val="000C3A0D"/>
    <w:rPr>
      <w:b/>
      <w:bCs/>
      <w:smallCaps/>
      <w:color w:val="auto"/>
      <w:spacing w:val="5"/>
      <w:u w:val="single"/>
    </w:rPr>
  </w:style>
  <w:style w:type="paragraph" w:customStyle="1" w:styleId="2ColumnHeading">
    <w:name w:val="2Column Heading"/>
    <w:basedOn w:val="BodyText"/>
    <w:qFormat/>
    <w:rsid w:val="000C3A0D"/>
    <w:pPr>
      <w:spacing w:after="60"/>
      <w:ind w:left="-2268"/>
    </w:pPr>
    <w:rPr>
      <w:b/>
    </w:rPr>
  </w:style>
  <w:style w:type="paragraph" w:customStyle="1" w:styleId="Heading1TOC">
    <w:name w:val="Heading1 TOC"/>
    <w:basedOn w:val="Normal"/>
    <w:qFormat/>
    <w:rsid w:val="000C3A0D"/>
    <w:pPr>
      <w:spacing w:before="240" w:after="120"/>
    </w:pPr>
    <w:rPr>
      <w:rFonts w:ascii="Times New Roman" w:hAnsi="Times New Roman"/>
      <w:b/>
      <w:sz w:val="32"/>
    </w:rPr>
  </w:style>
  <w:style w:type="paragraph" w:customStyle="1" w:styleId="Heading2TOC">
    <w:name w:val="Heading2 TOC"/>
    <w:basedOn w:val="Normal"/>
    <w:qFormat/>
    <w:rsid w:val="000C3A0D"/>
    <w:pPr>
      <w:spacing w:before="240" w:after="60"/>
    </w:pPr>
    <w:rPr>
      <w:rFonts w:ascii="Times New Roman" w:hAnsi="Times New Roman"/>
      <w:b/>
      <w:sz w:val="28"/>
    </w:rPr>
  </w:style>
  <w:style w:type="character" w:customStyle="1" w:styleId="Underline">
    <w:name w:val="Underline"/>
    <w:basedOn w:val="DefaultParagraphFont"/>
    <w:qFormat/>
    <w:rsid w:val="000C3A0D"/>
    <w:rPr>
      <w:u w:val="single"/>
    </w:rPr>
  </w:style>
  <w:style w:type="character" w:customStyle="1" w:styleId="BoldandItalics">
    <w:name w:val="Bold and Italics"/>
    <w:qFormat/>
    <w:rsid w:val="000C3A0D"/>
    <w:rPr>
      <w:b/>
      <w:i/>
      <w:u w:val="none"/>
    </w:rPr>
  </w:style>
  <w:style w:type="paragraph" w:styleId="BalloonText">
    <w:name w:val="Balloon Text"/>
    <w:basedOn w:val="Normal"/>
    <w:link w:val="BalloonTextChar"/>
    <w:rsid w:val="000C3A0D"/>
    <w:rPr>
      <w:rFonts w:ascii="Tahoma" w:hAnsi="Tahoma" w:cs="Tahoma"/>
      <w:sz w:val="16"/>
      <w:szCs w:val="16"/>
    </w:rPr>
  </w:style>
  <w:style w:type="character" w:customStyle="1" w:styleId="BalloonTextChar">
    <w:name w:val="Balloon Text Char"/>
    <w:basedOn w:val="DefaultParagraphFont"/>
    <w:link w:val="BalloonText"/>
    <w:rsid w:val="000C3A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3A0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3A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3A0D"/>
    <w:rPr>
      <w:b/>
      <w:color w:val="660033"/>
      <w:spacing w:val="0"/>
    </w:rPr>
  </w:style>
  <w:style w:type="paragraph" w:customStyle="1" w:styleId="Nameditemlist">
    <w:name w:val="Named item list"/>
    <w:basedOn w:val="BodyText"/>
    <w:qFormat/>
    <w:rsid w:val="000C3A0D"/>
    <w:pPr>
      <w:tabs>
        <w:tab w:val="left" w:pos="2835"/>
      </w:tabs>
      <w:ind w:left="2835" w:hanging="2835"/>
    </w:pPr>
  </w:style>
  <w:style w:type="paragraph" w:customStyle="1" w:styleId="BodyTextnopadding">
    <w:name w:val="Body Text no padding"/>
    <w:basedOn w:val="BodyText"/>
    <w:qFormat/>
    <w:rsid w:val="000C3A0D"/>
    <w:pPr>
      <w:spacing w:before="0" w:after="0"/>
    </w:pPr>
  </w:style>
  <w:style w:type="paragraph" w:customStyle="1" w:styleId="BodyTextBold">
    <w:name w:val="Body Text Bold"/>
    <w:basedOn w:val="BodyText"/>
    <w:qFormat/>
    <w:rsid w:val="000C3A0D"/>
    <w:rPr>
      <w:b/>
    </w:rPr>
  </w:style>
  <w:style w:type="character" w:styleId="Hyperlink">
    <w:name w:val="Hyperlink"/>
    <w:basedOn w:val="DefaultParagraphFont"/>
    <w:uiPriority w:val="99"/>
    <w:unhideWhenUsed/>
    <w:rsid w:val="00723A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1529</Words>
  <Characters>9725</Characters>
  <Application>Microsoft Office Word</Application>
  <DocSecurity>0</DocSecurity>
  <Lines>511</Lines>
  <Paragraphs>388</Paragraphs>
  <ScaleCrop>false</ScaleCrop>
  <Company>Author-it Software Corporation Ltd.</Company>
  <LinksUpToDate>false</LinksUpToDate>
  <CharactersWithSpaces>10866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UEE42611 Certificate IV in Hazardous areas - Electrical</dc:title>
  <dc:subject>Approved</dc:subject>
  <dc:creator>Australian Industry Standards</dc:creator>
  <cp:keywords>Release: 4</cp:keywords>
  <dc:description>Review Date: 12 April 2008</dc:description>
  <cp:lastModifiedBy>HSD_TPCMSd.prod</cp:lastModifiedBy>
  <cp:revision>3</cp:revision>
  <dcterms:created xsi:type="dcterms:W3CDTF">2022-12-22T22:01:00Z</dcterms:created>
  <dcterms:modified xsi:type="dcterms:W3CDTF">2022-12-22T22:01:00Z</dcterms:modified>
</cp:coreProperties>
</file>