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4B0" w:rsidP="000E54B0">
      <w:pPr>
        <w:pStyle w:val="Title"/>
      </w:pPr>
      <w:r>
        <w:fldChar w:fldCharType="begin"/>
      </w:r>
      <w:r>
        <w:instrText xml:space="preserve"> TITLE   \* MERGEFORMAT </w:instrText>
      </w:r>
      <w:r>
        <w:fldChar w:fldCharType="separate"/>
      </w:r>
      <w:r>
        <w:t>UEE40811 Certificate IV in Electrical - Fire Protection Control Systems</w:t>
      </w:r>
      <w:r>
        <w:fldChar w:fldCharType="end"/>
      </w:r>
    </w:p>
    <w:p w:rsidR="000E54B0" w:rsidP="000E54B0">
      <w:pPr>
        <w:pStyle w:val="Version"/>
        <w:sectPr w:rsidSect="00C34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34EAE" w:rsidP="00C34EAE">
      <w:pPr>
        <w:pStyle w:val="SuperHeading"/>
      </w:pPr>
      <w:r w:rsidRPr="00C34EAE">
        <w:t>UEE40811 Certificate IV in Electrical - Fire Protection Control Systems</w:t>
      </w:r>
    </w:p>
    <w:p w:rsidR="00000000" w:rsidRPr="00C34EAE" w:rsidP="00C34EAE">
      <w:pPr>
        <w:pStyle w:val="Heading1"/>
      </w:pPr>
      <w:bookmarkStart w:id="1" w:name="O_639577"/>
      <w:bookmarkEnd w:id="1"/>
      <w:r w:rsidRPr="00C34EA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Points</w:t>
            </w:r>
          </w:p>
        </w:tc>
      </w:tr>
      <w:tr w:rsidTr="000E54B0">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t>Edit Name to reflect correct Unit title</w:t>
            </w:r>
          </w:p>
          <w:p w:rsidR="00000000" w:rsidP="00C34EAE">
            <w:pPr>
              <w:pStyle w:val="BodyText"/>
              <w:rPr>
                <w:lang w:val="en-NZ"/>
              </w:rPr>
            </w:pPr>
            <w:r w:rsidRPr="00C34EAE">
              <w:t>UEENEED104A</w:t>
            </w:r>
            <w:r w:rsidRPr="00C34EAE">
              <w:tab/>
            </w:r>
            <w:r w:rsidRPr="00C34EAE">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10</w:t>
            </w:r>
          </w:p>
        </w:tc>
      </w:tr>
      <w:tr w:rsidTr="000E54B0">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CPPFES2043A Prevent ozone depleting substance and synthetic greenhouse gas emissions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t>10</w:t>
            </w:r>
          </w:p>
        </w:tc>
      </w:tr>
    </w:tbl>
    <w:p w:rsidR="00000000" w:rsidRPr="00C34EAE" w:rsidP="00C34EAE">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EAE" w:rsidP="00C34EAE">
            <w:pPr>
              <w:pStyle w:val="BodyText"/>
            </w:pPr>
            <w:r w:rsidRPr="00C34EAE">
              <w:t>Edit Name to reflect correct Unit title</w:t>
            </w:r>
          </w:p>
          <w:p w:rsidR="00000000" w:rsidP="00C34EAE">
            <w:pPr>
              <w:pStyle w:val="BodyText"/>
              <w:rPr>
                <w:lang w:val="en-NZ"/>
              </w:rPr>
            </w:pPr>
            <w:r w:rsidRPr="00C34EAE">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60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EAE" w:rsidP="00C34EAE">
            <w:pPr>
              <w:pStyle w:val="BodyText"/>
            </w:pPr>
            <w:r w:rsidRPr="00C34EAE">
              <w:t>Edit Name to reflect correct Unit title</w:t>
            </w:r>
          </w:p>
          <w:p w:rsidR="00000000" w:rsidP="00C34EAE">
            <w:pPr>
              <w:pStyle w:val="BodyText"/>
              <w:rPr>
                <w:lang w:val="en-NZ"/>
              </w:rPr>
            </w:pPr>
            <w:r w:rsidRPr="00C34EAE">
              <w:t>UEENEEK145A Implement and monitor energy sector env</w:t>
            </w:r>
            <w:r w:rsidRPr="00C34EAE">
              <w:t>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EAE" w:rsidP="00C34EAE">
            <w:pPr>
              <w:pStyle w:val="BodyText"/>
            </w:pPr>
            <w:r w:rsidRPr="00C34EAE">
              <w:t>20</w:t>
            </w:r>
          </w:p>
        </w:tc>
      </w:tr>
    </w:tbl>
    <w:p w:rsidR="00000000" w:rsidRPr="00C34EAE" w:rsidP="00C34EAE">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10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UEENEEH161A - Install fire detection and warning system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UEENEEH162A - Verify compliance and functionality of fire protection system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UEENEEH163A - Ent</w:t>
            </w:r>
            <w:r w:rsidRPr="00C34EAE">
              <w:t>er and verify programs for fire protection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UEENEEH164A - Commission large fire protection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UEENEEH165A - Troubleshoot fire protection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UEENEEG113A - Install and maintain emergency safety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UEENEEG172A - Investigate and report on electrical incidents and causes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UEENEEI1</w:t>
            </w:r>
            <w:r w:rsidRPr="00C34EAE">
              <w:t>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UEENEEI151A -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Correct title of UEENEEM024A - Install explosion-protected equipment and wiring systems - gas atmospheres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t>40</w:t>
            </w:r>
          </w:p>
        </w:tc>
      </w:tr>
    </w:tbl>
    <w:p w:rsidR="00000000" w:rsidRPr="00C34EAE" w:rsidP="00C34EAE">
      <w:pPr>
        <w:pStyle w:val="BodyText"/>
      </w:pPr>
    </w:p>
    <w:p w:rsidR="00000000" w:rsidRPr="00C34EAE" w:rsidP="00C34EAE">
      <w:pPr>
        <w:pStyle w:val="AllowPageBreak"/>
      </w:pPr>
    </w:p>
    <w:p w:rsidR="00000000" w:rsidRPr="00C34EAE" w:rsidP="00C34EAE">
      <w:pPr>
        <w:pStyle w:val="Heading1"/>
      </w:pPr>
      <w:bookmarkStart w:id="2" w:name="O_639576"/>
      <w:bookmarkEnd w:id="2"/>
      <w:r w:rsidRPr="00C34EAE">
        <w:t>Description</w:t>
      </w:r>
    </w:p>
    <w:p w:rsidR="00000000" w:rsidRPr="00C34EAE" w:rsidP="00C34EAE">
      <w:pPr>
        <w:pStyle w:val="BodyText"/>
      </w:pPr>
      <w:r w:rsidRPr="00C34EAE">
        <w:rPr>
          <w:rStyle w:val="SpecialBold"/>
        </w:rPr>
        <w:t>Scope</w:t>
      </w:r>
    </w:p>
    <w:p w:rsidR="000E54B0" w:rsidP="00C34EAE">
      <w:pPr>
        <w:pStyle w:val="BodyText"/>
      </w:pPr>
      <w:r w:rsidRPr="00C34EAE">
        <w:t>This qualification provides competencies to select, install, commission, fault find and maintain fire</w:t>
      </w:r>
      <w:r w:rsidRPr="00C34EAE">
        <w:t xml:space="preserve"> protection control systems in buildings. It includes ERAC requirements for an ‘Electrician’s licence’.</w:t>
      </w:r>
    </w:p>
    <w:p w:rsidR="000E54B0" w:rsidP="00C34EAE">
      <w:pPr>
        <w:pStyle w:val="BodyText"/>
      </w:pPr>
    </w:p>
    <w:p w:rsidR="00000000" w:rsidRPr="00C34EAE" w:rsidP="00C34EAE">
      <w:pPr>
        <w:pStyle w:val="Heading1"/>
      </w:pPr>
      <w:bookmarkStart w:id="3" w:name="O_639575"/>
      <w:bookmarkEnd w:id="3"/>
      <w:r w:rsidRPr="00C34EAE">
        <w:t>Pathways Information</w:t>
      </w:r>
    </w:p>
    <w:p w:rsidR="00000000" w:rsidRPr="00C34EAE" w:rsidP="00C34EAE">
      <w:pPr>
        <w:pStyle w:val="BodyText"/>
      </w:pPr>
      <w:r w:rsidRPr="00C34EAE">
        <w:t>Not applicable.</w:t>
      </w:r>
    </w:p>
    <w:p w:rsidR="00000000" w:rsidRPr="00C34EAE" w:rsidP="00C34EAE">
      <w:pPr>
        <w:pStyle w:val="AllowPageBreak"/>
      </w:pPr>
    </w:p>
    <w:p w:rsidR="00000000" w:rsidRPr="00C34EAE" w:rsidP="00C34EAE">
      <w:pPr>
        <w:pStyle w:val="Heading1"/>
      </w:pPr>
      <w:bookmarkStart w:id="4" w:name="O_639574"/>
      <w:bookmarkEnd w:id="4"/>
      <w:r w:rsidRPr="00C34EAE">
        <w:t>Licensing/Regulatory Information</w:t>
      </w:r>
    </w:p>
    <w:p w:rsidR="00000000" w:rsidRPr="00C34EAE" w:rsidP="00C34EAE">
      <w:pPr>
        <w:pStyle w:val="BodyText"/>
      </w:pPr>
      <w:r w:rsidRPr="00C34EAE">
        <w:t>Not applicable.</w:t>
      </w:r>
    </w:p>
    <w:p w:rsidR="00000000" w:rsidRPr="00C34EAE" w:rsidP="00C34EAE">
      <w:pPr>
        <w:pStyle w:val="AllowPageBreak"/>
      </w:pPr>
    </w:p>
    <w:p w:rsidR="00000000" w:rsidRPr="00C34EAE" w:rsidP="00C34EAE">
      <w:pPr>
        <w:pStyle w:val="Heading1"/>
      </w:pPr>
      <w:bookmarkStart w:id="5" w:name="O_639573"/>
      <w:bookmarkEnd w:id="5"/>
      <w:r w:rsidRPr="00C34EAE">
        <w:t>Entry Requirements</w:t>
      </w:r>
    </w:p>
    <w:p w:rsidR="00000000" w:rsidRPr="00C34EAE" w:rsidP="00C34EAE">
      <w:pPr>
        <w:pStyle w:val="BodyText"/>
      </w:pPr>
      <w:r w:rsidRPr="00C34EAE">
        <w:t>Not applicable.</w:t>
      </w:r>
    </w:p>
    <w:p w:rsidR="00000000" w:rsidRPr="00C34EAE" w:rsidP="00C34EAE">
      <w:pPr>
        <w:pStyle w:val="AllowPageBreak"/>
      </w:pPr>
    </w:p>
    <w:p w:rsidR="00000000" w:rsidRPr="00C34EAE" w:rsidP="00C34EAE">
      <w:pPr>
        <w:pStyle w:val="Heading1"/>
      </w:pPr>
      <w:bookmarkStart w:id="6" w:name="O_639572"/>
      <w:bookmarkEnd w:id="6"/>
      <w:r w:rsidRPr="00C34EAE">
        <w:t>Employability Skills Summary</w:t>
      </w:r>
    </w:p>
    <w:p w:rsidR="00000000" w:rsidRPr="00C34EAE" w:rsidP="00C34EAE">
      <w:pPr>
        <w:pStyle w:val="BodyText"/>
      </w:pPr>
      <w:r w:rsidRPr="00C34EAE">
        <w:t>Not applicable.</w:t>
      </w:r>
    </w:p>
    <w:p w:rsidR="00000000" w:rsidRPr="00C34EAE" w:rsidP="00C34EAE">
      <w:pPr>
        <w:pStyle w:val="AllowPageBreak"/>
      </w:pPr>
    </w:p>
    <w:p w:rsidR="00000000" w:rsidRPr="00C34EAE" w:rsidP="00C34EAE">
      <w:pPr>
        <w:pStyle w:val="Heading1"/>
      </w:pPr>
      <w:bookmarkStart w:id="7" w:name="O_639571"/>
      <w:bookmarkEnd w:id="7"/>
      <w:r w:rsidRPr="00C34EAE">
        <w:t>Packaging Rules</w:t>
      </w:r>
    </w:p>
    <w:p w:rsidR="00000000" w:rsidRPr="00C34EAE" w:rsidP="00C34EAE">
      <w:pPr>
        <w:pStyle w:val="BodyText"/>
      </w:pPr>
      <w:r w:rsidRPr="00C34EAE">
        <w:rPr>
          <w:rStyle w:val="SpecialBold"/>
        </w:rPr>
        <w:t>Completion requirements</w:t>
      </w:r>
    </w:p>
    <w:p w:rsidR="00000000" w:rsidRPr="00C34EAE" w:rsidP="00C34EAE">
      <w:pPr>
        <w:pStyle w:val="BodyText"/>
      </w:pPr>
      <w:r w:rsidRPr="00C34EAE">
        <w:t>The requirements for granting this qualification will be met when competency is demonstrated and achie</w:t>
      </w:r>
      <w:r w:rsidRPr="00C34EAE">
        <w:t>ved for:</w:t>
      </w:r>
    </w:p>
    <w:p w:rsidR="00000000" w:rsidRPr="00C34EAE" w:rsidP="00C34EAE">
      <w:pPr>
        <w:pStyle w:val="ListBullet"/>
      </w:pPr>
      <w:r w:rsidRPr="00C34EAE">
        <w:t>All the Core competency standard units, defined in the Core Competency Standard Units table below and</w:t>
      </w:r>
    </w:p>
    <w:p w:rsidR="00000000" w:rsidRPr="00C34EAE" w:rsidP="00C34EAE">
      <w:pPr>
        <w:pStyle w:val="ListBullet"/>
      </w:pPr>
      <w:r w:rsidRPr="00C34EAE">
        <w:t>A combination of Elective competency standard units to achieve a total weighting of 100 points in accordance with the Elective Competency Standa</w:t>
      </w:r>
      <w:r w:rsidRPr="00C34EAE">
        <w:t>rd Units table below.</w:t>
      </w:r>
    </w:p>
    <w:p w:rsidR="00000000" w:rsidRPr="00C34EAE" w:rsidP="00C34EAE">
      <w:pPr>
        <w:pStyle w:val="BodyText"/>
      </w:pPr>
      <w:r w:rsidRPr="00C34EAE">
        <w:t>Note: UEENEEG105A - Those holding an ‘Unrestricted Electricians Licence or equivalent issued in an Australian State or Territory meets the requirements of this unit and its pre-requisite requirements.</w:t>
      </w:r>
    </w:p>
    <w:p w:rsidR="00000000" w:rsidRPr="00C34EAE" w:rsidP="00C34EAE">
      <w:pPr>
        <w:pStyle w:val="BodyText"/>
      </w:pPr>
    </w:p>
    <w:tbl>
      <w:tblPr>
        <w:tblW w:w="0" w:type="auto"/>
        <w:tblLayout w:type="fixed"/>
        <w:tblCellMar>
          <w:left w:w="62" w:type="dxa"/>
          <w:right w:w="62" w:type="dxa"/>
        </w:tblCellMar>
        <w:tblLook w:val="0000"/>
      </w:tblPr>
      <w:tblGrid>
        <w:gridCol w:w="1985"/>
        <w:gridCol w:w="5103"/>
        <w:gridCol w:w="1417"/>
      </w:tblGrid>
      <w:tr w:rsidTr="000E54B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C34EAE" w:rsidP="00C34EAE">
            <w:pPr>
              <w:pStyle w:val="BodyText"/>
            </w:pPr>
            <w:r w:rsidRPr="00C34EAE">
              <w:rPr>
                <w:rStyle w:val="SpecialBold"/>
              </w:rPr>
              <w:t xml:space="preserve">Core Competency Standard Units </w:t>
            </w:r>
          </w:p>
          <w:p w:rsidR="00000000" w:rsidRPr="00C34EAE" w:rsidP="00C34EAE">
            <w:pPr>
              <w:pStyle w:val="BodyText"/>
            </w:pPr>
            <w:r w:rsidRPr="00C34EAE">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C34EAE">
            <w:pPr>
              <w:pStyle w:val="BodyText"/>
              <w:rPr>
                <w:lang w:val="en-NZ"/>
              </w:rPr>
            </w:pPr>
            <w:r w:rsidRPr="00C34EAE">
              <w:rPr>
                <w:rStyle w:val="SpecialBold"/>
              </w:rPr>
              <w:t>Weighting Points</w:t>
            </w:r>
          </w:p>
        </w:tc>
      </w:tr>
      <w:tr w:rsidTr="000E54B0">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rPr>
          <w:trHeight w:val="315"/>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UEENEEE101A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Apply Occupational Health and Safety regulations, codes and practices in the workplace</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UEENEEE102A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Fabricate, assemble and dismantle utilities industry components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UEENEEE104A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Solve problems in d.c.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80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UEENEEE105A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Fix and secure electrotechnology equipment</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UEENEEE107A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Use drawings, diagrams, schedules, standards, codes and specifications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 xml:space="preserve">Compile and produce an energy </w:t>
            </w:r>
            <w:r w:rsidRPr="00C34EAE">
              <w:t>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rPr>
          <w:trHeight w:val="315"/>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UEENEEE137A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Document and apply measures to control OHS risks associated with electrotechnology work</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UEENEEG006A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Solve problems in single and three phase low voltage machines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80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UEENEEG033A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Solve problems in single and three phase low voltage electrical apparatus and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UEENEEG063A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Arrange circuits, control and protection for general electrical installations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UEENEEG101A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Solve problems in electromagnetic devices and related circu</w:t>
            </w:r>
            <w:r w:rsidRPr="00C34EAE">
              <w:t>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UEENEEG102A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Solve problems in low voltage a.c.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80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UEENEEG103A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Install low voltage wiring and accessories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UEENEEG104A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Install appliances, switchgear and associated accessories for low voltage electrical installations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UEENEEG105A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Verify compliance and functionality of low voltage general electrical installations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UEENEEG106A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Terminate cables, cords and accessories for low voltage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UEENEEG107A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Select wiring systems and cables for low voltage general electrical install</w:t>
            </w:r>
            <w:r w:rsidRPr="00C34EAE">
              <w:t>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UEENEEG108A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Trouble-shoot and repair faults in low voltage electrical apparatus and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UEENEEG109A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Develop and connect electrical control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80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UEENEEH161A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Install fire detection and warning system apparatus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UEENEEH162A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Verify compliance and functionality of fire protection system installations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UEENEEH163A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Enter and verify programs for fire protection systems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UEENEEH164A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Commission large fire protection systems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UEENEEH165A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Troubleshoot fire protection systems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UEENEEK145A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Implement and monitor energy sector environmental and sustainable policies and procedures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rPr>
          <w:trHeight w:val="315"/>
        </w:trPr>
        <w:tc>
          <w:tcPr>
            <w:tcW w:w="7088"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EAE" w:rsidP="00C34EAE">
            <w:pPr>
              <w:pStyle w:val="BodyText"/>
            </w:pPr>
            <w:r w:rsidRPr="00C34EAE">
              <w:rPr>
                <w:rStyle w:val="SpecialBold"/>
              </w:rPr>
              <w:t>Total points in core</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rPr>
                <w:rStyle w:val="SpecialBold"/>
              </w:rPr>
              <w:t>1180</w:t>
            </w:r>
          </w:p>
        </w:tc>
      </w:tr>
    </w:tbl>
    <w:p w:rsidR="00000000" w:rsidRPr="00C34EAE" w:rsidP="00C34EAE">
      <w:pPr>
        <w:pStyle w:val="BodyText"/>
      </w:pPr>
    </w:p>
    <w:tbl>
      <w:tblPr>
        <w:tblW w:w="0" w:type="auto"/>
        <w:tblLayout w:type="fixed"/>
        <w:tblCellMar>
          <w:left w:w="62" w:type="dxa"/>
          <w:right w:w="62" w:type="dxa"/>
        </w:tblCellMar>
        <w:tblLook w:val="0000"/>
      </w:tblPr>
      <w:tblGrid>
        <w:gridCol w:w="567"/>
        <w:gridCol w:w="5245"/>
        <w:gridCol w:w="1276"/>
        <w:gridCol w:w="1417"/>
      </w:tblGrid>
      <w:tr w:rsidTr="000E54B0">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34EAE" w:rsidP="00C34EAE">
            <w:pPr>
              <w:pStyle w:val="BodyText"/>
            </w:pPr>
            <w:r w:rsidRPr="00C34EAE">
              <w:rPr>
                <w:rStyle w:val="SpecialBold"/>
              </w:rPr>
              <w:t>Elective Competency Standard Units</w:t>
            </w:r>
          </w:p>
          <w:p w:rsidR="00000000" w:rsidP="00C34EAE">
            <w:pPr>
              <w:pStyle w:val="BodyText"/>
              <w:rPr>
                <w:lang w:val="en-NZ"/>
              </w:rPr>
            </w:pPr>
            <w:r w:rsidRPr="00C34EAE">
              <w:t>Complete Elective units to achieve a total of weighting of 100 points from the following groups:</w:t>
            </w:r>
          </w:p>
        </w:tc>
      </w:tr>
      <w:tr w:rsidTr="000E54B0">
        <w:tblPrEx>
          <w:tblW w:w="0" w:type="auto"/>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EAE" w:rsidP="00C34EAE">
            <w:pPr>
              <w:pStyle w:val="BodyText"/>
            </w:pPr>
            <w:r w:rsidRPr="00C34EAE">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rPr>
                <w:rStyle w:val="SpecialBold"/>
              </w:rPr>
              <w:t>Maximum points</w:t>
            </w:r>
          </w:p>
        </w:tc>
      </w:tr>
      <w:tr w:rsidTr="000E54B0">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rPr>
                <w:rStyle w:val="SpecialBold"/>
              </w:rPr>
              <w:t>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EAE" w:rsidP="00C34EAE">
            <w:pPr>
              <w:pStyle w:val="BodyText"/>
            </w:pPr>
            <w:r w:rsidRPr="00C34EAE">
              <w:rPr>
                <w:rStyle w:val="SpecialBold"/>
              </w:rPr>
              <w:t>Imported and Common Elective Units</w:t>
            </w:r>
          </w:p>
          <w:p w:rsidR="00000000" w:rsidP="00C34EAE">
            <w:pPr>
              <w:pStyle w:val="BodyText"/>
              <w:rPr>
                <w:lang w:val="en-NZ"/>
              </w:rPr>
            </w:pPr>
            <w:r w:rsidRPr="00C34EAE">
              <w:t>Imported units from other training packages and/or state accredited courses can be added to this group, but they must be selected from qualifications where the unit is first packaged at AQF level 4.  If units have not being assigned a weighting by the rele</w:t>
            </w:r>
            <w:r w:rsidRPr="00C34EAE">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rPr>
                <w:rStyle w:val="SpecialBold"/>
              </w:rPr>
              <w:t>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rPr>
                <w:rStyle w:val="SpecialBold"/>
              </w:rPr>
              <w:t>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EAE" w:rsidP="00C34EAE">
            <w:pPr>
              <w:pStyle w:val="BodyText"/>
            </w:pPr>
            <w:r w:rsidRPr="00C34EAE">
              <w:rPr>
                <w:rStyle w:val="SpecialBold"/>
              </w:rPr>
              <w:t xml:space="preserve">Qualification Elective Units </w:t>
            </w:r>
          </w:p>
          <w:p w:rsidR="00000000" w:rsidP="00C34EAE">
            <w:pPr>
              <w:pStyle w:val="BodyText"/>
              <w:rPr>
                <w:lang w:val="en-NZ"/>
              </w:rPr>
            </w:pPr>
            <w:r w:rsidRPr="00C34EAE">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40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EAE" w:rsidP="00C34EAE">
            <w:pPr>
              <w:pStyle w:val="BodyText"/>
            </w:pPr>
            <w:r w:rsidRPr="00C34EAE">
              <w:t>100</w:t>
            </w:r>
          </w:p>
        </w:tc>
      </w:tr>
    </w:tbl>
    <w:p w:rsidR="00000000" w:rsidRPr="00C34EAE" w:rsidP="00C34EAE">
      <w:pPr>
        <w:pStyle w:val="BodyText"/>
      </w:pPr>
    </w:p>
    <w:tbl>
      <w:tblPr>
        <w:tblW w:w="0" w:type="auto"/>
        <w:tblLayout w:type="fixed"/>
        <w:tblCellMar>
          <w:left w:w="62" w:type="dxa"/>
          <w:right w:w="62" w:type="dxa"/>
        </w:tblCellMar>
        <w:tblLook w:val="0000"/>
      </w:tblPr>
      <w:tblGrid>
        <w:gridCol w:w="1985"/>
        <w:gridCol w:w="5215"/>
        <w:gridCol w:w="1305"/>
      </w:tblGrid>
      <w:tr w:rsidTr="000E54B0">
        <w:tblPrEx>
          <w:tblW w:w="0" w:type="auto"/>
          <w:tblLayout w:type="fixed"/>
          <w:tblCellMar>
            <w:left w:w="62" w:type="dxa"/>
            <w:right w:w="62" w:type="dxa"/>
          </w:tblCellMar>
          <w:tblLook w:val="0000"/>
        </w:tblPrEx>
        <w:tc>
          <w:tcPr>
            <w:tcW w:w="720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34EAE" w:rsidP="00C34EAE">
            <w:pPr>
              <w:pStyle w:val="BodyText"/>
            </w:pPr>
            <w:r w:rsidRPr="00C34EAE">
              <w:rPr>
                <w:rStyle w:val="SpecialBold"/>
              </w:rPr>
              <w:t>Group A –</w:t>
            </w:r>
            <w:r w:rsidRPr="00C34EAE">
              <w:rPr>
                <w:rStyle w:val="SpecialBold"/>
              </w:rPr>
              <w:t xml:space="preserve"> Imported and Common Elective Units</w:t>
            </w:r>
          </w:p>
          <w:p w:rsidR="00000000" w:rsidRPr="00C34EAE" w:rsidP="00C34EAE">
            <w:pPr>
              <w:pStyle w:val="BodyText"/>
            </w:pPr>
            <w:r w:rsidRPr="00C34EAE">
              <w:t>You may complete units to a maximum weighting of 60</w:t>
            </w:r>
          </w:p>
        </w:tc>
        <w:tc>
          <w:tcPr>
            <w:tcW w:w="130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34EAE">
            <w:pPr>
              <w:pStyle w:val="BodyText"/>
              <w:rPr>
                <w:lang w:val="en-NZ"/>
              </w:rPr>
            </w:pPr>
            <w:r w:rsidRPr="00C34EAE">
              <w:rPr>
                <w:rStyle w:val="SpecialBold"/>
              </w:rPr>
              <w:t>Weighting Points</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UEENEEC001B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Maintain documentation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UEENEEC002B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Source and purchase material/parts for installation or service jobs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UEENEEC003B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Provide quotations for installation or service jobs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UEENEEC010B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Deliver a service to customers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UEENEED101A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Use computer applications relevant to a workplace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UEENEEE009B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Comply with scheduled and preventative maintenance program processes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w:t>
            </w:r>
            <w:r w:rsidRPr="00C34EAE">
              <w:t>ENEEE020B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Provide basic instruction in the use of electrotechnology apparatus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CPCCOHS1001A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Work safely in the construction industry</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10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HLTAID001</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Provide cardiopulmonary resuscitation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10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CPPFES2043A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Prevent ozone depleting substance and synthetic greenhouse gas emissions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10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t>Imported units from other training packages and/or state accredited courses can be added to this group, but they must be selected from qualifications where the unit is first pack</w:t>
            </w:r>
            <w:r w:rsidRPr="00C34EAE">
              <w:t xml:space="preserve">aged at AQF level 4.  If units have not being assigned a weighting by the relevant EE-Oz Industry Technical Advisory Committee, their weighting will be 10 points. </w:t>
            </w:r>
          </w:p>
          <w:p w:rsidR="00000000" w:rsidRPr="00C34EAE" w:rsidP="00C34EAE">
            <w:pPr>
              <w:pStyle w:val="BodyText"/>
            </w:pPr>
          </w:p>
          <w:p w:rsidR="00000000" w:rsidP="00C34EAE">
            <w:pPr>
              <w:pStyle w:val="BodyText"/>
              <w:rPr>
                <w:lang w:val="en-NZ"/>
              </w:rPr>
            </w:pPr>
            <w:r w:rsidRPr="00C34EAE">
              <w:t>Note: For further information see Application of the NQC Flexibility Formula, UEE11 Electro</w:t>
            </w:r>
            <w:r w:rsidRPr="00C34EAE">
              <w:t>technology Training Package, Version 1, Volume 1 Qualification Framework</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p>
          <w:p w:rsidR="00000000" w:rsidP="00C34EAE">
            <w:pPr>
              <w:pStyle w:val="BodyText"/>
              <w:rPr>
                <w:lang w:val="en-NZ"/>
              </w:rPr>
            </w:pPr>
            <w:r w:rsidRPr="00C34EAE">
              <w:t>Up to 60 points</w:t>
            </w:r>
          </w:p>
        </w:tc>
      </w:tr>
      <w:tr w:rsidTr="000E54B0">
        <w:tblPrEx>
          <w:tblW w:w="0" w:type="auto"/>
          <w:tblLayout w:type="fixed"/>
          <w:tblCellMar>
            <w:left w:w="62" w:type="dxa"/>
            <w:right w:w="62" w:type="dxa"/>
          </w:tblCellMar>
          <w:tblLook w:val="0000"/>
        </w:tblPrEx>
        <w:tc>
          <w:tcPr>
            <w:tcW w:w="7200"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5" w:type="dxa"/>
            <w:tcBorders>
              <w:top w:val="single" w:sz="4" w:space="0" w:color="auto"/>
              <w:left w:val="nil"/>
              <w:bottom w:val="single" w:sz="4" w:space="0" w:color="auto"/>
              <w:right w:val="nil"/>
            </w:tcBorders>
            <w:tcMar>
              <w:top w:w="0" w:type="dxa"/>
              <w:left w:w="62" w:type="dxa"/>
              <w:bottom w:w="0" w:type="dxa"/>
              <w:right w:w="62" w:type="dxa"/>
            </w:tcMar>
          </w:tcPr>
          <w:p w:rsidR="00000000" w:rsidP="00C34EAE">
            <w:pPr>
              <w:pStyle w:val="BodyText"/>
              <w:rPr>
                <w:lang w:val="en-NZ"/>
              </w:rPr>
            </w:pPr>
          </w:p>
        </w:tc>
      </w:tr>
      <w:tr w:rsidTr="000E54B0">
        <w:tblPrEx>
          <w:tblW w:w="0" w:type="auto"/>
          <w:tblLayout w:type="fixed"/>
          <w:tblCellMar>
            <w:left w:w="62" w:type="dxa"/>
            <w:right w:w="62" w:type="dxa"/>
          </w:tblCellMar>
          <w:tblLook w:val="0000"/>
        </w:tblPrEx>
        <w:tc>
          <w:tcPr>
            <w:tcW w:w="720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34EAE" w:rsidP="00C34EAE">
            <w:pPr>
              <w:pStyle w:val="BodyText"/>
            </w:pPr>
            <w:r w:rsidRPr="00C34EAE">
              <w:rPr>
                <w:rStyle w:val="SpecialBold"/>
              </w:rPr>
              <w:t>Group B – Qualification Elective Units</w:t>
            </w:r>
          </w:p>
          <w:p w:rsidR="00000000" w:rsidRPr="00C34EAE" w:rsidP="00C34EAE">
            <w:pPr>
              <w:pStyle w:val="BodyText"/>
            </w:pPr>
            <w:r w:rsidRPr="00C34EAE">
              <w:t>You may complete units to a maximum weighting of 60</w:t>
            </w:r>
          </w:p>
        </w:tc>
        <w:tc>
          <w:tcPr>
            <w:tcW w:w="130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34EAE">
            <w:pPr>
              <w:pStyle w:val="BodyText"/>
              <w:rPr>
                <w:lang w:val="en-NZ"/>
              </w:rPr>
            </w:pPr>
            <w:r w:rsidRPr="00C34EAE">
              <w:rPr>
                <w:rStyle w:val="SpecialBold"/>
              </w:rPr>
              <w:t>Weighting Points</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UEENEED104A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U</w:t>
            </w:r>
            <w:r w:rsidRPr="00C34EAE">
              <w:t>se engineering applications software on personal computers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UEENEEF102A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Install and maintain cabling for multiple access to telecommunication services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120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UEENEEF104A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Install and modify performance data communication copper cabling</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UEENEEF105A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Inst</w:t>
            </w:r>
            <w:r w:rsidRPr="00C34EAE">
              <w:t>all and modify optical fibre performance data communication cabling</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UEENEEG113A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Install and maintain emergency safety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UEENEEH102A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Repairs basic electronic apparatus faults by replacement of components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UEENEEH111A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 xml:space="preserve">Troubleshoot single phase input d.c. power supplies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 xml:space="preserve">UEENEEH138A </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Fault find and repair complex power supplies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UEENEEI116A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Assemble, enter and verify operating instructions in microprocessor equipped devices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UEENEEI150A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Develop, enter and verif</w:t>
            </w:r>
            <w:r w:rsidRPr="00C34EAE">
              <w:t>y discrete control programs for programmable controllers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UEENEEM024A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 xml:space="preserve">Install explosion-protected equipment and wiring systems — gas atmospheres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UEENEEM077A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Install and maintain the integrity of fixed gas detection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20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UEENEEM080A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Report on the integrity of explosion-protected equipment in a hazardous area</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t>20</w:t>
            </w:r>
          </w:p>
        </w:tc>
      </w:tr>
    </w:tbl>
    <w:p w:rsidR="00000000" w:rsidRPr="00C34EAE" w:rsidP="00C34EAE">
      <w:pPr>
        <w:pStyle w:val="BodyText"/>
      </w:pPr>
    </w:p>
    <w:tbl>
      <w:tblPr>
        <w:tblW w:w="0" w:type="auto"/>
        <w:tblLayout w:type="fixed"/>
        <w:tblCellMar>
          <w:left w:w="62" w:type="dxa"/>
          <w:right w:w="62" w:type="dxa"/>
        </w:tblCellMar>
        <w:tblLook w:val="0000"/>
      </w:tblPr>
      <w:tblGrid>
        <w:gridCol w:w="1985"/>
        <w:gridCol w:w="5215"/>
        <w:gridCol w:w="1305"/>
      </w:tblGrid>
      <w:tr w:rsidTr="000E54B0">
        <w:tblPrEx>
          <w:tblW w:w="0" w:type="auto"/>
          <w:tblLayout w:type="fixed"/>
          <w:tblCellMar>
            <w:left w:w="62" w:type="dxa"/>
            <w:right w:w="62" w:type="dxa"/>
          </w:tblCellMar>
          <w:tblLook w:val="0000"/>
        </w:tblPrEx>
        <w:tc>
          <w:tcPr>
            <w:tcW w:w="720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34EAE" w:rsidP="00C34EAE">
            <w:pPr>
              <w:pStyle w:val="BodyText"/>
            </w:pPr>
            <w:r w:rsidRPr="00C34EAE">
              <w:rPr>
                <w:rStyle w:val="SpecialBold"/>
              </w:rPr>
              <w:t>Group C – Qualification Elective Units</w:t>
            </w:r>
          </w:p>
          <w:p w:rsidR="00000000" w:rsidRPr="00C34EAE" w:rsidP="00C34EAE">
            <w:pPr>
              <w:pStyle w:val="BodyText"/>
            </w:pPr>
            <w:r w:rsidRPr="00C34EAE">
              <w:t>You must complete units to a minimum weighting of 40</w:t>
            </w:r>
          </w:p>
          <w:p w:rsidR="00000000" w:rsidRPr="00C34EAE" w:rsidP="00C34EAE">
            <w:pPr>
              <w:pStyle w:val="BodyText"/>
            </w:pPr>
            <w:r w:rsidRPr="00C34EAE">
              <w:t>You may select all your elective units from this Group</w:t>
            </w:r>
          </w:p>
        </w:tc>
        <w:tc>
          <w:tcPr>
            <w:tcW w:w="130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34EAE">
            <w:pPr>
              <w:pStyle w:val="BodyText"/>
              <w:rPr>
                <w:lang w:val="en-NZ"/>
              </w:rPr>
            </w:pPr>
            <w:r w:rsidRPr="00C34EAE">
              <w:rPr>
                <w:rStyle w:val="SpecialBold"/>
              </w:rPr>
              <w:t>Weighting Points</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UEENEEG121A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Verify compliance and functionality of special LV electrical installations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UEENEEG122A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Conduct compliance inspection of single phase LV electrical installations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UEENEEG123A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Conduct compliance inspection of LV electrical installations with demand exceeding 100 A per phase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40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UEENEEG124A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Conduct compliance inspection of special LV electrical installations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UEENEEG172A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Investigate and report on electrical incidents and cause</w:t>
            </w:r>
            <w:r w:rsidRPr="00C34EAE">
              <w: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UEENEEG175A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Develop compliance policies and plans to conduct a electrical contracting business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80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UEENEEG179A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Develop detailed electrical drawings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UEENEEI151A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Develop, enter and verify word and analogue control programs for programmable logic controllers.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UEENEEI152A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Develop, enter and verify programs in Supervisory Control and Data Acquisition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60</w:t>
            </w:r>
          </w:p>
        </w:tc>
      </w:tr>
      <w:tr w:rsidTr="000E54B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UEENEEM042A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EAE">
            <w:pPr>
              <w:pStyle w:val="BodyText"/>
              <w:rPr>
                <w:lang w:val="en-NZ"/>
              </w:rPr>
            </w:pPr>
            <w:r w:rsidRPr="00C34EAE">
              <w:t>Install explosion-protected equipment an</w:t>
            </w:r>
            <w:r w:rsidRPr="00C34EAE">
              <w:t>d wiring systems - gas 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EAE" w:rsidP="00C34EAE">
            <w:pPr>
              <w:pStyle w:val="BodyText"/>
            </w:pPr>
            <w:r w:rsidRPr="00C34EAE">
              <w:t>40</w:t>
            </w:r>
          </w:p>
        </w:tc>
      </w:tr>
    </w:tbl>
    <w:p w:rsidR="00000000" w:rsidRPr="00C34EAE" w:rsidP="00C34EAE">
      <w:pPr>
        <w:pStyle w:val="BodyText"/>
      </w:pPr>
    </w:p>
    <w:p w:rsidR="00000000" w:rsidRPr="00C34EAE" w:rsidP="00C34EAE">
      <w:pPr>
        <w:pStyle w:val="BodyText"/>
      </w:pPr>
      <w:r w:rsidRPr="00C34EAE">
        <w:rPr>
          <w:rStyle w:val="SpecialBold"/>
        </w:rPr>
        <w:t xml:space="preserve">Note: </w:t>
      </w:r>
      <w:r w:rsidRPr="00C34EAE">
        <w:br/>
        <w:t>1. Prerequisite pathways shall be identified and met for all elective units selected.</w:t>
      </w:r>
    </w:p>
    <w:p w:rsidR="00000000" w:rsidRPr="00C34EAE" w:rsidP="00C34EAE">
      <w:pPr>
        <w:pStyle w:val="BodyText"/>
      </w:pPr>
      <w:r w:rsidRPr="00C34EAE">
        <w:t>2. In selecting elective units considerations to career planning advice should be given to units that form part of a prereq</w:t>
      </w:r>
      <w:r w:rsidRPr="00C34EAE">
        <w:t>uisite pathway for the progression to achieve particular competencies or qualification at a higher level.</w:t>
      </w:r>
    </w:p>
    <w:p w:rsidR="00000000" w:rsidRPr="00C34EAE" w:rsidP="00C34EAE">
      <w:pPr>
        <w:pStyle w:val="BodyText"/>
      </w:pPr>
      <w:r w:rsidRPr="00C34EAE">
        <w:rPr>
          <w:rStyle w:val="SpecialBold"/>
        </w:rPr>
        <w:t>END OF QUALIFICATION</w:t>
      </w:r>
    </w:p>
    <w:p w:rsidR="00000000" w:rsidRPr="00C34EAE" w:rsidP="00C34EAE">
      <w:pPr>
        <w:pStyle w:val="AllowPageBreak"/>
      </w:pPr>
    </w:p>
    <w:p w:rsidR="00000000" w:rsidRPr="00C34EAE" w:rsidP="00C34EAE">
      <w:pPr>
        <w:pStyle w:val="Heading1"/>
      </w:pPr>
      <w:bookmarkStart w:id="8" w:name="O_639570"/>
      <w:bookmarkEnd w:id="8"/>
      <w:r w:rsidRPr="00C34EAE">
        <w:t>Custom Content Section</w:t>
      </w:r>
    </w:p>
    <w:p w:rsidR="00000000" w:rsidRPr="00C34EAE" w:rsidP="00C34EAE">
      <w:pPr>
        <w:pStyle w:val="BodyText"/>
      </w:pPr>
      <w:r w:rsidRPr="00C34EAE">
        <w:t>Not applicable.</w:t>
      </w:r>
    </w:p>
    <w:p w:rsidR="00000000" w:rsidRPr="00C34EAE" w:rsidP="00C34EAE"/>
    <w:sectPr w:rsidSect="00C34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AE" w:rsidRPr="000E54B0" w:rsidP="000E5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4B0" w:rsidP="00C34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E54B0" w:rsidP="00C34EA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E54B0" w:rsidP="00C34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AE" w:rsidRPr="000E54B0" w:rsidP="000E54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4B0" w:rsidRPr="002D2AF8" w:rsidP="00C34EAE">
    <w:pPr>
      <w:pStyle w:val="Header"/>
      <w:framePr w:wrap="around"/>
    </w:pPr>
    <w:r>
      <w:fldChar w:fldCharType="begin"/>
    </w:r>
    <w:r>
      <w:instrText xml:space="preserve"> TITLE   \* MERGEFORMAT </w:instrText>
    </w:r>
    <w:r>
      <w:fldChar w:fldCharType="separate"/>
    </w:r>
    <w:r>
      <w:t>UEE40811 Certificate IV in Electrical - Fire Protection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0E54B0" w:rsidP="00C34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7C5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FCEF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EAE"/>
    <w:pPr>
      <w:spacing w:before="360" w:after="60"/>
      <w:outlineLvl w:val="0"/>
    </w:pPr>
    <w:rPr>
      <w:sz w:val="32"/>
    </w:rPr>
  </w:style>
  <w:style w:type="paragraph" w:styleId="Heading2">
    <w:name w:val="heading 2"/>
    <w:basedOn w:val="HeadingBase"/>
    <w:next w:val="BodyText"/>
    <w:link w:val="Heading2Char"/>
    <w:qFormat/>
    <w:rsid w:val="00C34EAE"/>
    <w:pPr>
      <w:keepLines/>
      <w:spacing w:before="240" w:after="120"/>
      <w:outlineLvl w:val="1"/>
    </w:pPr>
    <w:rPr>
      <w:sz w:val="28"/>
      <w:szCs w:val="40"/>
    </w:rPr>
  </w:style>
  <w:style w:type="paragraph" w:styleId="Heading3">
    <w:name w:val="heading 3"/>
    <w:basedOn w:val="HeadingBase"/>
    <w:next w:val="BodyText"/>
    <w:link w:val="Heading3Char"/>
    <w:qFormat/>
    <w:rsid w:val="00C34EAE"/>
    <w:pPr>
      <w:spacing w:before="180" w:after="120"/>
      <w:outlineLvl w:val="2"/>
    </w:pPr>
    <w:rPr>
      <w:spacing w:val="-10"/>
      <w:kern w:val="32"/>
    </w:rPr>
  </w:style>
  <w:style w:type="paragraph" w:styleId="Heading4">
    <w:name w:val="heading 4"/>
    <w:basedOn w:val="HeadingBase"/>
    <w:next w:val="BodyText"/>
    <w:link w:val="Heading4Char"/>
    <w:qFormat/>
    <w:rsid w:val="00C34EAE"/>
    <w:pPr>
      <w:spacing w:before="160" w:after="120"/>
      <w:outlineLvl w:val="3"/>
    </w:pPr>
    <w:rPr>
      <w:sz w:val="22"/>
    </w:rPr>
  </w:style>
  <w:style w:type="paragraph" w:styleId="Heading5">
    <w:name w:val="heading 5"/>
    <w:basedOn w:val="HeadingBase"/>
    <w:next w:val="Normal"/>
    <w:link w:val="Heading5Char"/>
    <w:qFormat/>
    <w:rsid w:val="00C34EAE"/>
    <w:pPr>
      <w:spacing w:before="80"/>
      <w:outlineLvl w:val="4"/>
    </w:pPr>
    <w:rPr>
      <w:color w:val="918585"/>
      <w:sz w:val="20"/>
    </w:rPr>
  </w:style>
  <w:style w:type="paragraph" w:styleId="Heading6">
    <w:name w:val="heading 6"/>
    <w:basedOn w:val="HeadingBase"/>
    <w:next w:val="Normal"/>
    <w:link w:val="Heading6Char"/>
    <w:qFormat/>
    <w:rsid w:val="00C34EAE"/>
    <w:pPr>
      <w:spacing w:before="60"/>
      <w:outlineLvl w:val="5"/>
    </w:pPr>
    <w:rPr>
      <w:color w:val="918585"/>
      <w:sz w:val="20"/>
    </w:rPr>
  </w:style>
  <w:style w:type="paragraph" w:styleId="Heading7">
    <w:name w:val="heading 7"/>
    <w:basedOn w:val="Normal"/>
    <w:next w:val="Normal"/>
    <w:link w:val="Heading7Char"/>
    <w:qFormat/>
    <w:rsid w:val="00C34EAE"/>
    <w:pPr>
      <w:ind w:left="720"/>
      <w:outlineLvl w:val="6"/>
    </w:pPr>
    <w:rPr>
      <w:i/>
    </w:rPr>
  </w:style>
  <w:style w:type="paragraph" w:styleId="Heading8">
    <w:name w:val="heading 8"/>
    <w:basedOn w:val="Normal"/>
    <w:next w:val="Normal"/>
    <w:link w:val="Heading8Char"/>
    <w:qFormat/>
    <w:rsid w:val="00C34EAE"/>
    <w:pPr>
      <w:ind w:left="720"/>
      <w:outlineLvl w:val="7"/>
    </w:pPr>
    <w:rPr>
      <w:i/>
    </w:rPr>
  </w:style>
  <w:style w:type="paragraph" w:styleId="Heading9">
    <w:name w:val="heading 9"/>
    <w:basedOn w:val="Normal"/>
    <w:next w:val="Normal"/>
    <w:link w:val="Heading9Char"/>
    <w:qFormat/>
    <w:rsid w:val="00C34EAE"/>
    <w:pPr>
      <w:ind w:left="720"/>
      <w:outlineLvl w:val="8"/>
    </w:pPr>
    <w:rPr>
      <w:i/>
    </w:rPr>
  </w:style>
  <w:style w:type="character" w:default="1" w:styleId="DefaultParagraphFont">
    <w:name w:val="Default Paragraph Font"/>
    <w:uiPriority w:val="1"/>
    <w:unhideWhenUsed/>
    <w:rsid w:val="00C34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EAE"/>
  </w:style>
  <w:style w:type="character" w:customStyle="1" w:styleId="Heading1Char">
    <w:name w:val="Heading 1 Char"/>
    <w:basedOn w:val="DefaultParagraphFont"/>
    <w:link w:val="Heading1"/>
    <w:rsid w:val="00C34EAE"/>
    <w:rPr>
      <w:rFonts w:ascii="Times New Roman" w:eastAsia="Times New Roman" w:hAnsi="Times New Roman" w:cs="Times New Roman"/>
      <w:b/>
      <w:sz w:val="32"/>
      <w:szCs w:val="20"/>
      <w:lang w:eastAsia="en-US"/>
    </w:rPr>
  </w:style>
  <w:style w:type="paragraph" w:styleId="BodyText">
    <w:name w:val="Body Text"/>
    <w:basedOn w:val="Normal"/>
    <w:link w:val="BodyTextChar"/>
    <w:rsid w:val="00C34E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EAE"/>
    <w:rPr>
      <w:rFonts w:ascii="Times New Roman" w:eastAsia="Times New Roman" w:hAnsi="Times New Roman" w:cs="Times New Roman"/>
      <w:sz w:val="24"/>
      <w:lang w:eastAsia="en-US"/>
    </w:rPr>
  </w:style>
  <w:style w:type="paragraph" w:styleId="ListBullet">
    <w:name w:val="List Bullet"/>
    <w:basedOn w:val="List"/>
    <w:rsid w:val="00C34EAE"/>
    <w:pPr>
      <w:numPr>
        <w:numId w:val="12"/>
      </w:numPr>
      <w:tabs>
        <w:tab w:val="clear" w:pos="340"/>
      </w:tabs>
      <w:spacing w:before="40" w:after="40"/>
    </w:pPr>
  </w:style>
  <w:style w:type="character" w:customStyle="1" w:styleId="SpecialBold">
    <w:name w:val="Special Bold"/>
    <w:basedOn w:val="DefaultParagraphFont"/>
    <w:rsid w:val="00C34EAE"/>
    <w:rPr>
      <w:b/>
      <w:spacing w:val="0"/>
    </w:rPr>
  </w:style>
  <w:style w:type="paragraph" w:customStyle="1" w:styleId="SuperHeading">
    <w:name w:val="SuperHeading"/>
    <w:basedOn w:val="Normal"/>
    <w:rsid w:val="00C34EAE"/>
    <w:pPr>
      <w:spacing w:before="240" w:after="120"/>
      <w:outlineLvl w:val="0"/>
    </w:pPr>
    <w:rPr>
      <w:rFonts w:ascii="Times New Roman" w:hAnsi="Times New Roman"/>
      <w:b/>
      <w:sz w:val="32"/>
    </w:rPr>
  </w:style>
  <w:style w:type="paragraph" w:customStyle="1" w:styleId="AllowPageBreak">
    <w:name w:val="AllowPageBreak"/>
    <w:rsid w:val="00C34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EAE"/>
    <w:rPr>
      <w:rFonts w:ascii="Courier New" w:eastAsia="Times New Roman" w:hAnsi="Courier New" w:cs="Times New Roman"/>
      <w:i/>
      <w:szCs w:val="20"/>
      <w:lang w:eastAsia="en-US"/>
    </w:rPr>
  </w:style>
  <w:style w:type="paragraph" w:customStyle="1" w:styleId="HeadingBase">
    <w:name w:val="Heading Base"/>
    <w:rsid w:val="00C34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EAE"/>
    <w:pPr>
      <w:tabs>
        <w:tab w:val="right" w:leader="dot" w:pos="9072"/>
      </w:tabs>
      <w:ind w:left="567"/>
    </w:pPr>
    <w:rPr>
      <w:szCs w:val="22"/>
    </w:rPr>
  </w:style>
  <w:style w:type="paragraph" w:customStyle="1" w:styleId="TOCBase">
    <w:name w:val="TOC Base"/>
    <w:rsid w:val="00C34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EAE"/>
    <w:pPr>
      <w:tabs>
        <w:tab w:val="right" w:leader="dot" w:pos="9072"/>
      </w:tabs>
      <w:spacing w:before="40" w:after="40"/>
      <w:ind w:left="284"/>
    </w:pPr>
    <w:rPr>
      <w:rFonts w:ascii="Times New Roman" w:hAnsi="Times New Roman"/>
    </w:rPr>
  </w:style>
  <w:style w:type="paragraph" w:styleId="TOC1">
    <w:name w:val="toc 1"/>
    <w:basedOn w:val="TOCBase"/>
    <w:next w:val="Normal"/>
    <w:rsid w:val="00C34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EAE"/>
    <w:rPr>
      <w:rFonts w:ascii="Times New Roman" w:eastAsia="Times New Roman" w:hAnsi="Times New Roman" w:cs="Times New Roman"/>
      <w:sz w:val="16"/>
      <w:lang w:eastAsia="en-US"/>
    </w:rPr>
  </w:style>
  <w:style w:type="paragraph" w:styleId="Title">
    <w:name w:val="Title"/>
    <w:basedOn w:val="HeadingBase"/>
    <w:link w:val="TitleChar"/>
    <w:qFormat/>
    <w:rsid w:val="00C34EAE"/>
    <w:pPr>
      <w:spacing w:before="5040"/>
      <w:jc w:val="center"/>
    </w:pPr>
    <w:rPr>
      <w:sz w:val="48"/>
      <w:szCs w:val="72"/>
      <w:lang w:val="en-US"/>
    </w:rPr>
  </w:style>
  <w:style w:type="character" w:customStyle="1" w:styleId="TitleChar">
    <w:name w:val="Title Char"/>
    <w:basedOn w:val="DefaultParagraphFont"/>
    <w:link w:val="Title"/>
    <w:rsid w:val="00C34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EAE"/>
    <w:pPr>
      <w:tabs>
        <w:tab w:val="left" w:pos="3600"/>
        <w:tab w:val="left" w:pos="3958"/>
      </w:tabs>
    </w:pPr>
  </w:style>
  <w:style w:type="paragraph" w:styleId="List">
    <w:name w:val="List"/>
    <w:basedOn w:val="BodyText"/>
    <w:next w:val="BodyText"/>
    <w:rsid w:val="00C34EAE"/>
    <w:pPr>
      <w:tabs>
        <w:tab w:val="left" w:pos="340"/>
      </w:tabs>
      <w:spacing w:before="60" w:after="60"/>
      <w:ind w:left="340" w:hanging="340"/>
    </w:pPr>
  </w:style>
  <w:style w:type="paragraph" w:customStyle="1" w:styleId="Note">
    <w:name w:val="Note"/>
    <w:basedOn w:val="BodyText"/>
    <w:rsid w:val="00C34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EAE"/>
    <w:pPr>
      <w:framePr w:wrap="auto" w:hAnchor="text" w:y="6049"/>
    </w:pPr>
    <w:rPr>
      <w:color w:val="000000"/>
      <w:sz w:val="40"/>
    </w:rPr>
  </w:style>
  <w:style w:type="paragraph" w:customStyle="1" w:styleId="TOCTitle">
    <w:name w:val="TOCTitle"/>
    <w:basedOn w:val="Heading1"/>
    <w:rsid w:val="00C34EAE"/>
    <w:pPr>
      <w:spacing w:after="240"/>
      <w:jc w:val="center"/>
      <w:outlineLvl w:val="9"/>
    </w:pPr>
    <w:rPr>
      <w:caps/>
    </w:rPr>
  </w:style>
  <w:style w:type="paragraph" w:customStyle="1" w:styleId="Version">
    <w:name w:val="Version"/>
    <w:rsid w:val="00C34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4EAE"/>
    <w:pPr>
      <w:numPr>
        <w:numId w:val="13"/>
      </w:numPr>
      <w:tabs>
        <w:tab w:val="clear" w:pos="680"/>
      </w:tabs>
    </w:pPr>
  </w:style>
  <w:style w:type="paragraph" w:styleId="Index1">
    <w:name w:val="index 1"/>
    <w:basedOn w:val="Normal"/>
    <w:next w:val="Normal"/>
    <w:semiHidden/>
    <w:rsid w:val="00C34EAE"/>
    <w:pPr>
      <w:keepNext w:val="0"/>
      <w:tabs>
        <w:tab w:val="right" w:pos="4176"/>
      </w:tabs>
      <w:ind w:left="198" w:hanging="198"/>
    </w:pPr>
    <w:rPr>
      <w:rFonts w:ascii="Garamond" w:hAnsi="Garamond"/>
    </w:rPr>
  </w:style>
  <w:style w:type="paragraph" w:styleId="IndexHeading">
    <w:name w:val="index heading"/>
    <w:basedOn w:val="Normal"/>
    <w:next w:val="Index1"/>
    <w:semiHidden/>
    <w:rsid w:val="00C34EAE"/>
    <w:pPr>
      <w:spacing w:before="120" w:after="120"/>
    </w:pPr>
    <w:rPr>
      <w:rFonts w:ascii="Arial" w:hAnsi="Arial"/>
      <w:b/>
      <w:color w:val="918585"/>
      <w:sz w:val="24"/>
    </w:rPr>
  </w:style>
  <w:style w:type="paragraph" w:styleId="Header">
    <w:name w:val="header"/>
    <w:basedOn w:val="Normal"/>
    <w:link w:val="HeaderChar"/>
    <w:rsid w:val="00C34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EAE"/>
    <w:rPr>
      <w:rFonts w:ascii="Times New Roman" w:eastAsia="Times New Roman" w:hAnsi="Times New Roman" w:cs="Times New Roman"/>
      <w:sz w:val="16"/>
      <w:szCs w:val="20"/>
      <w:lang w:val="en-GB" w:eastAsia="en-US"/>
    </w:rPr>
  </w:style>
  <w:style w:type="paragraph" w:customStyle="1" w:styleId="Chapter">
    <w:name w:val="Chapter"/>
    <w:basedOn w:val="Normal"/>
    <w:rsid w:val="00C34EAE"/>
    <w:pPr>
      <w:spacing w:before="240"/>
    </w:pPr>
    <w:rPr>
      <w:rFonts w:ascii="Times New Roman" w:hAnsi="Times New Roman"/>
      <w:smallCaps/>
      <w:spacing w:val="80"/>
      <w:sz w:val="28"/>
    </w:rPr>
  </w:style>
  <w:style w:type="paragraph" w:customStyle="1" w:styleId="InChapter">
    <w:name w:val="InChapter"/>
    <w:basedOn w:val="Heading3"/>
    <w:rsid w:val="00C34EAE"/>
    <w:pPr>
      <w:spacing w:after="240"/>
      <w:outlineLvl w:val="9"/>
    </w:pPr>
    <w:rPr>
      <w:noProof/>
    </w:rPr>
  </w:style>
  <w:style w:type="paragraph" w:styleId="Index2">
    <w:name w:val="index 2"/>
    <w:basedOn w:val="Normal"/>
    <w:next w:val="Normal"/>
    <w:semiHidden/>
    <w:rsid w:val="00C34EAE"/>
    <w:pPr>
      <w:tabs>
        <w:tab w:val="right" w:pos="4176"/>
      </w:tabs>
      <w:ind w:left="568" w:hanging="284"/>
    </w:pPr>
    <w:rPr>
      <w:rFonts w:ascii="Garamond" w:hAnsi="Garamond"/>
    </w:rPr>
  </w:style>
  <w:style w:type="paragraph" w:customStyle="1" w:styleId="Byline">
    <w:name w:val="Byline"/>
    <w:rsid w:val="00C34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EAE"/>
    <w:pPr>
      <w:tabs>
        <w:tab w:val="clear" w:pos="3600"/>
        <w:tab w:val="clear" w:pos="3958"/>
      </w:tabs>
      <w:jc w:val="right"/>
    </w:pPr>
  </w:style>
  <w:style w:type="character" w:styleId="Emphasis">
    <w:name w:val="Emphasis"/>
    <w:basedOn w:val="DefaultParagraphFont"/>
    <w:qFormat/>
    <w:rsid w:val="00C34EAE"/>
    <w:rPr>
      <w:i/>
    </w:rPr>
  </w:style>
  <w:style w:type="paragraph" w:styleId="Caption">
    <w:name w:val="caption"/>
    <w:basedOn w:val="BodyText"/>
    <w:next w:val="Normal"/>
    <w:qFormat/>
    <w:rsid w:val="00C34EAE"/>
    <w:pPr>
      <w:framePr w:w="2268" w:hSpace="181" w:vSpace="181" w:wrap="around" w:vAnchor="text" w:hAnchor="page" w:x="1135" w:y="285" w:anchorLock="1"/>
    </w:pPr>
    <w:rPr>
      <w:i/>
    </w:rPr>
  </w:style>
  <w:style w:type="paragraph" w:customStyle="1" w:styleId="MiniTOCTitle">
    <w:name w:val="MiniTOCTitle"/>
    <w:basedOn w:val="Heading4"/>
    <w:rsid w:val="00C34EAE"/>
    <w:pPr>
      <w:spacing w:before="240"/>
      <w:outlineLvl w:val="9"/>
    </w:pPr>
    <w:rPr>
      <w:noProof/>
      <w:sz w:val="24"/>
    </w:rPr>
  </w:style>
  <w:style w:type="paragraph" w:customStyle="1" w:styleId="MiniTOCItem">
    <w:name w:val="MiniTOCItem"/>
    <w:basedOn w:val="ListBullet"/>
    <w:rsid w:val="00C34EAE"/>
    <w:pPr>
      <w:numPr>
        <w:numId w:val="0"/>
      </w:numPr>
      <w:tabs>
        <w:tab w:val="right" w:leader="dot" w:pos="6521"/>
      </w:tabs>
      <w:spacing w:before="0" w:after="0"/>
    </w:pPr>
  </w:style>
  <w:style w:type="paragraph" w:customStyle="1" w:styleId="TOFTitle">
    <w:name w:val="TOFTitle"/>
    <w:basedOn w:val="TOCTitle"/>
    <w:rsid w:val="00C34EAE"/>
  </w:style>
  <w:style w:type="paragraph" w:styleId="TableofFigures">
    <w:name w:val="table of figures"/>
    <w:basedOn w:val="Normal"/>
    <w:next w:val="Normal"/>
    <w:semiHidden/>
    <w:rsid w:val="00C34EAE"/>
    <w:pPr>
      <w:tabs>
        <w:tab w:val="right" w:leader="dot" w:pos="9072"/>
      </w:tabs>
      <w:ind w:left="970" w:hanging="403"/>
    </w:pPr>
    <w:rPr>
      <w:rFonts w:ascii="Times New Roman" w:hAnsi="Times New Roman"/>
      <w:b/>
    </w:rPr>
  </w:style>
  <w:style w:type="paragraph" w:styleId="ListNumber">
    <w:name w:val="List Number"/>
    <w:basedOn w:val="List"/>
    <w:rsid w:val="00C34EAE"/>
    <w:pPr>
      <w:numPr>
        <w:numId w:val="10"/>
      </w:numPr>
    </w:pPr>
  </w:style>
  <w:style w:type="character" w:customStyle="1" w:styleId="WingdingSymbols">
    <w:name w:val="Wingding Symbols"/>
    <w:rsid w:val="00C34EAE"/>
    <w:rPr>
      <w:rFonts w:ascii="Wingdings" w:hAnsi="Wingdings"/>
    </w:rPr>
  </w:style>
  <w:style w:type="paragraph" w:customStyle="1" w:styleId="TableHeading">
    <w:name w:val="Table Heading"/>
    <w:basedOn w:val="HeadingBase"/>
    <w:rsid w:val="00C34EAE"/>
    <w:pPr>
      <w:keepLines/>
      <w:pBdr>
        <w:bottom w:val="single" w:sz="6" w:space="1" w:color="918585"/>
      </w:pBdr>
      <w:spacing w:before="240"/>
    </w:pPr>
  </w:style>
  <w:style w:type="character" w:customStyle="1" w:styleId="HotSpot">
    <w:name w:val="HotSpot"/>
    <w:rsid w:val="00C34EAE"/>
    <w:rPr>
      <w:color w:val="0033CC"/>
      <w:u w:val="none"/>
    </w:rPr>
  </w:style>
  <w:style w:type="paragraph" w:customStyle="1" w:styleId="BodyTextRight">
    <w:name w:val="Body Text Right"/>
    <w:basedOn w:val="BodyText"/>
    <w:rsid w:val="00C34EAE"/>
    <w:pPr>
      <w:spacing w:before="0" w:after="0"/>
      <w:jc w:val="right"/>
    </w:pPr>
  </w:style>
  <w:style w:type="paragraph" w:styleId="Index3">
    <w:name w:val="index 3"/>
    <w:basedOn w:val="ListNumber2"/>
    <w:next w:val="Normal"/>
    <w:semiHidden/>
    <w:rsid w:val="00C34EAE"/>
    <w:pPr>
      <w:numPr>
        <w:numId w:val="0"/>
      </w:numPr>
      <w:tabs>
        <w:tab w:val="right" w:leader="dot" w:pos="4176"/>
      </w:tabs>
    </w:pPr>
  </w:style>
  <w:style w:type="paragraph" w:styleId="ListNumber2">
    <w:name w:val="List Number 2"/>
    <w:basedOn w:val="List2"/>
    <w:rsid w:val="00C34EAE"/>
    <w:pPr>
      <w:numPr>
        <w:numId w:val="9"/>
      </w:numPr>
      <w:tabs>
        <w:tab w:val="clear" w:pos="1060"/>
      </w:tabs>
    </w:pPr>
  </w:style>
  <w:style w:type="paragraph" w:customStyle="1" w:styleId="MarginNote">
    <w:name w:val="Margin Note"/>
    <w:basedOn w:val="BodyText"/>
    <w:rsid w:val="00C34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EAE"/>
    <w:rPr>
      <w:sz w:val="32"/>
    </w:rPr>
  </w:style>
  <w:style w:type="paragraph" w:customStyle="1" w:styleId="HeadingProcedure">
    <w:name w:val="Heading Procedure"/>
    <w:basedOn w:val="HeadingBase"/>
    <w:next w:val="Normal"/>
    <w:rsid w:val="00C34EAE"/>
    <w:pPr>
      <w:tabs>
        <w:tab w:val="left" w:pos="0"/>
      </w:tabs>
      <w:spacing w:before="120" w:after="60"/>
    </w:pPr>
    <w:rPr>
      <w:i/>
      <w:color w:val="918585"/>
      <w:sz w:val="22"/>
    </w:rPr>
  </w:style>
  <w:style w:type="paragraph" w:customStyle="1" w:styleId="TableBodyText">
    <w:name w:val="Table Body Text"/>
    <w:basedOn w:val="BodyText"/>
    <w:rsid w:val="00C34EAE"/>
    <w:pPr>
      <w:spacing w:before="60" w:after="60"/>
    </w:pPr>
  </w:style>
  <w:style w:type="paragraph" w:styleId="ListContinue">
    <w:name w:val="List Continue"/>
    <w:basedOn w:val="List"/>
    <w:rsid w:val="00C34EAE"/>
    <w:pPr>
      <w:ind w:firstLine="0"/>
    </w:pPr>
  </w:style>
  <w:style w:type="paragraph" w:customStyle="1" w:styleId="ListNote">
    <w:name w:val="List Note"/>
    <w:basedOn w:val="List"/>
    <w:rsid w:val="00C34EAE"/>
    <w:pPr>
      <w:pBdr>
        <w:top w:val="single" w:sz="6" w:space="2" w:color="918585"/>
        <w:bottom w:val="single" w:sz="6" w:space="2" w:color="918585"/>
      </w:pBdr>
      <w:tabs>
        <w:tab w:val="left" w:pos="1021"/>
      </w:tabs>
      <w:ind w:firstLine="0"/>
    </w:pPr>
  </w:style>
  <w:style w:type="paragraph" w:customStyle="1" w:styleId="Warning">
    <w:name w:val="Warning"/>
    <w:basedOn w:val="BodyText"/>
    <w:rsid w:val="00C34EAE"/>
    <w:pPr>
      <w:shd w:val="clear" w:color="auto" w:fill="D9D9D9"/>
      <w:tabs>
        <w:tab w:val="left" w:pos="992"/>
      </w:tabs>
      <w:ind w:left="119" w:right="119"/>
    </w:pPr>
    <w:rPr>
      <w:sz w:val="20"/>
    </w:rPr>
  </w:style>
  <w:style w:type="paragraph" w:customStyle="1" w:styleId="MarginIcons">
    <w:name w:val="Margin Icons"/>
    <w:basedOn w:val="BodyText"/>
    <w:rsid w:val="00C34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EAE"/>
    <w:rPr>
      <w:rFonts w:ascii="Courier New" w:hAnsi="Courier New"/>
    </w:rPr>
  </w:style>
  <w:style w:type="paragraph" w:customStyle="1" w:styleId="NoteBullet">
    <w:name w:val="Note Bullet"/>
    <w:basedOn w:val="Note"/>
    <w:rsid w:val="00C34EAE"/>
    <w:pPr>
      <w:tabs>
        <w:tab w:val="clear" w:pos="680"/>
      </w:tabs>
      <w:spacing w:before="60" w:after="60"/>
    </w:pPr>
  </w:style>
  <w:style w:type="paragraph" w:customStyle="1" w:styleId="SubHeading2">
    <w:name w:val="SubHeading2"/>
    <w:basedOn w:val="HeadingBase"/>
    <w:rsid w:val="00C34EAE"/>
    <w:pPr>
      <w:spacing w:before="240" w:after="60"/>
    </w:pPr>
    <w:rPr>
      <w:sz w:val="20"/>
    </w:rPr>
  </w:style>
  <w:style w:type="paragraph" w:customStyle="1" w:styleId="SubHeading1">
    <w:name w:val="SubHeading1"/>
    <w:basedOn w:val="HeadingBase"/>
    <w:rsid w:val="00C34EAE"/>
    <w:pPr>
      <w:spacing w:before="240" w:after="60"/>
    </w:pPr>
    <w:rPr>
      <w:color w:val="918585"/>
      <w:sz w:val="22"/>
    </w:rPr>
  </w:style>
  <w:style w:type="paragraph" w:customStyle="1" w:styleId="SideHeading">
    <w:name w:val="Side Heading"/>
    <w:basedOn w:val="HeadingBase"/>
    <w:rsid w:val="00C34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EAE"/>
    <w:pPr>
      <w:tabs>
        <w:tab w:val="num" w:pos="360"/>
      </w:tabs>
    </w:pPr>
  </w:style>
  <w:style w:type="paragraph" w:styleId="PlainText">
    <w:name w:val="Plain Text"/>
    <w:basedOn w:val="Normal"/>
    <w:link w:val="PlainTextChar"/>
    <w:rsid w:val="00C34EAE"/>
    <w:rPr>
      <w:sz w:val="20"/>
    </w:rPr>
  </w:style>
  <w:style w:type="character" w:customStyle="1" w:styleId="PlainTextChar">
    <w:name w:val="Plain Text Char"/>
    <w:basedOn w:val="DefaultParagraphFont"/>
    <w:link w:val="PlainText"/>
    <w:rsid w:val="00C34EAE"/>
    <w:rPr>
      <w:rFonts w:ascii="Courier New" w:eastAsia="Times New Roman" w:hAnsi="Courier New" w:cs="Times New Roman"/>
      <w:sz w:val="20"/>
      <w:szCs w:val="20"/>
      <w:lang w:eastAsia="en-US"/>
    </w:rPr>
  </w:style>
  <w:style w:type="character" w:customStyle="1" w:styleId="MenuOption">
    <w:name w:val="Menu Option"/>
    <w:basedOn w:val="DefaultParagraphFont"/>
    <w:rsid w:val="00C34EAE"/>
    <w:rPr>
      <w:b/>
      <w:smallCaps/>
    </w:rPr>
  </w:style>
  <w:style w:type="paragraph" w:customStyle="1" w:styleId="TableListNumber">
    <w:name w:val="Table List Number"/>
    <w:basedOn w:val="ListNumber"/>
    <w:rsid w:val="00C34EAE"/>
    <w:pPr>
      <w:numPr>
        <w:numId w:val="0"/>
      </w:numPr>
    </w:pPr>
  </w:style>
  <w:style w:type="paragraph" w:styleId="TOC4">
    <w:name w:val="toc 4"/>
    <w:basedOn w:val="TOCBase"/>
    <w:next w:val="Normal"/>
    <w:semiHidden/>
    <w:rsid w:val="00C34EAE"/>
    <w:pPr>
      <w:tabs>
        <w:tab w:val="right" w:leader="dot" w:pos="9071"/>
      </w:tabs>
      <w:ind w:left="1701"/>
    </w:pPr>
  </w:style>
  <w:style w:type="paragraph" w:customStyle="1" w:styleId="ListAlpha">
    <w:name w:val="List Alpha"/>
    <w:basedOn w:val="List"/>
    <w:rsid w:val="00C34EAE"/>
    <w:pPr>
      <w:numPr>
        <w:numId w:val="8"/>
      </w:numPr>
    </w:pPr>
  </w:style>
  <w:style w:type="paragraph" w:customStyle="1" w:styleId="ListAlpha2">
    <w:name w:val="List Alpha 2"/>
    <w:basedOn w:val="List2"/>
    <w:rsid w:val="00C34EAE"/>
    <w:pPr>
      <w:numPr>
        <w:numId w:val="7"/>
      </w:numPr>
    </w:pPr>
  </w:style>
  <w:style w:type="paragraph" w:styleId="List2">
    <w:name w:val="List 2"/>
    <w:basedOn w:val="BodyText"/>
    <w:rsid w:val="00C34EAE"/>
    <w:pPr>
      <w:tabs>
        <w:tab w:val="left" w:pos="680"/>
      </w:tabs>
      <w:spacing w:before="60" w:after="60"/>
      <w:ind w:left="680" w:hanging="340"/>
    </w:pPr>
  </w:style>
  <w:style w:type="paragraph" w:styleId="List3">
    <w:name w:val="List 3"/>
    <w:basedOn w:val="BodyText"/>
    <w:rsid w:val="00C34EAE"/>
    <w:pPr>
      <w:tabs>
        <w:tab w:val="left" w:pos="1021"/>
      </w:tabs>
      <w:spacing w:before="60" w:after="60"/>
      <w:ind w:left="1020" w:hanging="340"/>
    </w:pPr>
  </w:style>
  <w:style w:type="paragraph" w:styleId="List4">
    <w:name w:val="List 4"/>
    <w:basedOn w:val="BodyText"/>
    <w:rsid w:val="00C34EAE"/>
    <w:pPr>
      <w:tabs>
        <w:tab w:val="left" w:pos="1361"/>
      </w:tabs>
      <w:spacing w:before="60" w:after="60"/>
      <w:ind w:left="1361" w:hanging="340"/>
    </w:pPr>
  </w:style>
  <w:style w:type="paragraph" w:styleId="List5">
    <w:name w:val="List 5"/>
    <w:basedOn w:val="BodyText"/>
    <w:rsid w:val="00C34EAE"/>
    <w:pPr>
      <w:tabs>
        <w:tab w:val="left" w:pos="1701"/>
      </w:tabs>
      <w:spacing w:before="60" w:after="60"/>
      <w:ind w:left="1701" w:hanging="340"/>
    </w:pPr>
  </w:style>
  <w:style w:type="paragraph" w:styleId="ListBullet3">
    <w:name w:val="List Bullet 3"/>
    <w:basedOn w:val="List3"/>
    <w:rsid w:val="00C34EAE"/>
    <w:pPr>
      <w:numPr>
        <w:numId w:val="14"/>
      </w:numPr>
      <w:tabs>
        <w:tab w:val="clear" w:pos="1021"/>
      </w:tabs>
      <w:ind w:left="1037" w:hanging="357"/>
    </w:pPr>
  </w:style>
  <w:style w:type="paragraph" w:styleId="ListBullet4">
    <w:name w:val="List Bullet 4"/>
    <w:basedOn w:val="List4"/>
    <w:rsid w:val="00C34EAE"/>
    <w:pPr>
      <w:numPr>
        <w:numId w:val="2"/>
      </w:numPr>
    </w:pPr>
  </w:style>
  <w:style w:type="paragraph" w:styleId="ListBullet5">
    <w:name w:val="List Bullet 5"/>
    <w:basedOn w:val="List5"/>
    <w:rsid w:val="00C34EAE"/>
    <w:pPr>
      <w:numPr>
        <w:numId w:val="3"/>
      </w:numPr>
    </w:pPr>
  </w:style>
  <w:style w:type="paragraph" w:styleId="ListContinue2">
    <w:name w:val="List Continue 2"/>
    <w:basedOn w:val="List2"/>
    <w:rsid w:val="00C34EAE"/>
    <w:pPr>
      <w:ind w:firstLine="0"/>
    </w:pPr>
  </w:style>
  <w:style w:type="paragraph" w:styleId="ListContinue3">
    <w:name w:val="List Continue 3"/>
    <w:basedOn w:val="List3"/>
    <w:rsid w:val="00C34EAE"/>
    <w:pPr>
      <w:ind w:left="1021" w:firstLine="0"/>
    </w:pPr>
  </w:style>
  <w:style w:type="paragraph" w:styleId="ListContinue4">
    <w:name w:val="List Continue 4"/>
    <w:basedOn w:val="List4"/>
    <w:rsid w:val="00C34EAE"/>
    <w:pPr>
      <w:ind w:firstLine="0"/>
    </w:pPr>
  </w:style>
  <w:style w:type="paragraph" w:styleId="ListContinue5">
    <w:name w:val="List Continue 5"/>
    <w:basedOn w:val="List5"/>
    <w:rsid w:val="00C34EAE"/>
    <w:pPr>
      <w:ind w:firstLine="0"/>
    </w:pPr>
  </w:style>
  <w:style w:type="paragraph" w:styleId="ListNumber3">
    <w:name w:val="List Number 3"/>
    <w:basedOn w:val="List3"/>
    <w:rsid w:val="00C34EAE"/>
    <w:pPr>
      <w:numPr>
        <w:numId w:val="4"/>
      </w:numPr>
    </w:pPr>
  </w:style>
  <w:style w:type="paragraph" w:styleId="ListNumber4">
    <w:name w:val="List Number 4"/>
    <w:basedOn w:val="List4"/>
    <w:rsid w:val="00C34EAE"/>
    <w:pPr>
      <w:numPr>
        <w:numId w:val="5"/>
      </w:numPr>
    </w:pPr>
  </w:style>
  <w:style w:type="paragraph" w:styleId="ListNumber5">
    <w:name w:val="List Number 5"/>
    <w:basedOn w:val="List5"/>
    <w:rsid w:val="00C34EAE"/>
    <w:pPr>
      <w:numPr>
        <w:numId w:val="6"/>
      </w:numPr>
    </w:pPr>
  </w:style>
  <w:style w:type="paragraph" w:styleId="BlockText">
    <w:name w:val="Block Text"/>
    <w:basedOn w:val="Normal"/>
    <w:rsid w:val="00C34EAE"/>
    <w:pPr>
      <w:spacing w:after="120"/>
      <w:ind w:left="1440" w:right="1440"/>
    </w:pPr>
  </w:style>
  <w:style w:type="character" w:customStyle="1" w:styleId="Subscript">
    <w:name w:val="Subscript"/>
    <w:basedOn w:val="DefaultParagraphFont"/>
    <w:rsid w:val="00C34EAE"/>
    <w:rPr>
      <w:sz w:val="16"/>
      <w:vertAlign w:val="subscript"/>
    </w:rPr>
  </w:style>
  <w:style w:type="character" w:customStyle="1" w:styleId="Superscript">
    <w:name w:val="Superscript"/>
    <w:basedOn w:val="DefaultParagraphFont"/>
    <w:rsid w:val="00C34EAE"/>
    <w:rPr>
      <w:sz w:val="16"/>
      <w:vertAlign w:val="superscript"/>
    </w:rPr>
  </w:style>
  <w:style w:type="character" w:customStyle="1" w:styleId="Symbols">
    <w:name w:val="Symbols"/>
    <w:basedOn w:val="DefaultParagraphFont"/>
    <w:rsid w:val="00C34EAE"/>
    <w:rPr>
      <w:rFonts w:ascii="Symbol" w:hAnsi="Symbol"/>
    </w:rPr>
  </w:style>
  <w:style w:type="character" w:customStyle="1" w:styleId="MenuOptions">
    <w:name w:val="Menu Options"/>
    <w:basedOn w:val="DefaultParagraphFont"/>
    <w:rsid w:val="00C34EAE"/>
    <w:rPr>
      <w:rFonts w:ascii="Arial Narrow" w:hAnsi="Arial Narrow"/>
      <w:smallCaps/>
    </w:rPr>
  </w:style>
  <w:style w:type="character" w:customStyle="1" w:styleId="Buttons">
    <w:name w:val="Buttons"/>
    <w:basedOn w:val="DefaultParagraphFont"/>
    <w:rsid w:val="00C34EAE"/>
    <w:rPr>
      <w:b/>
    </w:rPr>
  </w:style>
  <w:style w:type="character" w:customStyle="1" w:styleId="Underlined">
    <w:name w:val="Underlined"/>
    <w:basedOn w:val="DefaultParagraphFont"/>
    <w:rsid w:val="00C34EAE"/>
    <w:rPr>
      <w:u w:val="single"/>
    </w:rPr>
  </w:style>
  <w:style w:type="paragraph" w:customStyle="1" w:styleId="TableBodyTextRight">
    <w:name w:val="Table Body Text Right"/>
    <w:basedOn w:val="TableBodyText"/>
    <w:rsid w:val="00C34EAE"/>
    <w:pPr>
      <w:widowControl w:val="0"/>
      <w:autoSpaceDE w:val="0"/>
      <w:autoSpaceDN w:val="0"/>
      <w:adjustRightInd w:val="0"/>
      <w:jc w:val="right"/>
    </w:pPr>
    <w:rPr>
      <w:rFonts w:cs="Arial"/>
      <w:szCs w:val="18"/>
    </w:rPr>
  </w:style>
  <w:style w:type="paragraph" w:customStyle="1" w:styleId="CopyrightText">
    <w:name w:val="Copyright Text"/>
    <w:basedOn w:val="BodyText"/>
    <w:rsid w:val="00C34EAE"/>
    <w:rPr>
      <w:sz w:val="18"/>
    </w:rPr>
  </w:style>
  <w:style w:type="paragraph" w:customStyle="1" w:styleId="BodySmallRight">
    <w:name w:val="Body Small Right"/>
    <w:basedOn w:val="BodyTextRight"/>
    <w:rsid w:val="00C34EAE"/>
    <w:rPr>
      <w:sz w:val="18"/>
      <w:szCs w:val="18"/>
    </w:rPr>
  </w:style>
  <w:style w:type="paragraph" w:customStyle="1" w:styleId="MarginEdition">
    <w:name w:val="Margin Edition"/>
    <w:basedOn w:val="MarginNote"/>
    <w:rsid w:val="00C34EAE"/>
    <w:pPr>
      <w:spacing w:before="0" w:after="0"/>
    </w:pPr>
    <w:rPr>
      <w:rFonts w:ascii="Times New Roman" w:hAnsi="Times New Roman"/>
      <w:color w:val="999999"/>
    </w:rPr>
  </w:style>
  <w:style w:type="paragraph" w:customStyle="1" w:styleId="Spacer">
    <w:name w:val="Spacer"/>
    <w:basedOn w:val="Normal"/>
    <w:rsid w:val="00C34EAE"/>
    <w:rPr>
      <w:sz w:val="2"/>
      <w:szCs w:val="2"/>
    </w:rPr>
  </w:style>
  <w:style w:type="character" w:customStyle="1" w:styleId="Small">
    <w:name w:val="Small"/>
    <w:basedOn w:val="DefaultParagraphFont"/>
    <w:rsid w:val="00C34EAE"/>
    <w:rPr>
      <w:sz w:val="16"/>
    </w:rPr>
  </w:style>
  <w:style w:type="paragraph" w:customStyle="1" w:styleId="WideTable">
    <w:name w:val="Wide Table"/>
    <w:basedOn w:val="Normal"/>
    <w:rsid w:val="00C34EAE"/>
    <w:pPr>
      <w:ind w:left="-1418"/>
    </w:pPr>
    <w:rPr>
      <w:sz w:val="2"/>
      <w:szCs w:val="2"/>
    </w:rPr>
  </w:style>
  <w:style w:type="character" w:styleId="PageNumber">
    <w:name w:val="page number"/>
    <w:basedOn w:val="DefaultParagraphFont"/>
    <w:rsid w:val="00C34EAE"/>
  </w:style>
  <w:style w:type="paragraph" w:styleId="Quote">
    <w:name w:val="Quote"/>
    <w:basedOn w:val="Heading1"/>
    <w:link w:val="QuoteChar"/>
    <w:qFormat/>
    <w:rsid w:val="00C34EAE"/>
    <w:rPr>
      <w:b w:val="0"/>
      <w:sz w:val="72"/>
      <w:szCs w:val="72"/>
      <w:lang w:val="en-NZ"/>
    </w:rPr>
  </w:style>
  <w:style w:type="character" w:customStyle="1" w:styleId="QuoteChar">
    <w:name w:val="Quote Char"/>
    <w:basedOn w:val="DefaultParagraphFont"/>
    <w:link w:val="Quote"/>
    <w:rsid w:val="00C34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EAE"/>
    <w:pPr>
      <w:pageBreakBefore/>
    </w:pPr>
  </w:style>
  <w:style w:type="paragraph" w:customStyle="1" w:styleId="Border">
    <w:name w:val="Border"/>
    <w:basedOn w:val="Normal"/>
    <w:qFormat/>
    <w:rsid w:val="00C34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EAE"/>
    <w:rPr>
      <w:b/>
      <w:bCs/>
      <w:i/>
      <w:iCs/>
      <w:color w:val="auto"/>
    </w:rPr>
  </w:style>
  <w:style w:type="paragraph" w:styleId="IntenseQuote">
    <w:name w:val="Intense Quote"/>
    <w:basedOn w:val="Normal"/>
    <w:next w:val="Normal"/>
    <w:link w:val="IntenseQuoteChar"/>
    <w:uiPriority w:val="30"/>
    <w:qFormat/>
    <w:rsid w:val="00C34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EAE"/>
    <w:rPr>
      <w:smallCaps/>
      <w:color w:val="auto"/>
      <w:u w:val="single"/>
    </w:rPr>
  </w:style>
  <w:style w:type="character" w:styleId="IntenseReference">
    <w:name w:val="Intense Reference"/>
    <w:basedOn w:val="DefaultParagraphFont"/>
    <w:uiPriority w:val="32"/>
    <w:qFormat/>
    <w:rsid w:val="00C34EAE"/>
    <w:rPr>
      <w:b/>
      <w:bCs/>
      <w:smallCaps/>
      <w:color w:val="auto"/>
      <w:spacing w:val="5"/>
      <w:u w:val="single"/>
    </w:rPr>
  </w:style>
  <w:style w:type="paragraph" w:customStyle="1" w:styleId="2ColumnHeading">
    <w:name w:val="2Column Heading"/>
    <w:basedOn w:val="BodyText"/>
    <w:qFormat/>
    <w:rsid w:val="00C34EAE"/>
    <w:pPr>
      <w:spacing w:after="60"/>
      <w:ind w:left="-2268"/>
    </w:pPr>
    <w:rPr>
      <w:b/>
    </w:rPr>
  </w:style>
  <w:style w:type="paragraph" w:customStyle="1" w:styleId="Heading1TOC">
    <w:name w:val="Heading1 TOC"/>
    <w:basedOn w:val="Normal"/>
    <w:qFormat/>
    <w:rsid w:val="00C34EAE"/>
    <w:pPr>
      <w:spacing w:before="240" w:after="120"/>
    </w:pPr>
    <w:rPr>
      <w:rFonts w:ascii="Times New Roman" w:hAnsi="Times New Roman"/>
      <w:b/>
      <w:sz w:val="32"/>
    </w:rPr>
  </w:style>
  <w:style w:type="paragraph" w:customStyle="1" w:styleId="Heading2TOC">
    <w:name w:val="Heading2 TOC"/>
    <w:basedOn w:val="Normal"/>
    <w:qFormat/>
    <w:rsid w:val="00C34EAE"/>
    <w:pPr>
      <w:spacing w:before="240" w:after="60"/>
    </w:pPr>
    <w:rPr>
      <w:rFonts w:ascii="Times New Roman" w:hAnsi="Times New Roman"/>
      <w:b/>
      <w:sz w:val="28"/>
    </w:rPr>
  </w:style>
  <w:style w:type="character" w:customStyle="1" w:styleId="Underline">
    <w:name w:val="Underline"/>
    <w:basedOn w:val="DefaultParagraphFont"/>
    <w:qFormat/>
    <w:rsid w:val="00C34EAE"/>
    <w:rPr>
      <w:u w:val="single"/>
    </w:rPr>
  </w:style>
  <w:style w:type="character" w:customStyle="1" w:styleId="BoldandItalics">
    <w:name w:val="Bold and Italics"/>
    <w:qFormat/>
    <w:rsid w:val="00C34EAE"/>
    <w:rPr>
      <w:b/>
      <w:i/>
      <w:u w:val="none"/>
    </w:rPr>
  </w:style>
  <w:style w:type="paragraph" w:styleId="BalloonText">
    <w:name w:val="Balloon Text"/>
    <w:basedOn w:val="Normal"/>
    <w:link w:val="BalloonTextChar"/>
    <w:rsid w:val="00C34EAE"/>
    <w:rPr>
      <w:rFonts w:ascii="Tahoma" w:hAnsi="Tahoma" w:cs="Tahoma"/>
      <w:sz w:val="16"/>
      <w:szCs w:val="16"/>
    </w:rPr>
  </w:style>
  <w:style w:type="character" w:customStyle="1" w:styleId="BalloonTextChar">
    <w:name w:val="Balloon Text Char"/>
    <w:basedOn w:val="DefaultParagraphFont"/>
    <w:link w:val="BalloonText"/>
    <w:rsid w:val="00C34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E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EAE"/>
    <w:rPr>
      <w:b/>
      <w:color w:val="660033"/>
      <w:spacing w:val="0"/>
    </w:rPr>
  </w:style>
  <w:style w:type="paragraph" w:customStyle="1" w:styleId="Nameditemlist">
    <w:name w:val="Named item list"/>
    <w:basedOn w:val="BodyText"/>
    <w:qFormat/>
    <w:rsid w:val="00C34E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1455</Words>
  <Characters>8898</Characters>
  <Application>Microsoft Office Word</Application>
  <DocSecurity>0</DocSecurity>
  <Lines>480</Lines>
  <Paragraphs>350</Paragraphs>
  <ScaleCrop>false</ScaleCrop>
  <Company>Author-it Software Corporation Ltd.</Company>
  <LinksUpToDate>false</LinksUpToDate>
  <CharactersWithSpaces>10020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UEE40811 Certificate IV in Electrical - Fire Protection Control Systems</dc:title>
  <dc:subject>Approved</dc:subject>
  <dc:creator>E-OZ Training Standards</dc:creator>
  <cp:keywords>Release 4</cp:keywords>
  <dc:description>Review Date: 12 April 2008</dc:description>
  <cp:lastModifiedBy>TPCMS</cp:lastModifiedBy>
  <cp:revision>3</cp:revision>
  <dcterms:created xsi:type="dcterms:W3CDTF">2014-04-17T16:50:47Z</dcterms:created>
  <dcterms:modified xsi:type="dcterms:W3CDTF">2014-04-17T06:06:00Z</dcterms:modified>
</cp:coreProperties>
</file>