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902" w:rsidP="00B57902">
      <w:pPr>
        <w:pStyle w:val="Title"/>
      </w:pPr>
      <w:r>
        <w:fldChar w:fldCharType="begin"/>
      </w:r>
      <w:r>
        <w:instrText xml:space="preserve"> TITLE   \* MERGEFORMAT </w:instrText>
      </w:r>
      <w:r>
        <w:fldChar w:fldCharType="separate"/>
      </w:r>
      <w:r>
        <w:t>UEE30311 Certificate III in Custom Electronics Installations</w:t>
      </w:r>
      <w:r>
        <w:fldChar w:fldCharType="end"/>
      </w:r>
    </w:p>
    <w:p w:rsidR="00B57902" w:rsidP="00B57902">
      <w:pPr>
        <w:pStyle w:val="Version"/>
        <w:sectPr w:rsidSect="00331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31FE0" w:rsidP="00331FE0">
      <w:pPr>
        <w:pStyle w:val="SuperHeading"/>
      </w:pPr>
      <w:r w:rsidRPr="00331FE0">
        <w:t>UEE30311 Certificate III in Custom Electronics Installations</w:t>
      </w:r>
    </w:p>
    <w:p w:rsidR="00000000" w:rsidRPr="00331FE0" w:rsidP="00331FE0">
      <w:pPr>
        <w:pStyle w:val="Heading1"/>
      </w:pPr>
      <w:bookmarkStart w:id="1" w:name="O_638937"/>
      <w:bookmarkEnd w:id="1"/>
      <w:r w:rsidRPr="00331FE0">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579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Points</w:t>
            </w:r>
          </w:p>
        </w:tc>
      </w:tr>
      <w:tr w:rsidTr="00B57902">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E0" w:rsidP="00331FE0">
            <w:pPr>
              <w:pStyle w:val="BodyText"/>
            </w:pPr>
            <w:r w:rsidRPr="00331FE0">
              <w:t>10</w:t>
            </w:r>
          </w:p>
        </w:tc>
      </w:tr>
    </w:tbl>
    <w:p w:rsidR="00000000" w:rsidRPr="00331FE0" w:rsidP="00331FE0">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579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Correct weighting points of UEENEED146A - Set up and configure basic local area network (LAN)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1FE0" w:rsidP="00331FE0">
            <w:pPr>
              <w:pStyle w:val="BodyText"/>
            </w:pPr>
            <w:r w:rsidRPr="00331FE0">
              <w:t>40</w:t>
            </w:r>
          </w:p>
        </w:tc>
      </w:tr>
    </w:tbl>
    <w:p w:rsidR="00000000" w:rsidRPr="00331FE0" w:rsidP="00331FE0">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579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10</w:t>
            </w:r>
          </w:p>
        </w:tc>
      </w:tr>
      <w:tr w:rsidTr="00B579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20</w:t>
            </w:r>
          </w:p>
        </w:tc>
      </w:tr>
      <w:tr w:rsidTr="00B579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Correct title of UEENEEH117A - Carry out repairs of predictable faults in video and audio replay/recording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120</w:t>
            </w:r>
          </w:p>
        </w:tc>
      </w:tr>
      <w:tr w:rsidTr="00B579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t>Correct title of UEENEEH174A - Troubleshoot audio - video recording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1FE0" w:rsidP="00331FE0">
            <w:pPr>
              <w:pStyle w:val="BodyText"/>
            </w:pPr>
            <w:r w:rsidRPr="00331FE0">
              <w:t>120</w:t>
            </w:r>
          </w:p>
        </w:tc>
      </w:tr>
    </w:tbl>
    <w:p w:rsidR="00000000" w:rsidRPr="00331FE0" w:rsidP="00331FE0">
      <w:pPr>
        <w:pStyle w:val="BodyText"/>
      </w:pPr>
    </w:p>
    <w:p w:rsidR="00000000" w:rsidRPr="00331FE0" w:rsidP="00331FE0">
      <w:pPr>
        <w:pStyle w:val="AllowPageBreak"/>
      </w:pPr>
    </w:p>
    <w:p w:rsidR="00000000" w:rsidRPr="00331FE0" w:rsidP="00331FE0">
      <w:pPr>
        <w:pStyle w:val="Heading1"/>
      </w:pPr>
      <w:bookmarkStart w:id="2" w:name="O_638936"/>
      <w:bookmarkEnd w:id="2"/>
      <w:r w:rsidRPr="00331FE0">
        <w:t>Description</w:t>
      </w:r>
    </w:p>
    <w:p w:rsidR="00000000" w:rsidRPr="00331FE0" w:rsidP="00331FE0">
      <w:pPr>
        <w:pStyle w:val="BodyText"/>
      </w:pPr>
      <w:r w:rsidRPr="00331FE0">
        <w:rPr>
          <w:rStyle w:val="SpecialBold"/>
        </w:rPr>
        <w:t>Scope</w:t>
      </w:r>
    </w:p>
    <w:p w:rsidR="00B57902" w:rsidP="00331FE0">
      <w:pPr>
        <w:pStyle w:val="BodyText"/>
      </w:pPr>
      <w:r w:rsidRPr="00331FE0">
        <w:t>This qualification provides competencies to select, install, set up and test surround sound, home theatre and integration aspects for ‘intelligent houses’. It covers the scope of CEDIA certification level 2</w:t>
      </w:r>
    </w:p>
    <w:p w:rsidR="00B57902" w:rsidP="00331FE0">
      <w:pPr>
        <w:pStyle w:val="BodyText"/>
      </w:pPr>
    </w:p>
    <w:p w:rsidR="00000000" w:rsidRPr="00331FE0" w:rsidP="00331FE0">
      <w:pPr>
        <w:pStyle w:val="Heading1"/>
      </w:pPr>
      <w:bookmarkStart w:id="3" w:name="O_638935"/>
      <w:bookmarkEnd w:id="3"/>
      <w:r w:rsidRPr="00331FE0">
        <w:t>Pathways Information</w:t>
      </w:r>
    </w:p>
    <w:p w:rsidR="00000000" w:rsidRPr="00331FE0" w:rsidP="00331FE0">
      <w:pPr>
        <w:pStyle w:val="BodyText"/>
      </w:pPr>
      <w:r w:rsidRPr="00331FE0">
        <w:t>Not appli</w:t>
      </w:r>
      <w:r w:rsidRPr="00331FE0">
        <w:t>cable.</w:t>
      </w:r>
    </w:p>
    <w:p w:rsidR="00000000" w:rsidRPr="00331FE0" w:rsidP="00331FE0">
      <w:pPr>
        <w:pStyle w:val="AllowPageBreak"/>
      </w:pPr>
    </w:p>
    <w:p w:rsidR="00000000" w:rsidRPr="00331FE0" w:rsidP="00331FE0">
      <w:pPr>
        <w:pStyle w:val="Heading1"/>
      </w:pPr>
      <w:bookmarkStart w:id="4" w:name="O_638934"/>
      <w:bookmarkEnd w:id="4"/>
      <w:r w:rsidRPr="00331FE0">
        <w:t>Licensing/Regulatory Information</w:t>
      </w:r>
    </w:p>
    <w:p w:rsidR="00000000" w:rsidRPr="00331FE0" w:rsidP="00331FE0">
      <w:pPr>
        <w:pStyle w:val="BodyText"/>
      </w:pPr>
      <w:r w:rsidRPr="00331FE0">
        <w:t>Not applicable.</w:t>
      </w:r>
    </w:p>
    <w:p w:rsidR="00000000" w:rsidRPr="00331FE0" w:rsidP="00331FE0">
      <w:pPr>
        <w:pStyle w:val="AllowPageBreak"/>
      </w:pPr>
    </w:p>
    <w:p w:rsidR="00000000" w:rsidRPr="00331FE0" w:rsidP="00331FE0">
      <w:pPr>
        <w:pStyle w:val="Heading1"/>
      </w:pPr>
      <w:bookmarkStart w:id="5" w:name="O_638933"/>
      <w:bookmarkEnd w:id="5"/>
      <w:r w:rsidRPr="00331FE0">
        <w:t>Entry Requirements</w:t>
      </w:r>
    </w:p>
    <w:p w:rsidR="00000000" w:rsidRPr="00331FE0" w:rsidP="00331FE0">
      <w:pPr>
        <w:pStyle w:val="BodyText"/>
      </w:pPr>
      <w:r w:rsidRPr="00331FE0">
        <w:t>Not applicable.</w:t>
      </w:r>
    </w:p>
    <w:p w:rsidR="00000000" w:rsidRPr="00331FE0" w:rsidP="00331FE0">
      <w:pPr>
        <w:pStyle w:val="AllowPageBreak"/>
      </w:pPr>
    </w:p>
    <w:p w:rsidR="00000000" w:rsidRPr="00331FE0" w:rsidP="00331FE0">
      <w:pPr>
        <w:pStyle w:val="Heading1"/>
      </w:pPr>
      <w:bookmarkStart w:id="6" w:name="O_638932"/>
      <w:bookmarkEnd w:id="6"/>
      <w:r w:rsidRPr="00331FE0">
        <w:t>Employability Skills Summary</w:t>
      </w:r>
    </w:p>
    <w:p w:rsidR="00000000" w:rsidRPr="00331FE0" w:rsidP="00331FE0">
      <w:pPr>
        <w:pStyle w:val="BodyText"/>
      </w:pPr>
      <w:r w:rsidRPr="00331FE0">
        <w:t>Not applicable.</w:t>
      </w:r>
    </w:p>
    <w:p w:rsidR="00000000" w:rsidRPr="00331FE0" w:rsidP="00331FE0">
      <w:pPr>
        <w:pStyle w:val="AllowPageBreak"/>
      </w:pPr>
    </w:p>
    <w:p w:rsidR="00000000" w:rsidRPr="00331FE0" w:rsidP="00331FE0">
      <w:pPr>
        <w:pStyle w:val="Heading1"/>
      </w:pPr>
      <w:bookmarkStart w:id="7" w:name="O_638931"/>
      <w:bookmarkEnd w:id="7"/>
      <w:r w:rsidRPr="00331FE0">
        <w:t>Packaging Rules</w:t>
      </w:r>
    </w:p>
    <w:p w:rsidR="00000000" w:rsidRPr="00331FE0" w:rsidP="00331FE0">
      <w:pPr>
        <w:pStyle w:val="BodyText"/>
      </w:pPr>
      <w:r w:rsidRPr="00331FE0">
        <w:rPr>
          <w:rStyle w:val="SpecialBold"/>
        </w:rPr>
        <w:t>Completion requirements</w:t>
      </w:r>
    </w:p>
    <w:p w:rsidR="00000000" w:rsidRPr="00331FE0" w:rsidP="00331FE0">
      <w:pPr>
        <w:pStyle w:val="BodyText"/>
      </w:pPr>
      <w:r w:rsidRPr="00331FE0">
        <w:t>The requirements for granting this qualification will be met when competency is demonstrated and achieved for:</w:t>
      </w:r>
    </w:p>
    <w:p w:rsidR="00000000" w:rsidRPr="00331FE0" w:rsidP="00331FE0">
      <w:pPr>
        <w:pStyle w:val="ListBullet"/>
      </w:pPr>
      <w:r w:rsidRPr="00331FE0">
        <w:t>All the Core competency standard units, defined in the Core Competency Standard Units table below and</w:t>
      </w:r>
    </w:p>
    <w:p w:rsidR="00000000" w:rsidRPr="00331FE0" w:rsidP="00331FE0">
      <w:pPr>
        <w:pStyle w:val="ListBullet"/>
      </w:pPr>
      <w:r w:rsidRPr="00331FE0">
        <w:t>A combination of Elective competency stand</w:t>
      </w:r>
      <w:r w:rsidRPr="00331FE0">
        <w:t>ard units to achieve a total weighting of 460 points in accordance with the Elective Competency Standard Units table below.</w:t>
      </w:r>
    </w:p>
    <w:p w:rsidR="00000000" w:rsidRPr="00331FE0" w:rsidP="00331FE0">
      <w:pPr>
        <w:pStyle w:val="BodyText"/>
      </w:pPr>
    </w:p>
    <w:tbl>
      <w:tblPr>
        <w:tblW w:w="0" w:type="auto"/>
        <w:tblLayout w:type="fixed"/>
        <w:tblCellMar>
          <w:left w:w="62" w:type="dxa"/>
          <w:right w:w="62" w:type="dxa"/>
        </w:tblCellMar>
        <w:tblLook w:val="0000"/>
      </w:tblPr>
      <w:tblGrid>
        <w:gridCol w:w="1821"/>
        <w:gridCol w:w="5535"/>
        <w:gridCol w:w="1291"/>
      </w:tblGrid>
      <w:tr w:rsidTr="00B57902">
        <w:tblPrEx>
          <w:tblW w:w="0" w:type="auto"/>
          <w:tblLayout w:type="fixed"/>
          <w:tblCellMar>
            <w:left w:w="62" w:type="dxa"/>
            <w:right w:w="62" w:type="dxa"/>
          </w:tblCellMar>
          <w:tblLook w:val="0000"/>
        </w:tblPrEx>
        <w:trPr>
          <w:tblHeader/>
        </w:trPr>
        <w:tc>
          <w:tcPr>
            <w:tcW w:w="7356"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31FE0" w:rsidP="00331FE0">
            <w:pPr>
              <w:pStyle w:val="BodyText"/>
            </w:pPr>
            <w:r w:rsidRPr="00331FE0">
              <w:rPr>
                <w:rStyle w:val="SpecialBold"/>
              </w:rPr>
              <w:t xml:space="preserve">Core Competency Standard Units </w:t>
            </w:r>
          </w:p>
          <w:p w:rsidR="00000000" w:rsidRPr="00331FE0" w:rsidP="00331FE0">
            <w:pPr>
              <w:pStyle w:val="BodyText"/>
            </w:pPr>
            <w:r w:rsidRPr="00331FE0">
              <w:t>All Core competency standard units to be achieved</w:t>
            </w:r>
          </w:p>
        </w:tc>
        <w:tc>
          <w:tcPr>
            <w:tcW w:w="1291"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331FE0">
            <w:pPr>
              <w:pStyle w:val="BodyText"/>
              <w:rPr>
                <w:lang w:val="en-NZ"/>
              </w:rPr>
            </w:pPr>
            <w:r w:rsidRPr="00331FE0">
              <w:rPr>
                <w:rStyle w:val="SpecialBold"/>
              </w:rPr>
              <w:t>Weighting Points</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UEENEEE101A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Apply Occupational Health and Safety regulations, codes and practices in the workplace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UEENEEE102A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Fabricate, assemble and dismantle utilities industry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UEENEEE103A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Solve problems in ELV single path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UEENEEE104A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Solve problems in d.c.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UEENEEE105A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Fix and secure electrotechnology equipment</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UEENEEE107A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Use drawings, diagrams, schedules, standards, codes and specifications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UEENEEE108A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Lay wiring/cabling and terminate accessories for extra-low vol</w:t>
            </w:r>
            <w:r w:rsidRPr="00331FE0">
              <w:t>tage (ELV)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UEENEEE137A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Document and apply measures to control OHS risks associated with electrotechnology work</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UEENEEH104A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Set up and test residential video/audio equipment</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UEENEEH105A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Verify functionality and compliance of custom electronic installations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UEENEEH106A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Assemble and set up fixed video/audio components and systems in buildings and premises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UEENEEH114A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Troubleshoot resonance circuits in an electronic apparatus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rPr>
          <w:trHeight w:val="612"/>
        </w:trPr>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w:t>
            </w:r>
            <w:r w:rsidRPr="00331FE0">
              <w:t>ENEEK142A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Apply environmentally and sustainable procedures in the energy sector</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73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E0" w:rsidP="00331FE0">
            <w:pPr>
              <w:pStyle w:val="BodyText"/>
            </w:pPr>
            <w:r w:rsidRPr="00331FE0">
              <w:rPr>
                <w:rStyle w:val="SpecialBold"/>
              </w:rPr>
              <w:t>Total points in core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E0" w:rsidP="00331FE0">
            <w:pPr>
              <w:pStyle w:val="BodyText"/>
            </w:pPr>
            <w:r w:rsidRPr="00331FE0">
              <w:rPr>
                <w:rStyle w:val="SpecialBold"/>
              </w:rPr>
              <w:t>600</w:t>
            </w:r>
          </w:p>
        </w:tc>
      </w:tr>
    </w:tbl>
    <w:p w:rsidR="00000000" w:rsidRPr="00331FE0" w:rsidP="00331FE0">
      <w:pPr>
        <w:pStyle w:val="BodyText"/>
      </w:pPr>
    </w:p>
    <w:tbl>
      <w:tblPr>
        <w:tblW w:w="0" w:type="auto"/>
        <w:tblLayout w:type="fixed"/>
        <w:tblCellMar>
          <w:left w:w="62" w:type="dxa"/>
          <w:right w:w="62" w:type="dxa"/>
        </w:tblCellMar>
        <w:tblLook w:val="0000"/>
      </w:tblPr>
      <w:tblGrid>
        <w:gridCol w:w="413"/>
        <w:gridCol w:w="5541"/>
        <w:gridCol w:w="1357"/>
        <w:gridCol w:w="1336"/>
      </w:tblGrid>
      <w:tr w:rsidTr="00B57902">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31FE0" w:rsidP="00331FE0">
            <w:pPr>
              <w:pStyle w:val="BodyText"/>
            </w:pPr>
            <w:r w:rsidRPr="00331FE0">
              <w:rPr>
                <w:rStyle w:val="SpecialBold"/>
              </w:rPr>
              <w:t>Elective Competency Standard Units</w:t>
            </w:r>
          </w:p>
          <w:p w:rsidR="00000000" w:rsidP="00331FE0">
            <w:pPr>
              <w:pStyle w:val="BodyText"/>
              <w:rPr>
                <w:lang w:val="en-NZ"/>
              </w:rPr>
            </w:pPr>
            <w:r w:rsidRPr="00331FE0">
              <w:t xml:space="preserve">Complete Elective units to achieve a total of weighting of 460 points from the following groups: </w:t>
            </w:r>
          </w:p>
        </w:tc>
      </w:tr>
      <w:tr w:rsidTr="00B57902">
        <w:tblPrEx>
          <w:tblW w:w="0" w:type="auto"/>
          <w:tblLayout w:type="fixed"/>
          <w:tblCellMar>
            <w:left w:w="62" w:type="dxa"/>
            <w:right w:w="62" w:type="dxa"/>
          </w:tblCellMar>
          <w:tblLook w:val="0000"/>
        </w:tblPrEx>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E0" w:rsidP="00331FE0">
            <w:pPr>
              <w:pStyle w:val="BodyText"/>
            </w:pPr>
            <w:r w:rsidRPr="00331FE0">
              <w:rPr>
                <w:rStyle w:val="SpecialBold"/>
              </w:rPr>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1FE0" w:rsidP="00331FE0">
            <w:pPr>
              <w:pStyle w:val="BodyText"/>
            </w:pPr>
            <w:r w:rsidRPr="00331FE0">
              <w:rPr>
                <w:rStyle w:val="SpecialBold"/>
              </w:rPr>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rPr>
                <w:rStyle w:val="SpecialBold"/>
              </w:rPr>
              <w:t>Maximum points</w:t>
            </w:r>
          </w:p>
        </w:tc>
      </w:tr>
      <w:tr w:rsidTr="00B57902">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E0" w:rsidP="00331FE0">
            <w:pPr>
              <w:pStyle w:val="BodyText"/>
            </w:pPr>
            <w:r w:rsidRPr="00331FE0">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1FE0" w:rsidP="00331FE0">
            <w:pPr>
              <w:pStyle w:val="BodyText"/>
            </w:pPr>
            <w:r w:rsidRPr="00331FE0">
              <w:rPr>
                <w:rStyle w:val="SpecialBold"/>
              </w:rPr>
              <w:t>Imported and Common Elective Units</w:t>
            </w:r>
          </w:p>
          <w:p w:rsidR="00000000" w:rsidP="00331FE0">
            <w:pPr>
              <w:pStyle w:val="BodyText"/>
              <w:rPr>
                <w:lang w:val="en-NZ"/>
              </w:rPr>
            </w:pPr>
            <w:r w:rsidRPr="00331FE0">
              <w:t>Imported units from other training packages and/or state accredited courses can be added to this group, but they must be selected from qualifications where the unit is first packaged at AQ</w:t>
            </w:r>
            <w:r w:rsidRPr="00331FE0">
              <w:t>F level 3.  If units have not being assigned a weighting by the relevant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150</w:t>
            </w:r>
          </w:p>
        </w:tc>
      </w:tr>
      <w:tr w:rsidTr="00B57902">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E0" w:rsidP="00331FE0">
            <w:pPr>
              <w:pStyle w:val="BodyText"/>
            </w:pPr>
            <w:r w:rsidRPr="00331FE0">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FE0">
            <w:pPr>
              <w:pStyle w:val="BodyText"/>
              <w:rPr>
                <w:lang w:val="en-NZ"/>
              </w:rPr>
            </w:pPr>
            <w:r w:rsidRPr="00331FE0">
              <w:rPr>
                <w:rStyle w:val="SpecialBold"/>
              </w:rPr>
              <w:t>Qualification Elective Units 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310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E0" w:rsidP="00331FE0">
            <w:pPr>
              <w:pStyle w:val="BodyText"/>
            </w:pPr>
            <w:r w:rsidRPr="00331FE0">
              <w:t>460</w:t>
            </w:r>
          </w:p>
        </w:tc>
      </w:tr>
    </w:tbl>
    <w:p w:rsidR="00000000" w:rsidRPr="00331FE0" w:rsidP="00331FE0">
      <w:pPr>
        <w:pStyle w:val="BodyText"/>
      </w:pPr>
    </w:p>
    <w:tbl>
      <w:tblPr>
        <w:tblW w:w="0" w:type="auto"/>
        <w:tblLayout w:type="fixed"/>
        <w:tblCellMar>
          <w:left w:w="62" w:type="dxa"/>
          <w:right w:w="62" w:type="dxa"/>
        </w:tblCellMar>
        <w:tblLook w:val="0000"/>
      </w:tblPr>
      <w:tblGrid>
        <w:gridCol w:w="2001"/>
        <w:gridCol w:w="5308"/>
        <w:gridCol w:w="1338"/>
      </w:tblGrid>
      <w:tr w:rsidTr="00B57902">
        <w:tblPrEx>
          <w:tblW w:w="0" w:type="auto"/>
          <w:tblLayout w:type="fixed"/>
          <w:tblCellMar>
            <w:left w:w="62" w:type="dxa"/>
            <w:right w:w="62" w:type="dxa"/>
          </w:tblCellMar>
          <w:tblLook w:val="0000"/>
        </w:tblPrEx>
        <w:tc>
          <w:tcPr>
            <w:tcW w:w="730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31FE0" w:rsidP="00331FE0">
            <w:pPr>
              <w:pStyle w:val="BodyText"/>
            </w:pPr>
            <w:r w:rsidRPr="00331FE0">
              <w:rPr>
                <w:rStyle w:val="SpecialBold"/>
              </w:rPr>
              <w:t>Group A – Imported and Common Elective Units</w:t>
            </w:r>
          </w:p>
          <w:p w:rsidR="00000000" w:rsidRPr="00331FE0" w:rsidP="00331FE0">
            <w:pPr>
              <w:pStyle w:val="BodyText"/>
            </w:pPr>
            <w:r w:rsidRPr="00331FE0">
              <w:t>You may complete units to a maximum weighting of 180</w:t>
            </w:r>
          </w:p>
        </w:tc>
        <w:tc>
          <w:tcPr>
            <w:tcW w:w="133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31FE0">
            <w:pPr>
              <w:pStyle w:val="BodyText"/>
              <w:rPr>
                <w:lang w:val="en-NZ"/>
              </w:rPr>
            </w:pPr>
            <w:r w:rsidRPr="00331FE0">
              <w:rPr>
                <w:rStyle w:val="SpecialBold"/>
              </w:rPr>
              <w:t>Weighting Points</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UEENEEC001B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1FE0">
            <w:pPr>
              <w:pStyle w:val="BodyText"/>
              <w:rPr>
                <w:lang w:val="en-NZ"/>
              </w:rPr>
            </w:pPr>
            <w:r w:rsidRPr="00331FE0">
              <w:t>Maintain documentation</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UEENEEC002B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1FE0">
            <w:pPr>
              <w:pStyle w:val="BodyText"/>
              <w:rPr>
                <w:lang w:val="en-NZ"/>
              </w:rPr>
            </w:pPr>
            <w:r w:rsidRPr="00331FE0">
              <w:t>Source and purchase material/parts for installation or service jobs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UEENEEC003B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1FE0">
            <w:pPr>
              <w:pStyle w:val="BodyText"/>
              <w:rPr>
                <w:lang w:val="en-NZ"/>
              </w:rPr>
            </w:pPr>
            <w:r w:rsidRPr="00331FE0">
              <w:t>Provide quotations for installation or service jobs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UEENEEC010B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1FE0">
            <w:pPr>
              <w:pStyle w:val="BodyText"/>
              <w:rPr>
                <w:lang w:val="en-NZ"/>
              </w:rPr>
            </w:pPr>
            <w:r w:rsidRPr="00331FE0">
              <w:t>Deliver a service to customers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UEENEED101A</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1FE0">
            <w:pPr>
              <w:pStyle w:val="BodyText"/>
              <w:rPr>
                <w:lang w:val="en-NZ"/>
              </w:rPr>
            </w:pPr>
            <w:r w:rsidRPr="00331FE0">
              <w:t>Use computer applications relevant to a workplace</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UEENEEE009B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Comply with scheduled and preventative maintenance program processes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UEENEEE020B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Provide basic instruction in the use of electrotechnology apparatus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HLTAID003</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Provide first aid</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331FE0" w:rsidP="00331FE0">
            <w:pPr>
              <w:pStyle w:val="BodyText"/>
            </w:pPr>
            <w:r w:rsidRPr="00331FE0">
              <w:t>Imported units from other training packages and/or state accredited courses can be added to this group, but they must be selected from qualifications where the unit is first packaged at AQF level 3.  If units have not being assigned a weighting by the rele</w:t>
            </w:r>
            <w:r w:rsidRPr="00331FE0">
              <w:t xml:space="preserve">vant EE-Oz Industry Technical Advisory Committee, their weighting will be 10 points. </w:t>
            </w:r>
          </w:p>
          <w:p w:rsidR="00000000" w:rsidRPr="00331FE0" w:rsidP="00331FE0">
            <w:pPr>
              <w:pStyle w:val="BodyText"/>
            </w:pPr>
          </w:p>
          <w:p w:rsidR="00000000" w:rsidP="00331FE0">
            <w:pPr>
              <w:pStyle w:val="BodyText"/>
              <w:rPr>
                <w:lang w:val="en-NZ"/>
              </w:rPr>
            </w:pPr>
            <w:r w:rsidRPr="00331FE0">
              <w:t>Note: For further information see Application of the NQC Flexibility Formula, UEE11 Electrotechnology Training Package, Version 1, Volume 1 Qualification Framework</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E0" w:rsidP="00331FE0">
            <w:pPr>
              <w:pStyle w:val="BodyText"/>
            </w:pPr>
            <w:r w:rsidRPr="00331FE0">
              <w:t>Up to</w:t>
            </w:r>
            <w:r w:rsidRPr="00331FE0">
              <w:t xml:space="preserve"> 150 points</w:t>
            </w:r>
          </w:p>
        </w:tc>
      </w:tr>
    </w:tbl>
    <w:p w:rsidR="00000000" w:rsidRPr="00331FE0" w:rsidP="00331FE0">
      <w:pPr>
        <w:pStyle w:val="BodyText"/>
      </w:pPr>
    </w:p>
    <w:tbl>
      <w:tblPr>
        <w:tblW w:w="0" w:type="auto"/>
        <w:tblLayout w:type="fixed"/>
        <w:tblCellMar>
          <w:left w:w="62" w:type="dxa"/>
          <w:right w:w="62" w:type="dxa"/>
        </w:tblCellMar>
        <w:tblLook w:val="0000"/>
      </w:tblPr>
      <w:tblGrid>
        <w:gridCol w:w="2001"/>
        <w:gridCol w:w="5289"/>
        <w:gridCol w:w="1350"/>
        <w:gridCol w:w="7"/>
      </w:tblGrid>
      <w:tr w:rsidTr="00B57902">
        <w:tblPrEx>
          <w:tblW w:w="0" w:type="auto"/>
          <w:tblLayout w:type="fixed"/>
          <w:tblCellMar>
            <w:left w:w="62" w:type="dxa"/>
            <w:right w:w="62" w:type="dxa"/>
          </w:tblCellMar>
          <w:tblLook w:val="0000"/>
        </w:tblPrEx>
        <w:tc>
          <w:tcPr>
            <w:tcW w:w="729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31FE0" w:rsidP="00331FE0">
            <w:pPr>
              <w:pStyle w:val="BodyText"/>
            </w:pPr>
            <w:r w:rsidRPr="00331FE0">
              <w:rPr>
                <w:rStyle w:val="SpecialBold"/>
              </w:rPr>
              <w:t xml:space="preserve">Group B – Qualification Elective Units </w:t>
            </w:r>
          </w:p>
          <w:p w:rsidR="00000000" w:rsidRPr="00331FE0" w:rsidP="00331FE0">
            <w:pPr>
              <w:pStyle w:val="BodyText"/>
            </w:pPr>
            <w:r w:rsidRPr="00331FE0">
              <w:t>Complete units to a minimum weighting of 310</w:t>
            </w:r>
          </w:p>
          <w:p w:rsidR="00000000" w:rsidRPr="00331FE0" w:rsidP="00331FE0">
            <w:pPr>
              <w:pStyle w:val="BodyText"/>
            </w:pPr>
            <w:r w:rsidRPr="00331FE0">
              <w:t>You may select all your elective units from this Group</w:t>
            </w:r>
          </w:p>
        </w:tc>
        <w:tc>
          <w:tcPr>
            <w:tcW w:w="135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31FE0">
            <w:pPr>
              <w:pStyle w:val="BodyText"/>
              <w:rPr>
                <w:lang w:val="en-NZ"/>
              </w:rPr>
            </w:pPr>
            <w:r w:rsidRPr="00331FE0">
              <w:rPr>
                <w:rStyle w:val="SpecialBold"/>
              </w:rPr>
              <w:t>Weighting Points</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UEENEEA101A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Assemble electronic components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rPr>
          <w:trHeight w:val="356"/>
        </w:trPr>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UEENEEA106A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Use lead-free soldering techniques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UEENEED102A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Assemble, set-up and test computing devices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UEENEED112A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1FE0">
            <w:pPr>
              <w:pStyle w:val="BodyText"/>
              <w:rPr>
                <w:lang w:val="en-NZ"/>
              </w:rPr>
            </w:pPr>
            <w:r w:rsidRPr="00331FE0">
              <w:t>Support computer hardware and software for engineering applications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UEENEED130A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Select, install, configure and test multimedia components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UEENEED143A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Install and configure a client computer operating system and software</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UEENEED146A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Set up and configure basic local area network (LAN)</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UEENEEE121A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Plan an integrated cabling installation system</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UEENEEE123A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Solve basic problems elec</w:t>
            </w:r>
            <w:r w:rsidRPr="00331FE0">
              <w:t>tronic and digital equipment and circuits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UEENEEE179A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Identify and select components, accessories and materials for energy sector work activities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UEENEEF102A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Install and maintain cabling for multiple access to telecommunication services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UEENEEH101A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Repair basic computer equipment faults by replacement of modules/sub-assemblies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UEENEEH103A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Repair routine business equipment faults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UEENEEH107A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Repair predictable faults in general electronic apparatus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UEENEEH108A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Assemble and ins</w:t>
            </w:r>
            <w:r w:rsidRPr="00331FE0">
              <w:t>tall reception antennae and signal distribution equipment</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60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UEENEEH109A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Set up and test gaming and game equipment</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60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UEENEEH110A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Install commercial video/audio system components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UEENEEH117A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Carry out repairs of predictable faults in video and audio replay/recording apparatus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UEENEEH118A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Fault find and repair electronic apparatus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UEENEEH119A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Repair predictable faults in television receivers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UEENEEH120A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Fault find and repair gamin</w:t>
            </w:r>
            <w:r w:rsidRPr="00331FE0">
              <w:t>g and games equipment</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UEENEEH124A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Repair predictable faults in audio components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UEENEEH127A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Set up and adjust commercial radio frequency (RF) transmission and reception systems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60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UEENEEH128A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Install and test microwave antennae and waveguides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60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UEENEEH150A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Assemble and set up basic security systems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UEENEEH151A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Install large security systems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100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UEENEEH152A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Enter instructions and test wired and wireless security systems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1FE0">
            <w:pPr>
              <w:pStyle w:val="BodyText"/>
              <w:rPr>
                <w:lang w:val="en-NZ"/>
              </w:rPr>
            </w:pPr>
            <w:r w:rsidRPr="00331FE0">
              <w:t>UEENEEH169A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1FE0">
            <w:pPr>
              <w:pStyle w:val="BodyText"/>
              <w:rPr>
                <w:lang w:val="en-NZ"/>
              </w:rPr>
            </w:pPr>
            <w:r w:rsidRPr="00331FE0">
              <w:t>Solve problems in basic electronic circuits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100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UEENEEH171A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Troubleshoot faults in television receivers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UEENEEH172A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Troubleshoot communication systems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UEENEEH173A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Troubleshoot professional audio reproduction components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UEENEEH174A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Troubleshoot audio - video recording equipment</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120</w:t>
            </w:r>
          </w:p>
        </w:tc>
      </w:tr>
      <w:tr w:rsidTr="00B57902">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UEENEEI116A</w:t>
            </w:r>
          </w:p>
        </w:tc>
        <w:tc>
          <w:tcPr>
            <w:tcW w:w="5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Assemble, enter and verify operating instructions in microprocessor equipped devices</w:t>
            </w:r>
          </w:p>
        </w:tc>
        <w:tc>
          <w:tcPr>
            <w:tcW w:w="13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E0">
            <w:pPr>
              <w:pStyle w:val="BodyText"/>
              <w:rPr>
                <w:lang w:val="en-NZ"/>
              </w:rPr>
            </w:pPr>
            <w:r w:rsidRPr="00331FE0">
              <w:t>20</w:t>
            </w:r>
          </w:p>
        </w:tc>
      </w:tr>
      <w:tr w:rsidTr="00B57902">
        <w:tblPrEx>
          <w:tblW w:w="0" w:type="auto"/>
          <w:tblLayout w:type="fixed"/>
          <w:tblCellMar>
            <w:left w:w="62" w:type="dxa"/>
            <w:right w:w="62" w:type="dxa"/>
          </w:tblCellMar>
          <w:tblLook w:val="0000"/>
        </w:tblPrEx>
        <w:trPr>
          <w:gridAfter w:val="1"/>
          <w:wAfter w:w="7" w:type="dxa"/>
          <w:trHeight w:val="290"/>
        </w:trPr>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UETTDRIS43A</w:t>
            </w:r>
          </w:p>
        </w:tc>
        <w:tc>
          <w:tcPr>
            <w:tcW w:w="5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Perform low voltage field switching operation to a given schedule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rPr>
          <w:gridAfter w:val="1"/>
          <w:wAfter w:w="7" w:type="dxa"/>
        </w:trPr>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UETTDRIS44A</w:t>
            </w:r>
          </w:p>
        </w:tc>
        <w:tc>
          <w:tcPr>
            <w:tcW w:w="5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Perform HV field switching operation to a given schedule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rPr>
          <w:gridAfter w:val="1"/>
          <w:wAfter w:w="7" w:type="dxa"/>
        </w:trPr>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UETTDRIS47A</w:t>
            </w:r>
          </w:p>
        </w:tc>
        <w:tc>
          <w:tcPr>
            <w:tcW w:w="5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Sample, test, filter and reinstate insulating oil</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rPr>
          <w:gridAfter w:val="1"/>
          <w:wAfter w:w="7" w:type="dxa"/>
        </w:trPr>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UETTDRIS67A</w:t>
            </w:r>
          </w:p>
        </w:tc>
        <w:tc>
          <w:tcPr>
            <w:tcW w:w="5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Solve problems in energy supply network equipment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80</w:t>
            </w:r>
          </w:p>
        </w:tc>
      </w:tr>
      <w:tr w:rsidTr="00B57902">
        <w:tblPrEx>
          <w:tblW w:w="0" w:type="auto"/>
          <w:tblLayout w:type="fixed"/>
          <w:tblCellMar>
            <w:left w:w="62" w:type="dxa"/>
            <w:right w:w="62" w:type="dxa"/>
          </w:tblCellMar>
          <w:tblLook w:val="0000"/>
        </w:tblPrEx>
        <w:trPr>
          <w:gridAfter w:val="1"/>
          <w:wAfter w:w="7" w:type="dxa"/>
        </w:trPr>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UETTDRIS68A</w:t>
            </w:r>
          </w:p>
        </w:tc>
        <w:tc>
          <w:tcPr>
            <w:tcW w:w="5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Solve problems in energy supply network protection equipment and systems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40</w:t>
            </w:r>
          </w:p>
        </w:tc>
      </w:tr>
      <w:tr w:rsidTr="00B57902">
        <w:tblPrEx>
          <w:tblW w:w="0" w:type="auto"/>
          <w:tblLayout w:type="fixed"/>
          <w:tblCellMar>
            <w:left w:w="62" w:type="dxa"/>
            <w:right w:w="62" w:type="dxa"/>
          </w:tblCellMar>
          <w:tblLook w:val="0000"/>
        </w:tblPrEx>
        <w:trPr>
          <w:gridAfter w:val="1"/>
          <w:wAfter w:w="7" w:type="dxa"/>
        </w:trPr>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UETTDRSB39A</w:t>
            </w:r>
          </w:p>
        </w:tc>
        <w:tc>
          <w:tcPr>
            <w:tcW w:w="5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FE0">
            <w:pPr>
              <w:pStyle w:val="BodyText"/>
              <w:rPr>
                <w:lang w:val="en-NZ"/>
              </w:rPr>
            </w:pPr>
            <w:r w:rsidRPr="00331FE0">
              <w:t>Perform power system su</w:t>
            </w:r>
            <w:r w:rsidRPr="00331FE0">
              <w:t>bstation switching operation to a given schedule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FE0" w:rsidP="00331FE0">
            <w:pPr>
              <w:pStyle w:val="BodyText"/>
            </w:pPr>
            <w:r w:rsidRPr="00331FE0">
              <w:t>50</w:t>
            </w:r>
          </w:p>
        </w:tc>
      </w:tr>
    </w:tbl>
    <w:p w:rsidR="00000000" w:rsidRPr="00331FE0" w:rsidP="00331FE0">
      <w:pPr>
        <w:pStyle w:val="BodyText"/>
      </w:pPr>
      <w:r w:rsidRPr="00331FE0">
        <w:rPr>
          <w:rStyle w:val="SpecialBold"/>
        </w:rPr>
        <w:t xml:space="preserve">Note: </w:t>
      </w:r>
      <w:r w:rsidRPr="00331FE0">
        <w:br/>
        <w:t>1. Pre-requisite pathways shall be identified and met for all elective units selected.</w:t>
      </w:r>
    </w:p>
    <w:p w:rsidR="00000000" w:rsidRPr="00331FE0" w:rsidP="00331FE0">
      <w:pPr>
        <w:pStyle w:val="BodyText"/>
      </w:pPr>
      <w:r w:rsidRPr="00331FE0">
        <w:t>2. In selecting elective units considerations to career planning advice should be given to units that form pa</w:t>
      </w:r>
      <w:r w:rsidRPr="00331FE0">
        <w:t>rt of a pre-requisite pathway for the progression to achieve particular competencies or qualification at a higher level.</w:t>
      </w:r>
    </w:p>
    <w:p w:rsidR="00B57902" w:rsidP="00331FE0">
      <w:pPr>
        <w:pStyle w:val="BodyText"/>
      </w:pPr>
      <w:r w:rsidRPr="00331FE0">
        <w:rPr>
          <w:rStyle w:val="SpecialBold"/>
        </w:rPr>
        <w:t>END OF QUALIFICATION</w:t>
      </w:r>
    </w:p>
    <w:p w:rsidR="00B57902" w:rsidP="00331FE0">
      <w:pPr>
        <w:pStyle w:val="BodyText"/>
      </w:pPr>
    </w:p>
    <w:p w:rsidR="00000000" w:rsidRPr="00331FE0" w:rsidP="00331FE0">
      <w:pPr>
        <w:pStyle w:val="Heading1"/>
      </w:pPr>
      <w:bookmarkStart w:id="8" w:name="O_638930"/>
      <w:bookmarkEnd w:id="8"/>
      <w:r w:rsidRPr="00331FE0">
        <w:t>Custom Content Section</w:t>
      </w:r>
    </w:p>
    <w:p w:rsidR="00000000" w:rsidRPr="00331FE0" w:rsidP="00331FE0">
      <w:pPr>
        <w:pStyle w:val="BodyText"/>
      </w:pPr>
      <w:r w:rsidRPr="00331FE0">
        <w:t>Not applicable.</w:t>
      </w:r>
    </w:p>
    <w:p w:rsidR="00000000" w:rsidRPr="00331FE0" w:rsidP="00331FE0"/>
    <w:sectPr w:rsidSect="00331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E0" w:rsidRPr="00B57902" w:rsidP="00B57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02" w:rsidP="00331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7902" w:rsidP="00331FE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57902" w:rsidP="00331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E0" w:rsidRPr="00B57902" w:rsidP="00B579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02" w:rsidRPr="002D2AF8" w:rsidP="00331FE0">
    <w:pPr>
      <w:pStyle w:val="Header"/>
      <w:framePr w:wrap="around"/>
    </w:pPr>
    <w:r>
      <w:fldChar w:fldCharType="begin"/>
    </w:r>
    <w:r>
      <w:instrText xml:space="preserve"> TITLE   \* MERGEFORMAT </w:instrText>
    </w:r>
    <w:r>
      <w:fldChar w:fldCharType="separate"/>
    </w:r>
    <w:r>
      <w:t>UEE30311 Certificate III in Custom Electronics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B57902" w:rsidP="00331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8EBD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6A4F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FE0"/>
    <w:pPr>
      <w:spacing w:before="360" w:after="60"/>
      <w:outlineLvl w:val="0"/>
    </w:pPr>
    <w:rPr>
      <w:sz w:val="32"/>
    </w:rPr>
  </w:style>
  <w:style w:type="paragraph" w:styleId="Heading2">
    <w:name w:val="heading 2"/>
    <w:basedOn w:val="HeadingBase"/>
    <w:next w:val="BodyText"/>
    <w:link w:val="Heading2Char"/>
    <w:qFormat/>
    <w:rsid w:val="00331FE0"/>
    <w:pPr>
      <w:keepLines/>
      <w:spacing w:before="240" w:after="120"/>
      <w:outlineLvl w:val="1"/>
    </w:pPr>
    <w:rPr>
      <w:sz w:val="28"/>
      <w:szCs w:val="40"/>
    </w:rPr>
  </w:style>
  <w:style w:type="paragraph" w:styleId="Heading3">
    <w:name w:val="heading 3"/>
    <w:basedOn w:val="HeadingBase"/>
    <w:next w:val="BodyText"/>
    <w:link w:val="Heading3Char"/>
    <w:qFormat/>
    <w:rsid w:val="00331FE0"/>
    <w:pPr>
      <w:spacing w:before="180" w:after="120"/>
      <w:outlineLvl w:val="2"/>
    </w:pPr>
    <w:rPr>
      <w:spacing w:val="-10"/>
      <w:kern w:val="32"/>
    </w:rPr>
  </w:style>
  <w:style w:type="paragraph" w:styleId="Heading4">
    <w:name w:val="heading 4"/>
    <w:basedOn w:val="HeadingBase"/>
    <w:next w:val="BodyText"/>
    <w:link w:val="Heading4Char"/>
    <w:qFormat/>
    <w:rsid w:val="00331FE0"/>
    <w:pPr>
      <w:spacing w:before="160" w:after="120"/>
      <w:outlineLvl w:val="3"/>
    </w:pPr>
    <w:rPr>
      <w:sz w:val="22"/>
    </w:rPr>
  </w:style>
  <w:style w:type="paragraph" w:styleId="Heading5">
    <w:name w:val="heading 5"/>
    <w:basedOn w:val="HeadingBase"/>
    <w:next w:val="Normal"/>
    <w:link w:val="Heading5Char"/>
    <w:qFormat/>
    <w:rsid w:val="00331FE0"/>
    <w:pPr>
      <w:spacing w:before="80"/>
      <w:outlineLvl w:val="4"/>
    </w:pPr>
    <w:rPr>
      <w:color w:val="918585"/>
      <w:sz w:val="20"/>
    </w:rPr>
  </w:style>
  <w:style w:type="paragraph" w:styleId="Heading6">
    <w:name w:val="heading 6"/>
    <w:basedOn w:val="HeadingBase"/>
    <w:next w:val="Normal"/>
    <w:link w:val="Heading6Char"/>
    <w:qFormat/>
    <w:rsid w:val="00331FE0"/>
    <w:pPr>
      <w:spacing w:before="60"/>
      <w:outlineLvl w:val="5"/>
    </w:pPr>
    <w:rPr>
      <w:color w:val="918585"/>
      <w:sz w:val="20"/>
    </w:rPr>
  </w:style>
  <w:style w:type="paragraph" w:styleId="Heading7">
    <w:name w:val="heading 7"/>
    <w:basedOn w:val="Normal"/>
    <w:next w:val="Normal"/>
    <w:link w:val="Heading7Char"/>
    <w:qFormat/>
    <w:rsid w:val="00331FE0"/>
    <w:pPr>
      <w:ind w:left="720"/>
      <w:outlineLvl w:val="6"/>
    </w:pPr>
    <w:rPr>
      <w:i/>
    </w:rPr>
  </w:style>
  <w:style w:type="paragraph" w:styleId="Heading8">
    <w:name w:val="heading 8"/>
    <w:basedOn w:val="Normal"/>
    <w:next w:val="Normal"/>
    <w:link w:val="Heading8Char"/>
    <w:qFormat/>
    <w:rsid w:val="00331FE0"/>
    <w:pPr>
      <w:ind w:left="720"/>
      <w:outlineLvl w:val="7"/>
    </w:pPr>
    <w:rPr>
      <w:i/>
    </w:rPr>
  </w:style>
  <w:style w:type="paragraph" w:styleId="Heading9">
    <w:name w:val="heading 9"/>
    <w:basedOn w:val="Normal"/>
    <w:next w:val="Normal"/>
    <w:link w:val="Heading9Char"/>
    <w:qFormat/>
    <w:rsid w:val="00331FE0"/>
    <w:pPr>
      <w:ind w:left="720"/>
      <w:outlineLvl w:val="8"/>
    </w:pPr>
    <w:rPr>
      <w:i/>
    </w:rPr>
  </w:style>
  <w:style w:type="character" w:default="1" w:styleId="DefaultParagraphFont">
    <w:name w:val="Default Paragraph Font"/>
    <w:uiPriority w:val="1"/>
    <w:unhideWhenUsed/>
    <w:rsid w:val="00331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FE0"/>
  </w:style>
  <w:style w:type="character" w:customStyle="1" w:styleId="Heading1Char">
    <w:name w:val="Heading 1 Char"/>
    <w:basedOn w:val="DefaultParagraphFont"/>
    <w:link w:val="Heading1"/>
    <w:rsid w:val="00331FE0"/>
    <w:rPr>
      <w:rFonts w:ascii="Times New Roman" w:eastAsia="Times New Roman" w:hAnsi="Times New Roman" w:cs="Times New Roman"/>
      <w:b/>
      <w:sz w:val="32"/>
      <w:szCs w:val="20"/>
      <w:lang w:eastAsia="en-US"/>
    </w:rPr>
  </w:style>
  <w:style w:type="paragraph" w:styleId="BodyText">
    <w:name w:val="Body Text"/>
    <w:basedOn w:val="Normal"/>
    <w:link w:val="BodyTextChar"/>
    <w:rsid w:val="00331F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1FE0"/>
    <w:rPr>
      <w:rFonts w:ascii="Times New Roman" w:eastAsia="Times New Roman" w:hAnsi="Times New Roman" w:cs="Times New Roman"/>
      <w:sz w:val="24"/>
      <w:lang w:eastAsia="en-US"/>
    </w:rPr>
  </w:style>
  <w:style w:type="paragraph" w:styleId="ListBullet">
    <w:name w:val="List Bullet"/>
    <w:basedOn w:val="List"/>
    <w:rsid w:val="00331FE0"/>
    <w:pPr>
      <w:numPr>
        <w:numId w:val="12"/>
      </w:numPr>
      <w:tabs>
        <w:tab w:val="clear" w:pos="340"/>
      </w:tabs>
      <w:spacing w:before="40" w:after="40"/>
    </w:pPr>
  </w:style>
  <w:style w:type="character" w:customStyle="1" w:styleId="SpecialBold">
    <w:name w:val="Special Bold"/>
    <w:basedOn w:val="DefaultParagraphFont"/>
    <w:rsid w:val="00331FE0"/>
    <w:rPr>
      <w:b/>
      <w:spacing w:val="0"/>
    </w:rPr>
  </w:style>
  <w:style w:type="paragraph" w:customStyle="1" w:styleId="SuperHeading">
    <w:name w:val="SuperHeading"/>
    <w:basedOn w:val="Normal"/>
    <w:rsid w:val="00331FE0"/>
    <w:pPr>
      <w:spacing w:before="240" w:after="120"/>
      <w:outlineLvl w:val="0"/>
    </w:pPr>
    <w:rPr>
      <w:rFonts w:ascii="Times New Roman" w:hAnsi="Times New Roman"/>
      <w:b/>
      <w:sz w:val="32"/>
    </w:rPr>
  </w:style>
  <w:style w:type="paragraph" w:customStyle="1" w:styleId="AllowPageBreak">
    <w:name w:val="AllowPageBreak"/>
    <w:rsid w:val="00331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FE0"/>
    <w:rPr>
      <w:rFonts w:ascii="Courier New" w:eastAsia="Times New Roman" w:hAnsi="Courier New" w:cs="Times New Roman"/>
      <w:i/>
      <w:szCs w:val="20"/>
      <w:lang w:eastAsia="en-US"/>
    </w:rPr>
  </w:style>
  <w:style w:type="paragraph" w:customStyle="1" w:styleId="HeadingBase">
    <w:name w:val="Heading Base"/>
    <w:rsid w:val="00331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FE0"/>
    <w:pPr>
      <w:tabs>
        <w:tab w:val="right" w:leader="dot" w:pos="9072"/>
      </w:tabs>
      <w:ind w:left="567"/>
    </w:pPr>
    <w:rPr>
      <w:szCs w:val="22"/>
    </w:rPr>
  </w:style>
  <w:style w:type="paragraph" w:customStyle="1" w:styleId="TOCBase">
    <w:name w:val="TOC Base"/>
    <w:rsid w:val="00331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FE0"/>
    <w:pPr>
      <w:tabs>
        <w:tab w:val="right" w:leader="dot" w:pos="9072"/>
      </w:tabs>
      <w:spacing w:before="40" w:after="40"/>
      <w:ind w:left="284"/>
    </w:pPr>
    <w:rPr>
      <w:rFonts w:ascii="Times New Roman" w:hAnsi="Times New Roman"/>
    </w:rPr>
  </w:style>
  <w:style w:type="paragraph" w:styleId="TOC1">
    <w:name w:val="toc 1"/>
    <w:basedOn w:val="TOCBase"/>
    <w:next w:val="Normal"/>
    <w:rsid w:val="00331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FE0"/>
    <w:rPr>
      <w:rFonts w:ascii="Times New Roman" w:eastAsia="Times New Roman" w:hAnsi="Times New Roman" w:cs="Times New Roman"/>
      <w:sz w:val="16"/>
      <w:lang w:eastAsia="en-US"/>
    </w:rPr>
  </w:style>
  <w:style w:type="paragraph" w:styleId="Title">
    <w:name w:val="Title"/>
    <w:basedOn w:val="HeadingBase"/>
    <w:link w:val="TitleChar"/>
    <w:qFormat/>
    <w:rsid w:val="00331FE0"/>
    <w:pPr>
      <w:spacing w:before="5040"/>
      <w:jc w:val="center"/>
    </w:pPr>
    <w:rPr>
      <w:sz w:val="48"/>
      <w:szCs w:val="72"/>
      <w:lang w:val="en-US"/>
    </w:rPr>
  </w:style>
  <w:style w:type="character" w:customStyle="1" w:styleId="TitleChar">
    <w:name w:val="Title Char"/>
    <w:basedOn w:val="DefaultParagraphFont"/>
    <w:link w:val="Title"/>
    <w:rsid w:val="00331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FE0"/>
    <w:pPr>
      <w:tabs>
        <w:tab w:val="left" w:pos="3600"/>
        <w:tab w:val="left" w:pos="3958"/>
      </w:tabs>
    </w:pPr>
  </w:style>
  <w:style w:type="paragraph" w:styleId="List">
    <w:name w:val="List"/>
    <w:basedOn w:val="BodyText"/>
    <w:next w:val="BodyText"/>
    <w:rsid w:val="00331FE0"/>
    <w:pPr>
      <w:tabs>
        <w:tab w:val="left" w:pos="340"/>
      </w:tabs>
      <w:spacing w:before="60" w:after="60"/>
      <w:ind w:left="340" w:hanging="340"/>
    </w:pPr>
  </w:style>
  <w:style w:type="paragraph" w:customStyle="1" w:styleId="Note">
    <w:name w:val="Note"/>
    <w:basedOn w:val="BodyText"/>
    <w:rsid w:val="00331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FE0"/>
    <w:pPr>
      <w:framePr w:wrap="auto" w:hAnchor="text" w:y="6049"/>
    </w:pPr>
    <w:rPr>
      <w:color w:val="000000"/>
      <w:sz w:val="40"/>
    </w:rPr>
  </w:style>
  <w:style w:type="paragraph" w:customStyle="1" w:styleId="TOCTitle">
    <w:name w:val="TOCTitle"/>
    <w:basedOn w:val="Heading1"/>
    <w:rsid w:val="00331FE0"/>
    <w:pPr>
      <w:spacing w:after="240"/>
      <w:jc w:val="center"/>
      <w:outlineLvl w:val="9"/>
    </w:pPr>
    <w:rPr>
      <w:caps/>
    </w:rPr>
  </w:style>
  <w:style w:type="paragraph" w:customStyle="1" w:styleId="Version">
    <w:name w:val="Version"/>
    <w:rsid w:val="00331F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FE0"/>
    <w:pPr>
      <w:numPr>
        <w:numId w:val="13"/>
      </w:numPr>
      <w:tabs>
        <w:tab w:val="clear" w:pos="680"/>
      </w:tabs>
    </w:pPr>
  </w:style>
  <w:style w:type="paragraph" w:styleId="Index1">
    <w:name w:val="index 1"/>
    <w:basedOn w:val="Normal"/>
    <w:next w:val="Normal"/>
    <w:semiHidden/>
    <w:rsid w:val="00331FE0"/>
    <w:pPr>
      <w:keepNext w:val="0"/>
      <w:tabs>
        <w:tab w:val="right" w:pos="4176"/>
      </w:tabs>
      <w:ind w:left="198" w:hanging="198"/>
    </w:pPr>
    <w:rPr>
      <w:rFonts w:ascii="Garamond" w:hAnsi="Garamond"/>
    </w:rPr>
  </w:style>
  <w:style w:type="paragraph" w:styleId="IndexHeading">
    <w:name w:val="index heading"/>
    <w:basedOn w:val="Normal"/>
    <w:next w:val="Index1"/>
    <w:semiHidden/>
    <w:rsid w:val="00331FE0"/>
    <w:pPr>
      <w:spacing w:before="120" w:after="120"/>
    </w:pPr>
    <w:rPr>
      <w:rFonts w:ascii="Arial" w:hAnsi="Arial"/>
      <w:b/>
      <w:color w:val="918585"/>
      <w:sz w:val="24"/>
    </w:rPr>
  </w:style>
  <w:style w:type="paragraph" w:styleId="Header">
    <w:name w:val="header"/>
    <w:basedOn w:val="Normal"/>
    <w:link w:val="HeaderChar"/>
    <w:rsid w:val="00331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FE0"/>
    <w:rPr>
      <w:rFonts w:ascii="Times New Roman" w:eastAsia="Times New Roman" w:hAnsi="Times New Roman" w:cs="Times New Roman"/>
      <w:sz w:val="16"/>
      <w:szCs w:val="20"/>
      <w:lang w:val="en-GB" w:eastAsia="en-US"/>
    </w:rPr>
  </w:style>
  <w:style w:type="paragraph" w:customStyle="1" w:styleId="Chapter">
    <w:name w:val="Chapter"/>
    <w:basedOn w:val="Normal"/>
    <w:rsid w:val="00331FE0"/>
    <w:pPr>
      <w:spacing w:before="240"/>
    </w:pPr>
    <w:rPr>
      <w:rFonts w:ascii="Times New Roman" w:hAnsi="Times New Roman"/>
      <w:smallCaps/>
      <w:spacing w:val="80"/>
      <w:sz w:val="28"/>
    </w:rPr>
  </w:style>
  <w:style w:type="paragraph" w:customStyle="1" w:styleId="InChapter">
    <w:name w:val="InChapter"/>
    <w:basedOn w:val="Heading3"/>
    <w:rsid w:val="00331FE0"/>
    <w:pPr>
      <w:spacing w:after="240"/>
      <w:outlineLvl w:val="9"/>
    </w:pPr>
    <w:rPr>
      <w:noProof/>
    </w:rPr>
  </w:style>
  <w:style w:type="paragraph" w:styleId="Index2">
    <w:name w:val="index 2"/>
    <w:basedOn w:val="Normal"/>
    <w:next w:val="Normal"/>
    <w:semiHidden/>
    <w:rsid w:val="00331FE0"/>
    <w:pPr>
      <w:tabs>
        <w:tab w:val="right" w:pos="4176"/>
      </w:tabs>
      <w:ind w:left="568" w:hanging="284"/>
    </w:pPr>
    <w:rPr>
      <w:rFonts w:ascii="Garamond" w:hAnsi="Garamond"/>
    </w:rPr>
  </w:style>
  <w:style w:type="paragraph" w:customStyle="1" w:styleId="Byline">
    <w:name w:val="Byline"/>
    <w:rsid w:val="00331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FE0"/>
    <w:pPr>
      <w:tabs>
        <w:tab w:val="clear" w:pos="3600"/>
        <w:tab w:val="clear" w:pos="3958"/>
      </w:tabs>
      <w:jc w:val="right"/>
    </w:pPr>
  </w:style>
  <w:style w:type="character" w:styleId="Emphasis">
    <w:name w:val="Emphasis"/>
    <w:basedOn w:val="DefaultParagraphFont"/>
    <w:qFormat/>
    <w:rsid w:val="00331FE0"/>
    <w:rPr>
      <w:i/>
    </w:rPr>
  </w:style>
  <w:style w:type="paragraph" w:styleId="Caption">
    <w:name w:val="caption"/>
    <w:basedOn w:val="BodyText"/>
    <w:next w:val="Normal"/>
    <w:qFormat/>
    <w:rsid w:val="00331FE0"/>
    <w:pPr>
      <w:framePr w:w="2268" w:hSpace="181" w:vSpace="181" w:wrap="around" w:vAnchor="text" w:hAnchor="page" w:x="1135" w:y="285" w:anchorLock="1"/>
    </w:pPr>
    <w:rPr>
      <w:i/>
    </w:rPr>
  </w:style>
  <w:style w:type="paragraph" w:customStyle="1" w:styleId="MiniTOCTitle">
    <w:name w:val="MiniTOCTitle"/>
    <w:basedOn w:val="Heading4"/>
    <w:rsid w:val="00331FE0"/>
    <w:pPr>
      <w:spacing w:before="240"/>
      <w:outlineLvl w:val="9"/>
    </w:pPr>
    <w:rPr>
      <w:noProof/>
      <w:sz w:val="24"/>
    </w:rPr>
  </w:style>
  <w:style w:type="paragraph" w:customStyle="1" w:styleId="MiniTOCItem">
    <w:name w:val="MiniTOCItem"/>
    <w:basedOn w:val="ListBullet"/>
    <w:rsid w:val="00331FE0"/>
    <w:pPr>
      <w:numPr>
        <w:numId w:val="0"/>
      </w:numPr>
      <w:tabs>
        <w:tab w:val="right" w:leader="dot" w:pos="6521"/>
      </w:tabs>
      <w:spacing w:before="0" w:after="0"/>
    </w:pPr>
  </w:style>
  <w:style w:type="paragraph" w:customStyle="1" w:styleId="TOFTitle">
    <w:name w:val="TOFTitle"/>
    <w:basedOn w:val="TOCTitle"/>
    <w:rsid w:val="00331FE0"/>
  </w:style>
  <w:style w:type="paragraph" w:styleId="TableofFigures">
    <w:name w:val="table of figures"/>
    <w:basedOn w:val="Normal"/>
    <w:next w:val="Normal"/>
    <w:semiHidden/>
    <w:rsid w:val="00331FE0"/>
    <w:pPr>
      <w:tabs>
        <w:tab w:val="right" w:leader="dot" w:pos="9072"/>
      </w:tabs>
      <w:ind w:left="970" w:hanging="403"/>
    </w:pPr>
    <w:rPr>
      <w:rFonts w:ascii="Times New Roman" w:hAnsi="Times New Roman"/>
      <w:b/>
    </w:rPr>
  </w:style>
  <w:style w:type="paragraph" w:styleId="ListNumber">
    <w:name w:val="List Number"/>
    <w:basedOn w:val="List"/>
    <w:rsid w:val="00331FE0"/>
    <w:pPr>
      <w:numPr>
        <w:numId w:val="10"/>
      </w:numPr>
    </w:pPr>
  </w:style>
  <w:style w:type="character" w:customStyle="1" w:styleId="WingdingSymbols">
    <w:name w:val="Wingding Symbols"/>
    <w:rsid w:val="00331FE0"/>
    <w:rPr>
      <w:rFonts w:ascii="Wingdings" w:hAnsi="Wingdings"/>
    </w:rPr>
  </w:style>
  <w:style w:type="paragraph" w:customStyle="1" w:styleId="TableHeading">
    <w:name w:val="Table Heading"/>
    <w:basedOn w:val="HeadingBase"/>
    <w:rsid w:val="00331FE0"/>
    <w:pPr>
      <w:keepLines/>
      <w:pBdr>
        <w:bottom w:val="single" w:sz="6" w:space="1" w:color="918585"/>
      </w:pBdr>
      <w:spacing w:before="240"/>
    </w:pPr>
  </w:style>
  <w:style w:type="character" w:customStyle="1" w:styleId="HotSpot">
    <w:name w:val="HotSpot"/>
    <w:rsid w:val="00331FE0"/>
    <w:rPr>
      <w:color w:val="0033CC"/>
      <w:u w:val="none"/>
    </w:rPr>
  </w:style>
  <w:style w:type="paragraph" w:customStyle="1" w:styleId="BodyTextRight">
    <w:name w:val="Body Text Right"/>
    <w:basedOn w:val="BodyText"/>
    <w:rsid w:val="00331FE0"/>
    <w:pPr>
      <w:spacing w:before="0" w:after="0"/>
      <w:jc w:val="right"/>
    </w:pPr>
  </w:style>
  <w:style w:type="paragraph" w:styleId="Index3">
    <w:name w:val="index 3"/>
    <w:basedOn w:val="ListNumber2"/>
    <w:next w:val="Normal"/>
    <w:semiHidden/>
    <w:rsid w:val="00331FE0"/>
    <w:pPr>
      <w:numPr>
        <w:numId w:val="0"/>
      </w:numPr>
      <w:tabs>
        <w:tab w:val="right" w:leader="dot" w:pos="4176"/>
      </w:tabs>
    </w:pPr>
  </w:style>
  <w:style w:type="paragraph" w:styleId="ListNumber2">
    <w:name w:val="List Number 2"/>
    <w:basedOn w:val="List2"/>
    <w:rsid w:val="00331FE0"/>
    <w:pPr>
      <w:numPr>
        <w:numId w:val="9"/>
      </w:numPr>
      <w:tabs>
        <w:tab w:val="clear" w:pos="1060"/>
      </w:tabs>
    </w:pPr>
  </w:style>
  <w:style w:type="paragraph" w:customStyle="1" w:styleId="MarginNote">
    <w:name w:val="Margin Note"/>
    <w:basedOn w:val="BodyText"/>
    <w:rsid w:val="00331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FE0"/>
    <w:rPr>
      <w:sz w:val="32"/>
    </w:rPr>
  </w:style>
  <w:style w:type="paragraph" w:customStyle="1" w:styleId="HeadingProcedure">
    <w:name w:val="Heading Procedure"/>
    <w:basedOn w:val="HeadingBase"/>
    <w:next w:val="Normal"/>
    <w:rsid w:val="00331FE0"/>
    <w:pPr>
      <w:tabs>
        <w:tab w:val="left" w:pos="0"/>
      </w:tabs>
      <w:spacing w:before="120" w:after="60"/>
    </w:pPr>
    <w:rPr>
      <w:i/>
      <w:color w:val="918585"/>
      <w:sz w:val="22"/>
    </w:rPr>
  </w:style>
  <w:style w:type="paragraph" w:customStyle="1" w:styleId="TableBodyText">
    <w:name w:val="Table Body Text"/>
    <w:basedOn w:val="BodyText"/>
    <w:rsid w:val="00331FE0"/>
    <w:pPr>
      <w:spacing w:before="60" w:after="60"/>
    </w:pPr>
  </w:style>
  <w:style w:type="paragraph" w:styleId="ListContinue">
    <w:name w:val="List Continue"/>
    <w:basedOn w:val="List"/>
    <w:rsid w:val="00331FE0"/>
    <w:pPr>
      <w:ind w:firstLine="0"/>
    </w:pPr>
  </w:style>
  <w:style w:type="paragraph" w:customStyle="1" w:styleId="ListNote">
    <w:name w:val="List Note"/>
    <w:basedOn w:val="List"/>
    <w:rsid w:val="00331FE0"/>
    <w:pPr>
      <w:pBdr>
        <w:top w:val="single" w:sz="6" w:space="2" w:color="918585"/>
        <w:bottom w:val="single" w:sz="6" w:space="2" w:color="918585"/>
      </w:pBdr>
      <w:tabs>
        <w:tab w:val="left" w:pos="1021"/>
      </w:tabs>
      <w:ind w:firstLine="0"/>
    </w:pPr>
  </w:style>
  <w:style w:type="paragraph" w:customStyle="1" w:styleId="Warning">
    <w:name w:val="Warning"/>
    <w:basedOn w:val="BodyText"/>
    <w:rsid w:val="00331FE0"/>
    <w:pPr>
      <w:shd w:val="clear" w:color="auto" w:fill="D9D9D9"/>
      <w:tabs>
        <w:tab w:val="left" w:pos="992"/>
      </w:tabs>
      <w:ind w:left="119" w:right="119"/>
    </w:pPr>
    <w:rPr>
      <w:sz w:val="20"/>
    </w:rPr>
  </w:style>
  <w:style w:type="paragraph" w:customStyle="1" w:styleId="MarginIcons">
    <w:name w:val="Margin Icons"/>
    <w:basedOn w:val="BodyText"/>
    <w:rsid w:val="00331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FE0"/>
    <w:rPr>
      <w:rFonts w:ascii="Courier New" w:hAnsi="Courier New"/>
    </w:rPr>
  </w:style>
  <w:style w:type="paragraph" w:customStyle="1" w:styleId="NoteBullet">
    <w:name w:val="Note Bullet"/>
    <w:basedOn w:val="Note"/>
    <w:rsid w:val="00331FE0"/>
    <w:pPr>
      <w:tabs>
        <w:tab w:val="clear" w:pos="680"/>
      </w:tabs>
      <w:spacing w:before="60" w:after="60"/>
    </w:pPr>
  </w:style>
  <w:style w:type="paragraph" w:customStyle="1" w:styleId="SubHeading2">
    <w:name w:val="SubHeading2"/>
    <w:basedOn w:val="HeadingBase"/>
    <w:rsid w:val="00331FE0"/>
    <w:pPr>
      <w:spacing w:before="240" w:after="60"/>
    </w:pPr>
    <w:rPr>
      <w:sz w:val="20"/>
    </w:rPr>
  </w:style>
  <w:style w:type="paragraph" w:customStyle="1" w:styleId="SubHeading1">
    <w:name w:val="SubHeading1"/>
    <w:basedOn w:val="HeadingBase"/>
    <w:rsid w:val="00331FE0"/>
    <w:pPr>
      <w:spacing w:before="240" w:after="60"/>
    </w:pPr>
    <w:rPr>
      <w:color w:val="918585"/>
      <w:sz w:val="22"/>
    </w:rPr>
  </w:style>
  <w:style w:type="paragraph" w:customStyle="1" w:styleId="SideHeading">
    <w:name w:val="Side Heading"/>
    <w:basedOn w:val="HeadingBase"/>
    <w:rsid w:val="00331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FE0"/>
    <w:pPr>
      <w:tabs>
        <w:tab w:val="num" w:pos="360"/>
      </w:tabs>
    </w:pPr>
  </w:style>
  <w:style w:type="paragraph" w:styleId="PlainText">
    <w:name w:val="Plain Text"/>
    <w:basedOn w:val="Normal"/>
    <w:link w:val="PlainTextChar"/>
    <w:rsid w:val="00331FE0"/>
    <w:rPr>
      <w:sz w:val="20"/>
    </w:rPr>
  </w:style>
  <w:style w:type="character" w:customStyle="1" w:styleId="PlainTextChar">
    <w:name w:val="Plain Text Char"/>
    <w:basedOn w:val="DefaultParagraphFont"/>
    <w:link w:val="PlainText"/>
    <w:rsid w:val="00331FE0"/>
    <w:rPr>
      <w:rFonts w:ascii="Courier New" w:eastAsia="Times New Roman" w:hAnsi="Courier New" w:cs="Times New Roman"/>
      <w:sz w:val="20"/>
      <w:szCs w:val="20"/>
      <w:lang w:eastAsia="en-US"/>
    </w:rPr>
  </w:style>
  <w:style w:type="character" w:customStyle="1" w:styleId="MenuOption">
    <w:name w:val="Menu Option"/>
    <w:basedOn w:val="DefaultParagraphFont"/>
    <w:rsid w:val="00331FE0"/>
    <w:rPr>
      <w:b/>
      <w:smallCaps/>
    </w:rPr>
  </w:style>
  <w:style w:type="paragraph" w:customStyle="1" w:styleId="TableListNumber">
    <w:name w:val="Table List Number"/>
    <w:basedOn w:val="ListNumber"/>
    <w:rsid w:val="00331FE0"/>
    <w:pPr>
      <w:numPr>
        <w:numId w:val="0"/>
      </w:numPr>
    </w:pPr>
  </w:style>
  <w:style w:type="paragraph" w:styleId="TOC4">
    <w:name w:val="toc 4"/>
    <w:basedOn w:val="TOCBase"/>
    <w:next w:val="Normal"/>
    <w:semiHidden/>
    <w:rsid w:val="00331FE0"/>
    <w:pPr>
      <w:tabs>
        <w:tab w:val="right" w:leader="dot" w:pos="9071"/>
      </w:tabs>
      <w:ind w:left="1701"/>
    </w:pPr>
  </w:style>
  <w:style w:type="paragraph" w:customStyle="1" w:styleId="ListAlpha">
    <w:name w:val="List Alpha"/>
    <w:basedOn w:val="List"/>
    <w:rsid w:val="00331FE0"/>
    <w:pPr>
      <w:numPr>
        <w:numId w:val="8"/>
      </w:numPr>
    </w:pPr>
  </w:style>
  <w:style w:type="paragraph" w:customStyle="1" w:styleId="ListAlpha2">
    <w:name w:val="List Alpha 2"/>
    <w:basedOn w:val="List2"/>
    <w:rsid w:val="00331FE0"/>
    <w:pPr>
      <w:numPr>
        <w:numId w:val="7"/>
      </w:numPr>
    </w:pPr>
  </w:style>
  <w:style w:type="paragraph" w:styleId="List2">
    <w:name w:val="List 2"/>
    <w:basedOn w:val="BodyText"/>
    <w:rsid w:val="00331FE0"/>
    <w:pPr>
      <w:tabs>
        <w:tab w:val="left" w:pos="680"/>
      </w:tabs>
      <w:spacing w:before="60" w:after="60"/>
      <w:ind w:left="680" w:hanging="340"/>
    </w:pPr>
  </w:style>
  <w:style w:type="paragraph" w:styleId="List3">
    <w:name w:val="List 3"/>
    <w:basedOn w:val="BodyText"/>
    <w:rsid w:val="00331FE0"/>
    <w:pPr>
      <w:tabs>
        <w:tab w:val="left" w:pos="1021"/>
      </w:tabs>
      <w:spacing w:before="60" w:after="60"/>
      <w:ind w:left="1020" w:hanging="340"/>
    </w:pPr>
  </w:style>
  <w:style w:type="paragraph" w:styleId="List4">
    <w:name w:val="List 4"/>
    <w:basedOn w:val="BodyText"/>
    <w:rsid w:val="00331FE0"/>
    <w:pPr>
      <w:tabs>
        <w:tab w:val="left" w:pos="1361"/>
      </w:tabs>
      <w:spacing w:before="60" w:after="60"/>
      <w:ind w:left="1361" w:hanging="340"/>
    </w:pPr>
  </w:style>
  <w:style w:type="paragraph" w:styleId="List5">
    <w:name w:val="List 5"/>
    <w:basedOn w:val="BodyText"/>
    <w:rsid w:val="00331FE0"/>
    <w:pPr>
      <w:tabs>
        <w:tab w:val="left" w:pos="1701"/>
      </w:tabs>
      <w:spacing w:before="60" w:after="60"/>
      <w:ind w:left="1701" w:hanging="340"/>
    </w:pPr>
  </w:style>
  <w:style w:type="paragraph" w:styleId="ListBullet3">
    <w:name w:val="List Bullet 3"/>
    <w:basedOn w:val="List3"/>
    <w:rsid w:val="00331FE0"/>
    <w:pPr>
      <w:numPr>
        <w:numId w:val="14"/>
      </w:numPr>
      <w:tabs>
        <w:tab w:val="clear" w:pos="1021"/>
      </w:tabs>
      <w:ind w:left="1037" w:hanging="357"/>
    </w:pPr>
  </w:style>
  <w:style w:type="paragraph" w:styleId="ListBullet4">
    <w:name w:val="List Bullet 4"/>
    <w:basedOn w:val="List4"/>
    <w:rsid w:val="00331FE0"/>
    <w:pPr>
      <w:numPr>
        <w:numId w:val="2"/>
      </w:numPr>
    </w:pPr>
  </w:style>
  <w:style w:type="paragraph" w:styleId="ListBullet5">
    <w:name w:val="List Bullet 5"/>
    <w:basedOn w:val="List5"/>
    <w:rsid w:val="00331FE0"/>
    <w:pPr>
      <w:numPr>
        <w:numId w:val="3"/>
      </w:numPr>
    </w:pPr>
  </w:style>
  <w:style w:type="paragraph" w:styleId="ListContinue2">
    <w:name w:val="List Continue 2"/>
    <w:basedOn w:val="List2"/>
    <w:rsid w:val="00331FE0"/>
    <w:pPr>
      <w:ind w:firstLine="0"/>
    </w:pPr>
  </w:style>
  <w:style w:type="paragraph" w:styleId="ListContinue3">
    <w:name w:val="List Continue 3"/>
    <w:basedOn w:val="List3"/>
    <w:rsid w:val="00331FE0"/>
    <w:pPr>
      <w:ind w:left="1021" w:firstLine="0"/>
    </w:pPr>
  </w:style>
  <w:style w:type="paragraph" w:styleId="ListContinue4">
    <w:name w:val="List Continue 4"/>
    <w:basedOn w:val="List4"/>
    <w:rsid w:val="00331FE0"/>
    <w:pPr>
      <w:ind w:firstLine="0"/>
    </w:pPr>
  </w:style>
  <w:style w:type="paragraph" w:styleId="ListContinue5">
    <w:name w:val="List Continue 5"/>
    <w:basedOn w:val="List5"/>
    <w:rsid w:val="00331FE0"/>
    <w:pPr>
      <w:ind w:firstLine="0"/>
    </w:pPr>
  </w:style>
  <w:style w:type="paragraph" w:styleId="ListNumber3">
    <w:name w:val="List Number 3"/>
    <w:basedOn w:val="List3"/>
    <w:rsid w:val="00331FE0"/>
    <w:pPr>
      <w:numPr>
        <w:numId w:val="4"/>
      </w:numPr>
    </w:pPr>
  </w:style>
  <w:style w:type="paragraph" w:styleId="ListNumber4">
    <w:name w:val="List Number 4"/>
    <w:basedOn w:val="List4"/>
    <w:rsid w:val="00331FE0"/>
    <w:pPr>
      <w:numPr>
        <w:numId w:val="5"/>
      </w:numPr>
    </w:pPr>
  </w:style>
  <w:style w:type="paragraph" w:styleId="ListNumber5">
    <w:name w:val="List Number 5"/>
    <w:basedOn w:val="List5"/>
    <w:rsid w:val="00331FE0"/>
    <w:pPr>
      <w:numPr>
        <w:numId w:val="6"/>
      </w:numPr>
    </w:pPr>
  </w:style>
  <w:style w:type="paragraph" w:styleId="BlockText">
    <w:name w:val="Block Text"/>
    <w:basedOn w:val="Normal"/>
    <w:rsid w:val="00331FE0"/>
    <w:pPr>
      <w:spacing w:after="120"/>
      <w:ind w:left="1440" w:right="1440"/>
    </w:pPr>
  </w:style>
  <w:style w:type="character" w:customStyle="1" w:styleId="Subscript">
    <w:name w:val="Subscript"/>
    <w:basedOn w:val="DefaultParagraphFont"/>
    <w:rsid w:val="00331FE0"/>
    <w:rPr>
      <w:sz w:val="16"/>
      <w:vertAlign w:val="subscript"/>
    </w:rPr>
  </w:style>
  <w:style w:type="character" w:customStyle="1" w:styleId="Superscript">
    <w:name w:val="Superscript"/>
    <w:basedOn w:val="DefaultParagraphFont"/>
    <w:rsid w:val="00331FE0"/>
    <w:rPr>
      <w:sz w:val="16"/>
      <w:vertAlign w:val="superscript"/>
    </w:rPr>
  </w:style>
  <w:style w:type="character" w:customStyle="1" w:styleId="Symbols">
    <w:name w:val="Symbols"/>
    <w:basedOn w:val="DefaultParagraphFont"/>
    <w:rsid w:val="00331FE0"/>
    <w:rPr>
      <w:rFonts w:ascii="Symbol" w:hAnsi="Symbol"/>
    </w:rPr>
  </w:style>
  <w:style w:type="character" w:customStyle="1" w:styleId="MenuOptions">
    <w:name w:val="Menu Options"/>
    <w:basedOn w:val="DefaultParagraphFont"/>
    <w:rsid w:val="00331FE0"/>
    <w:rPr>
      <w:rFonts w:ascii="Arial Narrow" w:hAnsi="Arial Narrow"/>
      <w:smallCaps/>
    </w:rPr>
  </w:style>
  <w:style w:type="character" w:customStyle="1" w:styleId="Buttons">
    <w:name w:val="Buttons"/>
    <w:basedOn w:val="DefaultParagraphFont"/>
    <w:rsid w:val="00331FE0"/>
    <w:rPr>
      <w:b/>
    </w:rPr>
  </w:style>
  <w:style w:type="character" w:customStyle="1" w:styleId="Underlined">
    <w:name w:val="Underlined"/>
    <w:basedOn w:val="DefaultParagraphFont"/>
    <w:rsid w:val="00331FE0"/>
    <w:rPr>
      <w:u w:val="single"/>
    </w:rPr>
  </w:style>
  <w:style w:type="paragraph" w:customStyle="1" w:styleId="TableBodyTextRight">
    <w:name w:val="Table Body Text Right"/>
    <w:basedOn w:val="TableBodyText"/>
    <w:rsid w:val="00331FE0"/>
    <w:pPr>
      <w:widowControl w:val="0"/>
      <w:autoSpaceDE w:val="0"/>
      <w:autoSpaceDN w:val="0"/>
      <w:adjustRightInd w:val="0"/>
      <w:jc w:val="right"/>
    </w:pPr>
    <w:rPr>
      <w:rFonts w:cs="Arial"/>
      <w:szCs w:val="18"/>
    </w:rPr>
  </w:style>
  <w:style w:type="paragraph" w:customStyle="1" w:styleId="CopyrightText">
    <w:name w:val="Copyright Text"/>
    <w:basedOn w:val="BodyText"/>
    <w:rsid w:val="00331FE0"/>
    <w:rPr>
      <w:sz w:val="18"/>
    </w:rPr>
  </w:style>
  <w:style w:type="paragraph" w:customStyle="1" w:styleId="BodySmallRight">
    <w:name w:val="Body Small Right"/>
    <w:basedOn w:val="BodyTextRight"/>
    <w:rsid w:val="00331FE0"/>
    <w:rPr>
      <w:sz w:val="18"/>
      <w:szCs w:val="18"/>
    </w:rPr>
  </w:style>
  <w:style w:type="paragraph" w:customStyle="1" w:styleId="MarginEdition">
    <w:name w:val="Margin Edition"/>
    <w:basedOn w:val="MarginNote"/>
    <w:rsid w:val="00331FE0"/>
    <w:pPr>
      <w:spacing w:before="0" w:after="0"/>
    </w:pPr>
    <w:rPr>
      <w:rFonts w:ascii="Times New Roman" w:hAnsi="Times New Roman"/>
      <w:color w:val="999999"/>
    </w:rPr>
  </w:style>
  <w:style w:type="paragraph" w:customStyle="1" w:styleId="Spacer">
    <w:name w:val="Spacer"/>
    <w:basedOn w:val="Normal"/>
    <w:rsid w:val="00331FE0"/>
    <w:rPr>
      <w:sz w:val="2"/>
      <w:szCs w:val="2"/>
    </w:rPr>
  </w:style>
  <w:style w:type="character" w:customStyle="1" w:styleId="Small">
    <w:name w:val="Small"/>
    <w:basedOn w:val="DefaultParagraphFont"/>
    <w:rsid w:val="00331FE0"/>
    <w:rPr>
      <w:sz w:val="16"/>
    </w:rPr>
  </w:style>
  <w:style w:type="paragraph" w:customStyle="1" w:styleId="WideTable">
    <w:name w:val="Wide Table"/>
    <w:basedOn w:val="Normal"/>
    <w:rsid w:val="00331FE0"/>
    <w:pPr>
      <w:ind w:left="-1418"/>
    </w:pPr>
    <w:rPr>
      <w:sz w:val="2"/>
      <w:szCs w:val="2"/>
    </w:rPr>
  </w:style>
  <w:style w:type="character" w:styleId="PageNumber">
    <w:name w:val="page number"/>
    <w:basedOn w:val="DefaultParagraphFont"/>
    <w:rsid w:val="00331FE0"/>
  </w:style>
  <w:style w:type="paragraph" w:styleId="Quote">
    <w:name w:val="Quote"/>
    <w:basedOn w:val="Heading1"/>
    <w:link w:val="QuoteChar"/>
    <w:qFormat/>
    <w:rsid w:val="00331FE0"/>
    <w:rPr>
      <w:b w:val="0"/>
      <w:sz w:val="72"/>
      <w:szCs w:val="72"/>
      <w:lang w:val="en-NZ"/>
    </w:rPr>
  </w:style>
  <w:style w:type="character" w:customStyle="1" w:styleId="QuoteChar">
    <w:name w:val="Quote Char"/>
    <w:basedOn w:val="DefaultParagraphFont"/>
    <w:link w:val="Quote"/>
    <w:rsid w:val="00331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FE0"/>
    <w:pPr>
      <w:pageBreakBefore/>
    </w:pPr>
  </w:style>
  <w:style w:type="paragraph" w:customStyle="1" w:styleId="Border">
    <w:name w:val="Border"/>
    <w:basedOn w:val="Normal"/>
    <w:qFormat/>
    <w:rsid w:val="00331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FE0"/>
    <w:rPr>
      <w:b/>
      <w:bCs/>
      <w:i/>
      <w:iCs/>
      <w:color w:val="auto"/>
    </w:rPr>
  </w:style>
  <w:style w:type="paragraph" w:styleId="IntenseQuote">
    <w:name w:val="Intense Quote"/>
    <w:basedOn w:val="Normal"/>
    <w:next w:val="Normal"/>
    <w:link w:val="IntenseQuoteChar"/>
    <w:uiPriority w:val="30"/>
    <w:qFormat/>
    <w:rsid w:val="00331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FE0"/>
    <w:rPr>
      <w:smallCaps/>
      <w:color w:val="auto"/>
      <w:u w:val="single"/>
    </w:rPr>
  </w:style>
  <w:style w:type="character" w:styleId="IntenseReference">
    <w:name w:val="Intense Reference"/>
    <w:basedOn w:val="DefaultParagraphFont"/>
    <w:uiPriority w:val="32"/>
    <w:qFormat/>
    <w:rsid w:val="00331FE0"/>
    <w:rPr>
      <w:b/>
      <w:bCs/>
      <w:smallCaps/>
      <w:color w:val="auto"/>
      <w:spacing w:val="5"/>
      <w:u w:val="single"/>
    </w:rPr>
  </w:style>
  <w:style w:type="paragraph" w:customStyle="1" w:styleId="2ColumnHeading">
    <w:name w:val="2Column Heading"/>
    <w:basedOn w:val="BodyText"/>
    <w:qFormat/>
    <w:rsid w:val="00331FE0"/>
    <w:pPr>
      <w:spacing w:after="60"/>
      <w:ind w:left="-2268"/>
    </w:pPr>
    <w:rPr>
      <w:b/>
    </w:rPr>
  </w:style>
  <w:style w:type="paragraph" w:customStyle="1" w:styleId="Heading1TOC">
    <w:name w:val="Heading1 TOC"/>
    <w:basedOn w:val="Normal"/>
    <w:qFormat/>
    <w:rsid w:val="00331FE0"/>
    <w:pPr>
      <w:spacing w:before="240" w:after="120"/>
    </w:pPr>
    <w:rPr>
      <w:rFonts w:ascii="Times New Roman" w:hAnsi="Times New Roman"/>
      <w:b/>
      <w:sz w:val="32"/>
    </w:rPr>
  </w:style>
  <w:style w:type="paragraph" w:customStyle="1" w:styleId="Heading2TOC">
    <w:name w:val="Heading2 TOC"/>
    <w:basedOn w:val="Normal"/>
    <w:qFormat/>
    <w:rsid w:val="00331FE0"/>
    <w:pPr>
      <w:spacing w:before="240" w:after="60"/>
    </w:pPr>
    <w:rPr>
      <w:rFonts w:ascii="Times New Roman" w:hAnsi="Times New Roman"/>
      <w:b/>
      <w:sz w:val="28"/>
    </w:rPr>
  </w:style>
  <w:style w:type="character" w:customStyle="1" w:styleId="Underline">
    <w:name w:val="Underline"/>
    <w:basedOn w:val="DefaultParagraphFont"/>
    <w:qFormat/>
    <w:rsid w:val="00331FE0"/>
    <w:rPr>
      <w:u w:val="single"/>
    </w:rPr>
  </w:style>
  <w:style w:type="character" w:customStyle="1" w:styleId="BoldandItalics">
    <w:name w:val="Bold and Italics"/>
    <w:qFormat/>
    <w:rsid w:val="00331FE0"/>
    <w:rPr>
      <w:b/>
      <w:i/>
      <w:u w:val="none"/>
    </w:rPr>
  </w:style>
  <w:style w:type="paragraph" w:styleId="BalloonText">
    <w:name w:val="Balloon Text"/>
    <w:basedOn w:val="Normal"/>
    <w:link w:val="BalloonTextChar"/>
    <w:rsid w:val="00331FE0"/>
    <w:rPr>
      <w:rFonts w:ascii="Tahoma" w:hAnsi="Tahoma" w:cs="Tahoma"/>
      <w:sz w:val="16"/>
      <w:szCs w:val="16"/>
    </w:rPr>
  </w:style>
  <w:style w:type="character" w:customStyle="1" w:styleId="BalloonTextChar">
    <w:name w:val="Balloon Text Char"/>
    <w:basedOn w:val="DefaultParagraphFont"/>
    <w:link w:val="BalloonText"/>
    <w:rsid w:val="00331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F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1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FE0"/>
    <w:rPr>
      <w:b/>
      <w:color w:val="660033"/>
      <w:spacing w:val="0"/>
    </w:rPr>
  </w:style>
  <w:style w:type="paragraph" w:customStyle="1" w:styleId="Nameditemlist">
    <w:name w:val="Named item list"/>
    <w:basedOn w:val="BodyText"/>
    <w:qFormat/>
    <w:rsid w:val="00331F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1099</Words>
  <Characters>6761</Characters>
  <Application>Microsoft Office Word</Application>
  <DocSecurity>0</DocSecurity>
  <Lines>355</Lines>
  <Paragraphs>269</Paragraphs>
  <ScaleCrop>false</ScaleCrop>
  <Company>Author-it Software Corporation Ltd.</Company>
  <LinksUpToDate>false</LinksUpToDate>
  <CharactersWithSpaces>7603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UEE30311 Certificate III in Custom Electronics Installations</dc:title>
  <dc:subject>Approved</dc:subject>
  <dc:creator>E-OZ Training Standards</dc:creator>
  <cp:keywords>Release 5</cp:keywords>
  <dc:description>Review Date: 12 April 2008</dc:description>
  <cp:lastModifiedBy>HSD_TPCMSd.prod</cp:lastModifiedBy>
  <cp:revision>3</cp:revision>
  <dcterms:created xsi:type="dcterms:W3CDTF">2014-04-17T16:50:38Z</dcterms:created>
  <dcterms:modified xsi:type="dcterms:W3CDTF">2014-04-17T06:02:00Z</dcterms:modified>
</cp:coreProperties>
</file>