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F42" w:rsidP="003E7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UEE20711 Certificate II in Data and Voice Communications</w:t>
      </w:r>
      <w:r>
        <w:fldChar w:fldCharType="end"/>
      </w:r>
    </w:p>
    <w:p w:rsidR="003E7F42" w:rsidP="003E7F42">
      <w:pPr>
        <w:pStyle w:val="Version"/>
        <w:sectPr w:rsidSect="00B73D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73D0A" w:rsidP="00B73D0A">
      <w:pPr>
        <w:pStyle w:val="SuperHeading"/>
      </w:pPr>
      <w:r w:rsidRPr="00B73D0A">
        <w:t>UEE20711 Certificate II in Data and Voice Communications</w:t>
      </w:r>
    </w:p>
    <w:p w:rsidR="00000000" w:rsidRPr="00B73D0A" w:rsidP="00B73D0A">
      <w:pPr>
        <w:pStyle w:val="Heading1"/>
      </w:pPr>
      <w:bookmarkStart w:id="1" w:name="O_638336"/>
      <w:bookmarkEnd w:id="1"/>
      <w:r w:rsidRPr="00B73D0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3E7F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Points</w:t>
            </w:r>
          </w:p>
        </w:tc>
      </w:tr>
      <w:tr w:rsidTr="003E7F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t>10</w:t>
            </w:r>
          </w:p>
        </w:tc>
      </w:tr>
    </w:tbl>
    <w:p w:rsidR="00000000" w:rsidRPr="00B73D0A" w:rsidP="00B73D0A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3E7F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10</w:t>
            </w:r>
          </w:p>
        </w:tc>
      </w:tr>
      <w:tr w:rsidTr="003E7F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 xml:space="preserve">Core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Correct title of UEENEEK142A - Apply environmentally and sustainable procedures in the energy sector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Correct title of UEENEEF102A - Install and maintain cabling for multiple access to telecommunication services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120</w:t>
            </w:r>
          </w:p>
        </w:tc>
      </w:tr>
      <w:tr w:rsidTr="003E7F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Correct title of UEENEEC002B - Source and purchase material/parts for installation or service jobs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D0A" w:rsidP="00B73D0A">
            <w:pPr>
              <w:pStyle w:val="BodyText"/>
            </w:pPr>
            <w:r w:rsidRPr="00B73D0A">
              <w:t>20</w:t>
            </w:r>
          </w:p>
        </w:tc>
      </w:tr>
    </w:tbl>
    <w:p w:rsidR="00000000" w:rsidRPr="00B73D0A" w:rsidP="00B73D0A">
      <w:pPr>
        <w:pStyle w:val="BodyText"/>
      </w:pPr>
    </w:p>
    <w:p w:rsidR="00000000" w:rsidRPr="00B73D0A" w:rsidP="00B73D0A">
      <w:pPr>
        <w:pStyle w:val="AllowPageBreak"/>
      </w:pPr>
    </w:p>
    <w:p w:rsidR="00000000" w:rsidRPr="00B73D0A" w:rsidP="00B73D0A">
      <w:pPr>
        <w:pStyle w:val="Heading1"/>
      </w:pPr>
      <w:bookmarkStart w:id="2" w:name="O_638335"/>
      <w:bookmarkEnd w:id="2"/>
      <w:r w:rsidRPr="00B73D0A">
        <w:t>Description</w:t>
      </w:r>
    </w:p>
    <w:p w:rsidR="00000000" w:rsidRPr="00B73D0A" w:rsidP="003E7F42">
      <w:pPr>
        <w:pStyle w:val="Heading3"/>
      </w:pPr>
      <w:r w:rsidRPr="00B73D0A">
        <w:rPr>
          <w:rStyle w:val="SpecialBold"/>
        </w:rPr>
        <w:t>Scope</w:t>
      </w:r>
    </w:p>
    <w:p w:rsidR="00000000" w:rsidRPr="00B73D0A" w:rsidP="003E7F42">
      <w:pPr>
        <w:pStyle w:val="BodyText"/>
      </w:pPr>
      <w:r w:rsidRPr="00B73D0A">
        <w:t>This qualification provides competencies to select, assemble, set up and maintain simple equipment and systems to a p</w:t>
      </w:r>
      <w:r w:rsidRPr="00B73D0A">
        <w:t>rescribed routine Certification of telecommunication cabling in buildings and premises. It includes ACMA requirements for Open Cabler registration.</w:t>
      </w:r>
    </w:p>
    <w:p w:rsidR="003E7F42" w:rsidP="003E7F42">
      <w:pPr>
        <w:pStyle w:val="BodyText"/>
      </w:pPr>
      <w:r w:rsidRPr="00B73D0A">
        <w:rPr>
          <w:rStyle w:val="SpecialBold"/>
        </w:rPr>
        <w:t>^ From 1 July 2022 the elective unit HLTAID001 must no longer be delivered and will be replaced in the Packa</w:t>
      </w:r>
      <w:r w:rsidRPr="00B73D0A">
        <w:rPr>
          <w:rStyle w:val="SpecialBold"/>
        </w:rPr>
        <w:t>ging Rules by the unit HLTAID009</w:t>
      </w:r>
      <w:r w:rsidRPr="00B73D0A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733BE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B73D0A" w:rsidP="00B73D0A">
      <w:pPr>
        <w:pStyle w:val="Heading1"/>
      </w:pPr>
      <w:bookmarkStart w:id="3" w:name="O_638334"/>
      <w:bookmarkEnd w:id="3"/>
      <w:r w:rsidRPr="00B73D0A">
        <w:t>Pathways Information</w:t>
      </w:r>
    </w:p>
    <w:p w:rsidR="00000000" w:rsidRPr="00B73D0A" w:rsidP="003E7F42">
      <w:pPr>
        <w:pStyle w:val="BodyText"/>
      </w:pPr>
      <w:r w:rsidRPr="00B73D0A">
        <w:t>Not applicable.</w:t>
      </w:r>
    </w:p>
    <w:p w:rsidR="00000000" w:rsidRPr="00B73D0A" w:rsidP="00B73D0A">
      <w:pPr>
        <w:pStyle w:val="Heading1"/>
      </w:pPr>
      <w:bookmarkStart w:id="4" w:name="O_638333"/>
      <w:bookmarkEnd w:id="4"/>
      <w:r w:rsidRPr="00B73D0A">
        <w:t>Licensing/Regulatory Information</w:t>
      </w:r>
    </w:p>
    <w:p w:rsidR="00000000" w:rsidRPr="00B73D0A" w:rsidP="003E7F42">
      <w:pPr>
        <w:pStyle w:val="BodyText"/>
      </w:pPr>
      <w:r w:rsidRPr="00B73D0A">
        <w:t>Not app</w:t>
      </w:r>
      <w:r w:rsidRPr="00B73D0A">
        <w:t>licable.</w:t>
      </w:r>
    </w:p>
    <w:p w:rsidR="00000000" w:rsidRPr="00B73D0A" w:rsidP="00B73D0A">
      <w:pPr>
        <w:pStyle w:val="Heading1"/>
      </w:pPr>
      <w:bookmarkStart w:id="5" w:name="O_638332"/>
      <w:bookmarkEnd w:id="5"/>
      <w:r w:rsidRPr="00B73D0A">
        <w:t>Entry Requirements</w:t>
      </w:r>
    </w:p>
    <w:p w:rsidR="00000000" w:rsidRPr="00B73D0A" w:rsidP="003E7F42">
      <w:pPr>
        <w:pStyle w:val="BodyText"/>
      </w:pPr>
      <w:r w:rsidRPr="00B73D0A">
        <w:t>Not applicable.</w:t>
      </w:r>
    </w:p>
    <w:p w:rsidR="00000000" w:rsidRPr="00B73D0A" w:rsidP="00B73D0A">
      <w:pPr>
        <w:pStyle w:val="Heading1"/>
      </w:pPr>
      <w:bookmarkStart w:id="6" w:name="O_638331"/>
      <w:bookmarkEnd w:id="6"/>
      <w:r w:rsidRPr="00B73D0A">
        <w:t>Employability Skills Summary</w:t>
      </w:r>
    </w:p>
    <w:p w:rsidR="00000000" w:rsidRPr="00B73D0A" w:rsidP="003E7F42">
      <w:pPr>
        <w:pStyle w:val="BodyText"/>
      </w:pPr>
      <w:r w:rsidRPr="00B73D0A">
        <w:t>Not applicable.</w:t>
      </w:r>
    </w:p>
    <w:p w:rsidR="00000000" w:rsidRPr="00B73D0A" w:rsidP="00B73D0A">
      <w:pPr>
        <w:pStyle w:val="Heading1"/>
      </w:pPr>
      <w:bookmarkStart w:id="7" w:name="O_638330"/>
      <w:bookmarkEnd w:id="7"/>
      <w:r w:rsidRPr="00B73D0A">
        <w:t>Packaging Rules</w:t>
      </w:r>
    </w:p>
    <w:p w:rsidR="00000000" w:rsidRPr="00B73D0A" w:rsidP="003E7F42">
      <w:pPr>
        <w:pStyle w:val="Heading3"/>
      </w:pPr>
      <w:r w:rsidRPr="00B73D0A">
        <w:rPr>
          <w:rStyle w:val="SpecialBold"/>
        </w:rPr>
        <w:t>Completion requirements</w:t>
      </w:r>
    </w:p>
    <w:p w:rsidR="00000000" w:rsidRPr="00B73D0A" w:rsidP="003E7F42">
      <w:pPr>
        <w:pStyle w:val="BodyText"/>
      </w:pPr>
      <w:r w:rsidRPr="00B73D0A">
        <w:t>The requirements for granting this qualification will be met when competency is demonstrated and achieved for:</w:t>
      </w:r>
    </w:p>
    <w:p w:rsidR="00000000" w:rsidRPr="00B73D0A" w:rsidP="00B73D0A">
      <w:pPr>
        <w:pStyle w:val="ListBullet"/>
      </w:pPr>
      <w:r w:rsidRPr="00B73D0A">
        <w:t>All the Core competency standard units, defined in the Core Competency Standard Units table below and</w:t>
      </w:r>
    </w:p>
    <w:p w:rsidR="00000000" w:rsidRPr="00B73D0A" w:rsidP="00B73D0A">
      <w:pPr>
        <w:pStyle w:val="ListBullet"/>
      </w:pPr>
      <w:r w:rsidRPr="00B73D0A">
        <w:t>A combination of Elective competency stand</w:t>
      </w:r>
      <w:r w:rsidRPr="00B73D0A">
        <w:t>ard units to achieve a total weighting of 40 points in accordance with the Elective Competency Standard Units table below.</w:t>
      </w:r>
    </w:p>
    <w:p w:rsidR="00000000" w:rsidRPr="00B73D0A" w:rsidP="00B73D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2"/>
        <w:gridCol w:w="5555"/>
        <w:gridCol w:w="1291"/>
      </w:tblGrid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 xml:space="preserve">Core Competency Standard Units </w:t>
            </w:r>
          </w:p>
          <w:p w:rsidR="00000000" w:rsidRPr="00B73D0A" w:rsidP="00B73D0A">
            <w:pPr>
              <w:pStyle w:val="BodyText"/>
            </w:pPr>
            <w:r w:rsidRPr="00B73D0A">
              <w:t>All Core competency standard units to be achieved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rPr>
                <w:rStyle w:val="SpecialBold"/>
              </w:rPr>
              <w:t>Weighting Points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UEENEEE038B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Participate in development and follow a personal competency development plan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UEENEEE101A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Apply Occupational Health and Safety regulations, codes and practices in the workplace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UEENEEE102A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Fabricate, assemble and dismantle utilities industry compone</w:t>
            </w:r>
            <w:r w:rsidRPr="00B73D0A">
              <w:t>nts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40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UEENEEE104A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Solve problems in d.c. circuits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80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UEENEEE105A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Fix and secure electrotechnology equipment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UEENEEE107A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Use drawings, diagrams, schedules, standards, codes and specifications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40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UEENEEE137A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Document and apply measures to control OHS risks associated with electrotechnology work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UEENEEF102A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Install and maintain cabling for multiple access to telecommunication services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120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UEENEEK142A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Apply environmentally and sustainable procedures in the energy sector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7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Total points in core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380</w:t>
            </w:r>
          </w:p>
        </w:tc>
      </w:tr>
    </w:tbl>
    <w:p w:rsidR="00000000" w:rsidRPr="00B73D0A" w:rsidP="00B73D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5385"/>
        <w:gridCol w:w="1276"/>
        <w:gridCol w:w="1418"/>
      </w:tblGrid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  <w:tblHeader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Elective Competency Standard Units</w:t>
            </w:r>
          </w:p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Complete Elective units to achieve a total of weighting of 40 points from the following groups: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  <w:tblHeader/>
        </w:trPr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Minimum points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rPr>
                <w:rStyle w:val="SpecialBold"/>
              </w:rPr>
              <w:t>Maximum points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A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Imported and Common Elective Units</w:t>
            </w:r>
          </w:p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Imported units from other training packages and/or state accredited courses can be added to this group, but they must be selected from qualifications where the unit is first packaged at AQ</w:t>
            </w:r>
            <w:r w:rsidRPr="00B73D0A">
              <w:t>F level 2.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B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 xml:space="preserve">Qualification Elective Units </w:t>
            </w:r>
          </w:p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D0A" w:rsidP="00B73D0A">
            <w:pPr>
              <w:pStyle w:val="BodyText"/>
            </w:pPr>
            <w:r w:rsidRPr="00B73D0A">
              <w:t>40</w:t>
            </w:r>
          </w:p>
        </w:tc>
      </w:tr>
    </w:tbl>
    <w:p w:rsidR="00000000" w:rsidRPr="00B73D0A" w:rsidP="00B73D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Group A – Imported and Common Elective Units</w:t>
            </w:r>
          </w:p>
          <w:p w:rsidR="00000000" w:rsidRPr="00B73D0A" w:rsidP="00B73D0A">
            <w:pPr>
              <w:pStyle w:val="BodyText"/>
            </w:pPr>
            <w:r w:rsidRPr="00B73D0A">
              <w:t>You may complete units to a maximum weighting of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rPr>
                <w:rStyle w:val="SpecialBold"/>
              </w:rPr>
              <w:t>Weighting Points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UEENEEC001B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UEENEEC002B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UEENEEC008B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Receive and store materials and equipment for electrotechnology 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UEENEEC010B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UEENEEE020B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20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CPCCOHS1001A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10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t>HLTAID001</w:t>
            </w:r>
          </w:p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rPr>
                <w:rStyle w:val="SpecialBold"/>
              </w:rPr>
              <w:t>^ HLTAID009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t>Provide cardiopulmonary resuscitstion</w:t>
            </w:r>
          </w:p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rPr>
                <w:rStyle w:val="SpecialBold"/>
              </w:rPr>
              <w:t>Provide cardiopulmonary resuscitation (must be delivered from 1 July 2022)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10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t>Imported units from other training packages and/or state accredited cou</w:t>
            </w:r>
            <w:r w:rsidRPr="00B73D0A">
              <w:t xml:space="preserve">rses can be added to this group, but they must be selected from qualifications where the unit is first packaged at AQF level 2.  If units have not being assigned a weighting by the relevant EE-Oz Industry Technical Advisory Committee, their weighting will </w:t>
            </w:r>
            <w:r w:rsidRPr="00B73D0A">
              <w:t xml:space="preserve">be 10 points. </w:t>
            </w:r>
          </w:p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Note: For further information see Application of the NQC Flexibility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</w:p>
          <w:p w:rsidR="00000000" w:rsidRPr="00B73D0A" w:rsidP="00B73D0A">
            <w:pPr>
              <w:pStyle w:val="BodyText"/>
            </w:pPr>
            <w:r w:rsidRPr="00B73D0A">
              <w:t>Up to 20 points</w:t>
            </w:r>
          </w:p>
        </w:tc>
      </w:tr>
    </w:tbl>
    <w:p w:rsidR="00000000" w:rsidRPr="00B73D0A" w:rsidP="00B73D0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rPr>
                <w:rStyle w:val="SpecialBold"/>
              </w:rPr>
              <w:t>Group B – Qualification Electives</w:t>
            </w:r>
          </w:p>
          <w:p w:rsidR="00000000" w:rsidRPr="00B73D0A" w:rsidP="00B73D0A">
            <w:pPr>
              <w:pStyle w:val="BodyText"/>
            </w:pPr>
            <w:r w:rsidRPr="00B73D0A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rPr>
                <w:rStyle w:val="SpecialBold"/>
              </w:rPr>
              <w:t>Weighting Points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UEENEEE108A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Lay wiring/cabling and terminate accessories for extra-low voltage (ELV) circuits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40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UEENEEF107A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Set up and configure the wireless capab</w:t>
            </w:r>
            <w:r w:rsidRPr="00B73D0A">
              <w:t>ilities of communications and data storage devices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40</w:t>
            </w:r>
          </w:p>
        </w:tc>
      </w:tr>
      <w:tr w:rsidTr="003E7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UEENEEH102A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0A">
            <w:pPr>
              <w:pStyle w:val="BodyText"/>
              <w:rPr>
                <w:lang w:val="en-NZ"/>
              </w:rPr>
            </w:pPr>
            <w:r w:rsidRPr="00B73D0A">
              <w:t>Repairs basic electronic apparatus faults by replacement of components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0A" w:rsidP="00B73D0A">
            <w:pPr>
              <w:pStyle w:val="BodyText"/>
            </w:pPr>
            <w:r w:rsidRPr="00B73D0A">
              <w:t>40</w:t>
            </w:r>
          </w:p>
        </w:tc>
      </w:tr>
    </w:tbl>
    <w:p w:rsidR="00000000" w:rsidRPr="00B73D0A" w:rsidP="00B73D0A">
      <w:pPr>
        <w:pStyle w:val="BodyText"/>
      </w:pPr>
    </w:p>
    <w:p w:rsidR="00000000" w:rsidRPr="00B73D0A" w:rsidP="003E7F42">
      <w:pPr>
        <w:pStyle w:val="BodyText"/>
      </w:pPr>
      <w:r w:rsidRPr="00B73D0A">
        <w:rPr>
          <w:rStyle w:val="SpecialBold"/>
        </w:rPr>
        <w:t xml:space="preserve">Note: </w:t>
      </w:r>
      <w:r w:rsidRPr="00B73D0A">
        <w:br/>
        <w:t>1. Prerequisite pathways shall be identified and met for all elective units selected.</w:t>
      </w:r>
    </w:p>
    <w:p w:rsidR="00000000" w:rsidRPr="00B73D0A" w:rsidP="003E7F42">
      <w:pPr>
        <w:pStyle w:val="BodyText"/>
      </w:pPr>
      <w:r w:rsidRPr="00B73D0A">
        <w:t>2. In selecting elective units considerations to career planning advice should be given to units that form part of a prerequisite pathway for the progression to achieve particular competencies or qualification at a higher level.</w:t>
      </w:r>
    </w:p>
    <w:p w:rsidR="00000000" w:rsidRPr="00B73D0A" w:rsidP="003E7F42">
      <w:pPr>
        <w:pStyle w:val="Heading4"/>
      </w:pPr>
      <w:r w:rsidRPr="00B73D0A">
        <w:rPr>
          <w:rStyle w:val="SpecialBold"/>
        </w:rPr>
        <w:t>END OF QUALIFICATION</w:t>
      </w:r>
    </w:p>
    <w:p w:rsidR="00000000" w:rsidRPr="00B73D0A" w:rsidP="00B73D0A">
      <w:pPr>
        <w:pStyle w:val="Heading1"/>
      </w:pPr>
      <w:bookmarkStart w:id="8" w:name="O_638329"/>
      <w:bookmarkEnd w:id="8"/>
      <w:r w:rsidRPr="00B73D0A">
        <w:t>Custom Content Section</w:t>
      </w:r>
    </w:p>
    <w:p w:rsidR="00000000" w:rsidRPr="00B73D0A" w:rsidP="003E7F42">
      <w:pPr>
        <w:pStyle w:val="BodyText"/>
      </w:pPr>
      <w:r w:rsidRPr="00B73D0A">
        <w:t>Not applicable.</w:t>
      </w:r>
    </w:p>
    <w:p w:rsidR="00000000" w:rsidRPr="00B73D0A" w:rsidP="00B73D0A"/>
    <w:sectPr w:rsidSect="00B73D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A" w:rsidRPr="003E7F42" w:rsidP="003E7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42" w:rsidP="00B73D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F42" w:rsidP="00B73D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7F42" w:rsidP="00B73D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D0A" w:rsidRPr="003E7F42" w:rsidP="003E7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42" w:rsidRPr="002D2AF8" w:rsidP="00B73D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UEE20711 Certificate II in Data and Voice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3E7F42" w:rsidP="00B73D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E3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2A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D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D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D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D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D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D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D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D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D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D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D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D0A"/>
  </w:style>
  <w:style w:type="character" w:customStyle="1" w:styleId="Heading1Char">
    <w:name w:val="Heading 1 Char"/>
    <w:basedOn w:val="DefaultParagraphFont"/>
    <w:link w:val="Heading1"/>
    <w:rsid w:val="00B73D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D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D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D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D0A"/>
    <w:rPr>
      <w:b/>
      <w:spacing w:val="0"/>
    </w:rPr>
  </w:style>
  <w:style w:type="paragraph" w:customStyle="1" w:styleId="SuperHeading">
    <w:name w:val="SuperHeading"/>
    <w:basedOn w:val="Normal"/>
    <w:rsid w:val="00B73D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D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D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D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D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D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D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D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D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D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D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D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D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D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D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D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D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D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D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D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D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D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D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D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D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D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D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D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D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D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D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D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D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D0A"/>
    <w:rPr>
      <w:i/>
    </w:rPr>
  </w:style>
  <w:style w:type="paragraph" w:styleId="Caption">
    <w:name w:val="caption"/>
    <w:basedOn w:val="BodyText"/>
    <w:next w:val="Normal"/>
    <w:qFormat/>
    <w:rsid w:val="00B73D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D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D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D0A"/>
  </w:style>
  <w:style w:type="paragraph" w:styleId="TableofFigures">
    <w:name w:val="table of figures"/>
    <w:basedOn w:val="Normal"/>
    <w:next w:val="Normal"/>
    <w:semiHidden/>
    <w:rsid w:val="00B73D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D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D0A"/>
    <w:rPr>
      <w:rFonts w:ascii="Wingdings" w:hAnsi="Wingdings"/>
    </w:rPr>
  </w:style>
  <w:style w:type="paragraph" w:customStyle="1" w:styleId="TableHeading">
    <w:name w:val="Table Heading"/>
    <w:basedOn w:val="HeadingBase"/>
    <w:rsid w:val="00B73D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D0A"/>
    <w:rPr>
      <w:color w:val="0033CC"/>
      <w:u w:val="none"/>
    </w:rPr>
  </w:style>
  <w:style w:type="paragraph" w:customStyle="1" w:styleId="BodyTextRight">
    <w:name w:val="Body Text Right"/>
    <w:basedOn w:val="BodyText"/>
    <w:rsid w:val="00B73D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D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D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D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D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D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D0A"/>
    <w:rPr>
      <w:sz w:val="32"/>
    </w:rPr>
  </w:style>
  <w:style w:type="paragraph" w:customStyle="1" w:styleId="HeadingProcedure">
    <w:name w:val="Heading Procedure"/>
    <w:basedOn w:val="HeadingBase"/>
    <w:next w:val="Normal"/>
    <w:rsid w:val="00B73D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D0A"/>
    <w:pPr>
      <w:spacing w:before="60" w:after="60"/>
    </w:pPr>
  </w:style>
  <w:style w:type="paragraph" w:styleId="ListContinue">
    <w:name w:val="List Continue"/>
    <w:basedOn w:val="List"/>
    <w:rsid w:val="00B73D0A"/>
    <w:pPr>
      <w:ind w:firstLine="0"/>
    </w:pPr>
  </w:style>
  <w:style w:type="paragraph" w:customStyle="1" w:styleId="ListNote">
    <w:name w:val="List Note"/>
    <w:basedOn w:val="List"/>
    <w:rsid w:val="00B73D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D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D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D0A"/>
    <w:rPr>
      <w:rFonts w:ascii="Courier New" w:hAnsi="Courier New"/>
    </w:rPr>
  </w:style>
  <w:style w:type="paragraph" w:customStyle="1" w:styleId="NoteBullet">
    <w:name w:val="Note Bullet"/>
    <w:basedOn w:val="Note"/>
    <w:rsid w:val="00B73D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D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D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D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D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D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D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D0A"/>
    <w:rPr>
      <w:b/>
      <w:smallCaps/>
    </w:rPr>
  </w:style>
  <w:style w:type="paragraph" w:customStyle="1" w:styleId="TableListNumber">
    <w:name w:val="Table List Number"/>
    <w:basedOn w:val="ListNumber"/>
    <w:rsid w:val="00B73D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D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D0A"/>
    <w:pPr>
      <w:numPr>
        <w:numId w:val="8"/>
      </w:numPr>
    </w:pPr>
  </w:style>
  <w:style w:type="paragraph" w:customStyle="1" w:styleId="ListAlpha2">
    <w:name w:val="List Alpha 2"/>
    <w:basedOn w:val="List2"/>
    <w:rsid w:val="00B73D0A"/>
    <w:pPr>
      <w:numPr>
        <w:numId w:val="7"/>
      </w:numPr>
    </w:pPr>
  </w:style>
  <w:style w:type="paragraph" w:styleId="List2">
    <w:name w:val="List 2"/>
    <w:basedOn w:val="BodyText"/>
    <w:rsid w:val="00B73D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D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D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D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D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D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D0A"/>
    <w:pPr>
      <w:numPr>
        <w:numId w:val="3"/>
      </w:numPr>
    </w:pPr>
  </w:style>
  <w:style w:type="paragraph" w:styleId="ListContinue2">
    <w:name w:val="List Continue 2"/>
    <w:basedOn w:val="List2"/>
    <w:rsid w:val="00B73D0A"/>
    <w:pPr>
      <w:ind w:firstLine="0"/>
    </w:pPr>
  </w:style>
  <w:style w:type="paragraph" w:styleId="ListContinue3">
    <w:name w:val="List Continue 3"/>
    <w:basedOn w:val="List3"/>
    <w:rsid w:val="00B73D0A"/>
    <w:pPr>
      <w:ind w:left="1021" w:firstLine="0"/>
    </w:pPr>
  </w:style>
  <w:style w:type="paragraph" w:styleId="ListContinue4">
    <w:name w:val="List Continue 4"/>
    <w:basedOn w:val="List4"/>
    <w:rsid w:val="00B73D0A"/>
    <w:pPr>
      <w:ind w:firstLine="0"/>
    </w:pPr>
  </w:style>
  <w:style w:type="paragraph" w:styleId="ListContinue5">
    <w:name w:val="List Continue 5"/>
    <w:basedOn w:val="List5"/>
    <w:rsid w:val="00B73D0A"/>
    <w:pPr>
      <w:ind w:firstLine="0"/>
    </w:pPr>
  </w:style>
  <w:style w:type="paragraph" w:styleId="ListNumber3">
    <w:name w:val="List Number 3"/>
    <w:basedOn w:val="List3"/>
    <w:rsid w:val="00B73D0A"/>
    <w:pPr>
      <w:numPr>
        <w:numId w:val="4"/>
      </w:numPr>
    </w:pPr>
  </w:style>
  <w:style w:type="paragraph" w:styleId="ListNumber4">
    <w:name w:val="List Number 4"/>
    <w:basedOn w:val="List4"/>
    <w:rsid w:val="00B73D0A"/>
    <w:pPr>
      <w:numPr>
        <w:numId w:val="5"/>
      </w:numPr>
    </w:pPr>
  </w:style>
  <w:style w:type="paragraph" w:styleId="ListNumber5">
    <w:name w:val="List Number 5"/>
    <w:basedOn w:val="List5"/>
    <w:rsid w:val="00B73D0A"/>
    <w:pPr>
      <w:numPr>
        <w:numId w:val="6"/>
      </w:numPr>
    </w:pPr>
  </w:style>
  <w:style w:type="paragraph" w:styleId="BlockText">
    <w:name w:val="Block Text"/>
    <w:basedOn w:val="Normal"/>
    <w:rsid w:val="00B73D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D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D0A"/>
    <w:rPr>
      <w:sz w:val="16"/>
      <w:vertAlign w:val="superscript"/>
    </w:rPr>
  </w:style>
  <w:style w:type="character" w:customStyle="1" w:styleId="Symbols">
    <w:name w:val="Symbols"/>
    <w:basedOn w:val="DefaultParagraphFont"/>
    <w:rsid w:val="00B73D0A"/>
    <w:rPr>
      <w:rFonts w:ascii="Symbol" w:hAnsi="Symbol"/>
    </w:rPr>
  </w:style>
  <w:style w:type="character" w:customStyle="1" w:styleId="MenuOptions">
    <w:name w:val="Menu Options"/>
    <w:basedOn w:val="DefaultParagraphFont"/>
    <w:rsid w:val="00B73D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D0A"/>
    <w:rPr>
      <w:b/>
    </w:rPr>
  </w:style>
  <w:style w:type="character" w:customStyle="1" w:styleId="Underlined">
    <w:name w:val="Underlined"/>
    <w:basedOn w:val="DefaultParagraphFont"/>
    <w:rsid w:val="00B73D0A"/>
    <w:rPr>
      <w:u w:val="single"/>
    </w:rPr>
  </w:style>
  <w:style w:type="paragraph" w:customStyle="1" w:styleId="TableBodyTextRight">
    <w:name w:val="Table Body Text Right"/>
    <w:basedOn w:val="TableBodyText"/>
    <w:rsid w:val="00B73D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D0A"/>
    <w:rPr>
      <w:sz w:val="18"/>
    </w:rPr>
  </w:style>
  <w:style w:type="paragraph" w:customStyle="1" w:styleId="BodySmallRight">
    <w:name w:val="Body Small Right"/>
    <w:basedOn w:val="BodyTextRight"/>
    <w:rsid w:val="00B73D0A"/>
    <w:rPr>
      <w:sz w:val="18"/>
      <w:szCs w:val="18"/>
    </w:rPr>
  </w:style>
  <w:style w:type="paragraph" w:customStyle="1" w:styleId="MarginEdition">
    <w:name w:val="Margin Edition"/>
    <w:basedOn w:val="MarginNote"/>
    <w:rsid w:val="00B73D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D0A"/>
    <w:rPr>
      <w:sz w:val="2"/>
      <w:szCs w:val="2"/>
    </w:rPr>
  </w:style>
  <w:style w:type="character" w:customStyle="1" w:styleId="Small">
    <w:name w:val="Small"/>
    <w:basedOn w:val="DefaultParagraphFont"/>
    <w:rsid w:val="00B73D0A"/>
    <w:rPr>
      <w:sz w:val="16"/>
    </w:rPr>
  </w:style>
  <w:style w:type="paragraph" w:customStyle="1" w:styleId="WideTable">
    <w:name w:val="Wide Table"/>
    <w:basedOn w:val="Normal"/>
    <w:rsid w:val="00B73D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D0A"/>
  </w:style>
  <w:style w:type="paragraph" w:styleId="Quote">
    <w:name w:val="Quote"/>
    <w:basedOn w:val="Heading1"/>
    <w:link w:val="QuoteChar"/>
    <w:qFormat/>
    <w:rsid w:val="00B73D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D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D0A"/>
    <w:pPr>
      <w:pageBreakBefore/>
    </w:pPr>
  </w:style>
  <w:style w:type="paragraph" w:customStyle="1" w:styleId="Border">
    <w:name w:val="Border"/>
    <w:basedOn w:val="Normal"/>
    <w:qFormat/>
    <w:rsid w:val="00B73D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D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D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D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D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D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D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D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D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D0A"/>
    <w:rPr>
      <w:u w:val="single"/>
    </w:rPr>
  </w:style>
  <w:style w:type="character" w:customStyle="1" w:styleId="BoldandItalics">
    <w:name w:val="Bold and Italics"/>
    <w:qFormat/>
    <w:rsid w:val="00B73D0A"/>
    <w:rPr>
      <w:b/>
      <w:i/>
      <w:u w:val="none"/>
    </w:rPr>
  </w:style>
  <w:style w:type="paragraph" w:styleId="BalloonText">
    <w:name w:val="Balloon Text"/>
    <w:basedOn w:val="Normal"/>
    <w:link w:val="BalloonTextChar"/>
    <w:rsid w:val="00B73D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D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D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D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D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D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D0A"/>
    <w:pPr>
      <w:spacing w:before="0" w:after="0"/>
    </w:pPr>
  </w:style>
  <w:style w:type="paragraph" w:customStyle="1" w:styleId="BodyTextBold">
    <w:name w:val="Body Text Bold"/>
    <w:basedOn w:val="BodyText"/>
    <w:qFormat/>
    <w:rsid w:val="00B73D0A"/>
    <w:rPr>
      <w:b/>
    </w:rPr>
  </w:style>
  <w:style w:type="character" w:styleId="Hyperlink">
    <w:name w:val="Hyperlink"/>
    <w:basedOn w:val="DefaultParagraphFont"/>
    <w:uiPriority w:val="99"/>
    <w:unhideWhenUsed/>
    <w:rsid w:val="003E7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4680</Characters>
  <Application>Microsoft Office Word</Application>
  <DocSecurity>0</DocSecurity>
  <Lines>234</Lines>
  <Paragraphs>170</Paragraphs>
  <ScaleCrop>false</ScaleCrop>
  <Company>Author-it Software Corporation Ltd.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UEE20711 Certificate II in Data and Voice Communications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2022-12-22T21:59:00Z</dcterms:created>
  <dcterms:modified xsi:type="dcterms:W3CDTF">2022-12-22T21:59:00Z</dcterms:modified>
</cp:coreProperties>
</file>