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8C8" w:rsidP="009168C8">
      <w:pPr>
        <w:pStyle w:val="Title"/>
      </w:pPr>
      <w:r>
        <w:fldChar w:fldCharType="begin"/>
      </w:r>
      <w:r>
        <w:instrText xml:space="preserve"> TITLE   \* MERGEFORMAT </w:instrText>
      </w:r>
      <w:r>
        <w:fldChar w:fldCharType="separate"/>
      </w:r>
      <w:r>
        <w:t>UEENEER005B Contribute to intellectual property management</w:t>
      </w:r>
      <w:r>
        <w:fldChar w:fldCharType="end"/>
      </w:r>
    </w:p>
    <w:p w:rsidR="009168C8" w:rsidP="009168C8">
      <w:pPr>
        <w:pStyle w:val="Version"/>
        <w:sectPr w:rsidSect="006851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514E" w:rsidP="0068514E">
      <w:pPr>
        <w:pStyle w:val="SuperHeading"/>
      </w:pPr>
      <w:r w:rsidRPr="0068514E">
        <w:t>UEENEER005B Contribute to intellectual property management</w:t>
      </w:r>
    </w:p>
    <w:p w:rsidR="00000000" w:rsidRPr="0068514E" w:rsidP="0068514E">
      <w:pPr>
        <w:pStyle w:val="Heading1"/>
      </w:pPr>
      <w:bookmarkStart w:id="1" w:name="O_444113"/>
      <w:bookmarkEnd w:id="1"/>
      <w:r w:rsidRPr="0068514E">
        <w:t>Modification History</w:t>
      </w:r>
    </w:p>
    <w:p w:rsidR="00000000" w:rsidRPr="0068514E" w:rsidP="0068514E">
      <w:pPr>
        <w:pStyle w:val="BodyText"/>
      </w:pPr>
      <w:r w:rsidRPr="0068514E">
        <w:t>Not Applicable</w:t>
      </w:r>
    </w:p>
    <w:p w:rsidR="00000000" w:rsidRPr="0068514E" w:rsidP="0068514E">
      <w:pPr>
        <w:pStyle w:val="AllowPageBreak"/>
      </w:pPr>
    </w:p>
    <w:p w:rsidR="00000000" w:rsidRPr="0068514E" w:rsidP="0068514E">
      <w:pPr>
        <w:pStyle w:val="Heading1"/>
      </w:pPr>
      <w:bookmarkStart w:id="2" w:name="O_444109"/>
      <w:bookmarkEnd w:id="2"/>
      <w:r w:rsidRPr="0068514E">
        <w:t>Unit Descriptor</w:t>
      </w:r>
    </w:p>
    <w:tbl>
      <w:tblPr>
        <w:tblW w:w="0" w:type="auto"/>
        <w:tblLayout w:type="fixed"/>
        <w:tblCellMar>
          <w:left w:w="62" w:type="dxa"/>
          <w:right w:w="62" w:type="dxa"/>
        </w:tblCellMar>
        <w:tblLook w:val="0000"/>
      </w:tblPr>
      <w:tblGrid>
        <w:gridCol w:w="2700"/>
        <w:gridCol w:w="5760"/>
      </w:tblGrid>
      <w:tr w:rsidTr="009168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1</w:t>
            </w:r>
            <w:r w:rsidRPr="0068514E">
              <w:t xml:space="preserve">) </w:t>
            </w:r>
          </w:p>
          <w:p w:rsidR="00000000" w:rsidP="0068514E">
            <w:pPr>
              <w:pStyle w:val="BodyText"/>
              <w:rPr>
                <w:lang w:val="en-NZ"/>
              </w:rPr>
            </w:pPr>
            <w:r w:rsidRPr="0068514E">
              <w:rPr>
                <w:rStyle w:val="SpecialBold"/>
              </w:rPr>
              <w:t>1</w:t>
            </w:r>
            <w:r w:rsidRPr="0068514E">
              <w:t>.</w:t>
            </w:r>
            <w:r w:rsidRPr="0068514E">
              <w:rPr>
                <w:rStyle w:val="SpecialBold"/>
              </w:rPr>
              <w:t>1</w:t>
            </w:r>
            <w:r w:rsidRPr="0068514E">
              <w:t xml:space="preserve">) </w:t>
            </w:r>
            <w:r w:rsidRPr="0068514E">
              <w:rPr>
                <w:rStyle w:val="SpecialBold"/>
              </w:rPr>
              <w:t>Descriptor</w:t>
            </w:r>
          </w:p>
        </w:tc>
      </w:tr>
      <w:tr w:rsidTr="009168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t>This unit covers the ability to assist in the planning, management and protection of an organisation's Intellectual Property.</w:t>
            </w:r>
          </w:p>
        </w:tc>
      </w:tr>
    </w:tbl>
    <w:p w:rsidR="009168C8" w:rsidP="0068514E">
      <w:pPr>
        <w:pStyle w:val="BodyText"/>
      </w:pPr>
    </w:p>
    <w:p w:rsidR="009168C8" w:rsidP="0068514E">
      <w:pPr>
        <w:pStyle w:val="BodyText"/>
      </w:pPr>
    </w:p>
    <w:p w:rsidR="00000000" w:rsidRPr="0068514E" w:rsidP="0068514E">
      <w:pPr>
        <w:pStyle w:val="Heading1"/>
      </w:pPr>
      <w:bookmarkStart w:id="3" w:name="O_444122"/>
      <w:bookmarkEnd w:id="3"/>
      <w:r w:rsidRPr="0068514E">
        <w:t>Application of the Unit</w:t>
      </w:r>
    </w:p>
    <w:tbl>
      <w:tblPr>
        <w:tblW w:w="0" w:type="auto"/>
        <w:tblLayout w:type="fixed"/>
        <w:tblCellMar>
          <w:left w:w="62" w:type="dxa"/>
          <w:right w:w="62" w:type="dxa"/>
        </w:tblCellMar>
        <w:tblLook w:val="0000"/>
      </w:tblPr>
      <w:tblGrid>
        <w:gridCol w:w="2700"/>
        <w:gridCol w:w="5760"/>
      </w:tblGrid>
      <w:tr w:rsidTr="009168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rPr>
                <w:rStyle w:val="SpecialBold"/>
              </w:rPr>
              <w:t>4</w:t>
            </w:r>
            <w:r w:rsidRPr="0068514E">
              <w:t>)</w:t>
            </w:r>
          </w:p>
        </w:tc>
      </w:tr>
      <w:tr w:rsidTr="009168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t>This unit applies to any recognised development program that leads to the acquisition of a formal award at AQF level 5 or higher.</w:t>
            </w:r>
          </w:p>
        </w:tc>
      </w:tr>
    </w:tbl>
    <w:p w:rsidR="009168C8" w:rsidP="0068514E">
      <w:pPr>
        <w:pStyle w:val="BodyText"/>
      </w:pPr>
    </w:p>
    <w:p w:rsidR="009168C8" w:rsidP="0068514E">
      <w:pPr>
        <w:pStyle w:val="BodyText"/>
      </w:pPr>
    </w:p>
    <w:p w:rsidR="00000000" w:rsidRPr="0068514E" w:rsidP="0068514E">
      <w:pPr>
        <w:pStyle w:val="Heading1"/>
      </w:pPr>
      <w:bookmarkStart w:id="4" w:name="O_444114"/>
      <w:bookmarkEnd w:id="4"/>
      <w:r w:rsidRPr="0068514E">
        <w:t>Licensing/Regulatory Information</w:t>
      </w:r>
    </w:p>
    <w:tbl>
      <w:tblPr>
        <w:tblW w:w="0" w:type="auto"/>
        <w:tblLayout w:type="fixed"/>
        <w:tblCellMar>
          <w:left w:w="62" w:type="dxa"/>
          <w:right w:w="62" w:type="dxa"/>
        </w:tblCellMar>
        <w:tblLook w:val="0000"/>
      </w:tblPr>
      <w:tblGrid>
        <w:gridCol w:w="8460"/>
      </w:tblGrid>
      <w:tr w:rsidTr="009168C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rPr>
                <w:rStyle w:val="SpecialBold"/>
              </w:rPr>
              <w:t>1</w:t>
            </w:r>
            <w:r w:rsidRPr="0068514E">
              <w:t>.</w:t>
            </w:r>
            <w:r w:rsidRPr="0068514E">
              <w:rPr>
                <w:rStyle w:val="SpecialBold"/>
              </w:rPr>
              <w:t>2</w:t>
            </w:r>
            <w:r w:rsidRPr="0068514E">
              <w:t xml:space="preserve">) </w:t>
            </w:r>
            <w:r w:rsidRPr="0068514E">
              <w:rPr>
                <w:rStyle w:val="SpecialBold"/>
              </w:rPr>
              <w:t>License to practice</w:t>
            </w:r>
          </w:p>
        </w:tc>
      </w:tr>
      <w:tr w:rsidTr="009168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t>The skills and knowledge described in this unit do not require a licence to practice in the workplace. However, practice in this unit is subject to regulations directly related to occupational health and safety and where applicable contracts of training su</w:t>
            </w:r>
            <w:r w:rsidRPr="0068514E">
              <w:t>ch as apprenticeships.</w:t>
            </w:r>
          </w:p>
        </w:tc>
      </w:tr>
    </w:tbl>
    <w:p w:rsidR="009168C8" w:rsidP="0068514E">
      <w:pPr>
        <w:pStyle w:val="BodyText"/>
      </w:pPr>
    </w:p>
    <w:p w:rsidR="009168C8" w:rsidP="0068514E">
      <w:pPr>
        <w:pStyle w:val="BodyText"/>
      </w:pPr>
    </w:p>
    <w:p w:rsidR="00000000" w:rsidRPr="0068514E" w:rsidP="0068514E">
      <w:pPr>
        <w:pStyle w:val="Heading1"/>
      </w:pPr>
      <w:bookmarkStart w:id="5" w:name="O_444112"/>
      <w:bookmarkEnd w:id="5"/>
      <w:r w:rsidRPr="0068514E">
        <w:t>Pre-Requisites</w:t>
      </w:r>
    </w:p>
    <w:tbl>
      <w:tblPr>
        <w:tblW w:w="0" w:type="auto"/>
        <w:tblLayout w:type="fixed"/>
        <w:tblCellMar>
          <w:left w:w="62" w:type="dxa"/>
          <w:right w:w="62" w:type="dxa"/>
        </w:tblCellMar>
        <w:tblLook w:val="0000"/>
      </w:tblPr>
      <w:tblGrid>
        <w:gridCol w:w="2700"/>
        <w:gridCol w:w="5760"/>
      </w:tblGrid>
      <w:tr w:rsidTr="009168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Prerequisite Unit</w:t>
            </w:r>
            <w:r w:rsidRPr="0068514E">
              <w:t>(</w:t>
            </w:r>
            <w:r w:rsidRPr="0068514E">
              <w:rPr>
                <w:rStyle w:val="SpecialBold"/>
              </w:rPr>
              <w:t>s</w:t>
            </w:r>
            <w:r w:rsidRPr="0068514E">
              <w:t>)</w:t>
            </w:r>
          </w:p>
        </w:tc>
        <w:tc>
          <w:tcPr>
            <w:tcW w:w="57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rPr>
                <w:rStyle w:val="SpecialBold"/>
              </w:rPr>
              <w:t>2</w:t>
            </w:r>
            <w:r w:rsidRPr="0068514E">
              <w:t xml:space="preserve">) </w:t>
            </w:r>
          </w:p>
        </w:tc>
      </w:tr>
      <w:tr w:rsidTr="009168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514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rPr>
                <w:rStyle w:val="SpecialBold"/>
              </w:rPr>
              <w:t>2</w:t>
            </w:r>
            <w:r w:rsidRPr="0068514E">
              <w:t>.</w:t>
            </w:r>
            <w:r w:rsidRPr="0068514E">
              <w:rPr>
                <w:rStyle w:val="SpecialBold"/>
              </w:rPr>
              <w:t>1</w:t>
            </w:r>
            <w:r w:rsidRPr="0068514E">
              <w:t xml:space="preserve">) </w:t>
            </w:r>
            <w:r w:rsidRPr="0068514E">
              <w:rPr>
                <w:rStyle w:val="SpecialBold"/>
              </w:rPr>
              <w:t>Competencies</w:t>
            </w:r>
          </w:p>
        </w:tc>
      </w:tr>
      <w:tr w:rsidTr="009168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t>There are no prerequisite competencies for this unit.</w:t>
            </w:r>
          </w:p>
        </w:tc>
      </w:tr>
    </w:tbl>
    <w:p w:rsidR="009168C8" w:rsidP="0068514E">
      <w:pPr>
        <w:pStyle w:val="BodyText"/>
      </w:pPr>
    </w:p>
    <w:p w:rsidR="009168C8" w:rsidP="0068514E">
      <w:pPr>
        <w:pStyle w:val="BodyText"/>
      </w:pPr>
    </w:p>
    <w:p w:rsidR="00000000" w:rsidRPr="0068514E" w:rsidP="0068514E">
      <w:pPr>
        <w:pStyle w:val="Heading1"/>
      </w:pPr>
      <w:bookmarkStart w:id="6" w:name="O_444117"/>
      <w:bookmarkEnd w:id="6"/>
      <w:r w:rsidRPr="0068514E">
        <w:t>Employability Skills Information</w:t>
      </w:r>
    </w:p>
    <w:tbl>
      <w:tblPr>
        <w:tblW w:w="0" w:type="auto"/>
        <w:tblLayout w:type="fixed"/>
        <w:tblCellMar>
          <w:left w:w="62" w:type="dxa"/>
          <w:right w:w="62" w:type="dxa"/>
        </w:tblCellMar>
        <w:tblLook w:val="0000"/>
      </w:tblPr>
      <w:tblGrid>
        <w:gridCol w:w="2700"/>
        <w:gridCol w:w="5760"/>
      </w:tblGrid>
      <w:tr w:rsidTr="009168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3</w:t>
            </w:r>
            <w:r w:rsidRPr="0068514E">
              <w:t>)</w:t>
            </w:r>
          </w:p>
          <w:p w:rsidR="00000000" w:rsidRPr="0068514E" w:rsidP="0068514E">
            <w:pPr>
              <w:pStyle w:val="BodyText"/>
            </w:pPr>
            <w:r w:rsidRPr="0068514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8514E">
              <w:t>requirements.</w:t>
            </w:r>
          </w:p>
        </w:tc>
      </w:tr>
    </w:tbl>
    <w:p w:rsidR="009168C8" w:rsidP="0068514E">
      <w:pPr>
        <w:pStyle w:val="BodyText"/>
      </w:pPr>
    </w:p>
    <w:p w:rsidR="009168C8" w:rsidP="0068514E">
      <w:pPr>
        <w:pStyle w:val="BodyText"/>
      </w:pPr>
    </w:p>
    <w:p w:rsidR="00000000" w:rsidRPr="0068514E" w:rsidP="0068514E">
      <w:pPr>
        <w:pStyle w:val="Heading1"/>
      </w:pPr>
      <w:bookmarkStart w:id="7" w:name="O_444118"/>
      <w:bookmarkEnd w:id="7"/>
      <w:r w:rsidRPr="0068514E">
        <w:t>Elements and Performance Criteria Pre-Content</w:t>
      </w:r>
    </w:p>
    <w:tbl>
      <w:tblPr>
        <w:tblW w:w="0" w:type="auto"/>
        <w:tblLayout w:type="fixed"/>
        <w:tblCellMar>
          <w:left w:w="62" w:type="dxa"/>
          <w:right w:w="62" w:type="dxa"/>
        </w:tblCellMar>
        <w:tblLook w:val="0000"/>
      </w:tblPr>
      <w:tblGrid>
        <w:gridCol w:w="2700"/>
        <w:gridCol w:w="5760"/>
      </w:tblGrid>
      <w:tr w:rsidTr="009168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rPr>
                <w:rStyle w:val="SpecialBold"/>
              </w:rPr>
              <w:t>6</w:t>
            </w:r>
            <w:r w:rsidRPr="0068514E">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t>Performance criteria describe the required performance needed to demonstrate achievement of the Element. Assessment of performance is to be consistent with the evidence guide.</w:t>
            </w:r>
          </w:p>
        </w:tc>
      </w:tr>
    </w:tbl>
    <w:p w:rsidR="00000000" w:rsidRPr="0068514E" w:rsidP="0068514E">
      <w:pPr>
        <w:pStyle w:val="BodyText"/>
      </w:pPr>
    </w:p>
    <w:p w:rsidR="00000000" w:rsidRPr="0068514E" w:rsidP="0068514E">
      <w:pPr>
        <w:pStyle w:val="AllowPageBreak"/>
      </w:pPr>
    </w:p>
    <w:p w:rsidR="00000000" w:rsidRPr="0068514E" w:rsidP="0068514E">
      <w:pPr>
        <w:pStyle w:val="Heading1"/>
      </w:pPr>
      <w:bookmarkStart w:id="8" w:name="O_444119"/>
      <w:bookmarkEnd w:id="8"/>
      <w:r w:rsidRPr="0068514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168C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rPr>
                <w:rStyle w:val="SpecialBold"/>
              </w:rPr>
              <w:t>PERFORMANCE CRITER</w:t>
            </w:r>
            <w:r w:rsidRPr="0068514E">
              <w:rPr>
                <w:rStyle w:val="SpecialBold"/>
              </w:rPr>
              <w:t>IA</w:t>
            </w:r>
          </w:p>
        </w:tc>
      </w:tr>
      <w:tr w:rsidTr="009168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1</w:t>
            </w:r>
          </w:p>
        </w:tc>
        <w:tc>
          <w:tcPr>
            <w:tcW w:w="2296" w:type="dxa"/>
            <w:vMerge w:val="restart"/>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Plan for the management of intellectual property within the organisation</w:t>
            </w:r>
          </w:p>
        </w:tc>
        <w:tc>
          <w:tcPr>
            <w:tcW w:w="9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1.1</w:t>
            </w:r>
          </w:p>
        </w:tc>
        <w:tc>
          <w:tcPr>
            <w:tcW w:w="48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The types of Intellectual Property residing within the organization are identified.</w:t>
            </w:r>
          </w:p>
        </w:tc>
      </w:tr>
      <w:tr w:rsidTr="009168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1.2</w:t>
            </w:r>
          </w:p>
        </w:tc>
        <w:tc>
          <w:tcPr>
            <w:tcW w:w="48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Sections of the organisation in which Intellectual Property management is required are identified.</w:t>
            </w:r>
          </w:p>
        </w:tc>
      </w:tr>
      <w:tr w:rsidTr="009168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1.3</w:t>
            </w:r>
          </w:p>
        </w:tc>
        <w:tc>
          <w:tcPr>
            <w:tcW w:w="48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Intellectual Property rights appropriate to the types of Intellectual Property within the organization are identified.</w:t>
            </w:r>
          </w:p>
        </w:tc>
      </w:tr>
      <w:tr w:rsidTr="009168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1.4</w:t>
            </w:r>
          </w:p>
        </w:tc>
        <w:tc>
          <w:tcPr>
            <w:tcW w:w="48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Intellectual Property rights of other like organizations are identified.</w:t>
            </w:r>
          </w:p>
        </w:tc>
      </w:tr>
      <w:tr w:rsidTr="009168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1.5</w:t>
            </w:r>
          </w:p>
        </w:tc>
        <w:tc>
          <w:tcPr>
            <w:tcW w:w="48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An organisational Intellectual Property Management Plan, consistent with the organisation's Business Plan, is developed/amended.</w:t>
            </w:r>
          </w:p>
        </w:tc>
      </w:tr>
      <w:tr w:rsidTr="009168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1.6</w:t>
            </w:r>
          </w:p>
        </w:tc>
        <w:tc>
          <w:tcPr>
            <w:tcW w:w="48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Approval of the new/amended Intellectual Property Management Plan is sought from relevant personnel.</w:t>
            </w:r>
          </w:p>
        </w:tc>
      </w:tr>
      <w:tr w:rsidTr="009168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2</w:t>
            </w:r>
          </w:p>
        </w:tc>
        <w:tc>
          <w:tcPr>
            <w:tcW w:w="2296" w:type="dxa"/>
            <w:vMerge w:val="restart"/>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Contribute to the management of intellectual property within the organisation</w:t>
            </w:r>
          </w:p>
        </w:tc>
        <w:tc>
          <w:tcPr>
            <w:tcW w:w="9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2.1</w:t>
            </w:r>
          </w:p>
        </w:tc>
        <w:tc>
          <w:tcPr>
            <w:tcW w:w="48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A new/amended Intellectual Property Management Plan within the organiz</w:t>
            </w:r>
            <w:r w:rsidRPr="0068514E">
              <w:t>ation is implemented.</w:t>
            </w:r>
          </w:p>
        </w:tc>
      </w:tr>
      <w:tr w:rsidTr="009168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2.2</w:t>
            </w:r>
          </w:p>
        </w:tc>
        <w:tc>
          <w:tcPr>
            <w:tcW w:w="48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Documentation, deeds, registration certificates etc related to the organisation's Intellectual Property assets are managed.</w:t>
            </w:r>
          </w:p>
        </w:tc>
      </w:tr>
      <w:tr w:rsidTr="009168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2.3</w:t>
            </w:r>
          </w:p>
        </w:tc>
        <w:tc>
          <w:tcPr>
            <w:tcW w:w="48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 xml:space="preserve">Intellectual Property management systems and structures, eg registrations, are monitored to ensure they are valid and working correctly. </w:t>
            </w:r>
          </w:p>
        </w:tc>
      </w:tr>
      <w:tr w:rsidTr="009168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2.4</w:t>
            </w:r>
          </w:p>
        </w:tc>
        <w:tc>
          <w:tcPr>
            <w:tcW w:w="48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Evidence supporting the organisation's entitlement to exercise its Intellectual Property rights is collected, s</w:t>
            </w:r>
            <w:r w:rsidRPr="0068514E">
              <w:t>tored and maintained.</w:t>
            </w:r>
          </w:p>
        </w:tc>
      </w:tr>
      <w:tr w:rsidTr="009168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3</w:t>
            </w:r>
          </w:p>
        </w:tc>
        <w:tc>
          <w:tcPr>
            <w:tcW w:w="2296" w:type="dxa"/>
            <w:vMerge w:val="restart"/>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Contribute to protection of the organisation's Intellectual Property.</w:t>
            </w:r>
          </w:p>
        </w:tc>
        <w:tc>
          <w:tcPr>
            <w:tcW w:w="9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3.1</w:t>
            </w:r>
          </w:p>
        </w:tc>
        <w:tc>
          <w:tcPr>
            <w:tcW w:w="48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Sources of assistance in regard to the protection of the organisation's Intellectual Property are identified.</w:t>
            </w:r>
          </w:p>
        </w:tc>
      </w:tr>
      <w:tr w:rsidTr="009168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3.2</w:t>
            </w:r>
          </w:p>
        </w:tc>
        <w:tc>
          <w:tcPr>
            <w:tcW w:w="48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t>Networks and professional</w:t>
            </w:r>
            <w:r w:rsidRPr="0068514E">
              <w:t xml:space="preserve"> relationships beneficial to the protection of the organisation's Intellectual Property are established and </w:t>
            </w:r>
            <w:r w:rsidRPr="0068514E">
              <w:t>maintained.</w:t>
            </w:r>
          </w:p>
        </w:tc>
      </w:tr>
    </w:tbl>
    <w:p w:rsidR="009168C8" w:rsidP="0068514E">
      <w:pPr>
        <w:pStyle w:val="BodyText"/>
      </w:pPr>
    </w:p>
    <w:p w:rsidR="009168C8" w:rsidP="0068514E">
      <w:pPr>
        <w:pStyle w:val="BodyText"/>
      </w:pPr>
    </w:p>
    <w:p w:rsidR="00000000" w:rsidRPr="0068514E" w:rsidP="0068514E">
      <w:pPr>
        <w:pStyle w:val="Heading1"/>
      </w:pPr>
      <w:bookmarkStart w:id="9" w:name="O_444110"/>
      <w:bookmarkEnd w:id="9"/>
      <w:r w:rsidRPr="0068514E">
        <w:t>Required Skills and Knowledge</w:t>
      </w:r>
    </w:p>
    <w:tbl>
      <w:tblPr>
        <w:tblW w:w="0" w:type="auto"/>
        <w:tblLayout w:type="fixed"/>
        <w:tblCellMar>
          <w:left w:w="62" w:type="dxa"/>
          <w:right w:w="62" w:type="dxa"/>
        </w:tblCellMar>
        <w:tblLook w:val="0000"/>
      </w:tblPr>
      <w:tblGrid>
        <w:gridCol w:w="8460"/>
      </w:tblGrid>
      <w:tr w:rsidTr="009168C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rPr>
                <w:rStyle w:val="SpecialBold"/>
              </w:rPr>
              <w:t>REQUIRED SKILLS AND KNOWLEDGE</w:t>
            </w:r>
          </w:p>
        </w:tc>
      </w:tr>
      <w:tr w:rsidTr="009168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rPr>
                <w:rStyle w:val="SpecialBold"/>
              </w:rPr>
              <w:t xml:space="preserve">7) </w:t>
            </w:r>
            <w:r w:rsidRPr="0068514E">
              <w:t>This describes the essential skills and knowledge and their level, required for this unit.</w:t>
            </w:r>
          </w:p>
        </w:tc>
      </w:tr>
      <w:tr w:rsidTr="009168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t>Evidence shall show that knowledge has been acquired of safe working practices and contributing to Intellectual Property Management.</w:t>
            </w:r>
          </w:p>
          <w:p w:rsidR="00000000" w:rsidRPr="0068514E" w:rsidP="0068514E">
            <w:pPr>
              <w:pStyle w:val="BodyText"/>
            </w:pPr>
            <w:r w:rsidRPr="0068514E">
              <w:t>All knowledge and skills detail</w:t>
            </w:r>
            <w:r w:rsidRPr="0068514E">
              <w:t>ed in this unit should be contextualised to current industry practices and technologies.</w:t>
            </w:r>
          </w:p>
          <w:p w:rsidR="00000000" w:rsidRPr="0068514E" w:rsidP="0068514E">
            <w:pPr>
              <w:pStyle w:val="BodyText"/>
            </w:pPr>
            <w:r w:rsidRPr="0068514E">
              <w:rPr>
                <w:rStyle w:val="SpecialBold"/>
              </w:rPr>
              <w:t>KS01-ER005B</w:t>
            </w:r>
            <w:r w:rsidRPr="0068514E">
              <w:rPr>
                <w:rStyle w:val="SpecialBold"/>
              </w:rPr>
              <w:tab/>
              <w:t>Intellectual Property Management</w:t>
            </w:r>
          </w:p>
          <w:p w:rsidR="00000000" w:rsidRPr="0068514E" w:rsidP="0068514E">
            <w:pPr>
              <w:pStyle w:val="BodyText"/>
            </w:pPr>
            <w:r w:rsidRPr="0068514E">
              <w:t>Evidence shall show that knowledge has been acquired of safe working practices and contributing to Intellectual Property M</w:t>
            </w:r>
            <w:r w:rsidRPr="0068514E">
              <w:t>anagement.</w:t>
            </w:r>
          </w:p>
          <w:p w:rsidR="00000000" w:rsidRPr="0068514E" w:rsidP="0068514E">
            <w:pPr>
              <w:pStyle w:val="BodyText"/>
            </w:pPr>
            <w:r w:rsidRPr="0068514E">
              <w:t>T1</w:t>
            </w:r>
            <w:r w:rsidRPr="0068514E">
              <w:tab/>
              <w:t xml:space="preserve">Project planning </w:t>
            </w:r>
          </w:p>
          <w:p w:rsidR="00000000" w:rsidRPr="0068514E" w:rsidP="0068514E">
            <w:pPr>
              <w:pStyle w:val="ListBullet"/>
            </w:pPr>
            <w:r w:rsidRPr="0068514E">
              <w:t>Purpose of project planning</w:t>
            </w:r>
          </w:p>
          <w:p w:rsidR="00000000" w:rsidRPr="0068514E" w:rsidP="0068514E">
            <w:pPr>
              <w:pStyle w:val="ListBullet"/>
            </w:pPr>
            <w:r w:rsidRPr="0068514E">
              <w:t>Documents needed to plan a project</w:t>
            </w:r>
          </w:p>
          <w:p w:rsidR="00000000" w:rsidRPr="0068514E" w:rsidP="0068514E">
            <w:pPr>
              <w:pStyle w:val="ListBullet"/>
            </w:pPr>
            <w:r w:rsidRPr="0068514E">
              <w:t>Factors influencing sequence and restraints of project activities</w:t>
            </w:r>
          </w:p>
          <w:p w:rsidR="00000000" w:rsidRPr="0068514E" w:rsidP="0068514E">
            <w:pPr>
              <w:pStyle w:val="ListBullet"/>
            </w:pPr>
            <w:r w:rsidRPr="0068514E">
              <w:t>Critical path analysis encompassing:</w:t>
            </w:r>
          </w:p>
          <w:p w:rsidR="00000000" w:rsidRPr="0068514E" w:rsidP="0068514E">
            <w:pPr>
              <w:pStyle w:val="ListBullet2"/>
            </w:pPr>
            <w:r w:rsidRPr="0068514E">
              <w:t>Graphical representation methods</w:t>
            </w:r>
          </w:p>
          <w:p w:rsidR="00000000" w:rsidRPr="0068514E" w:rsidP="0068514E">
            <w:pPr>
              <w:pStyle w:val="ListBullet2"/>
            </w:pPr>
            <w:r w:rsidRPr="0068514E">
              <w:t>Methods of representing time/rates</w:t>
            </w:r>
          </w:p>
          <w:p w:rsidR="00000000" w:rsidRPr="0068514E" w:rsidP="0068514E">
            <w:pPr>
              <w:pStyle w:val="BodyText"/>
            </w:pPr>
            <w:r w:rsidRPr="0068514E">
              <w:t>T2</w:t>
            </w:r>
            <w:r w:rsidRPr="0068514E">
              <w:tab/>
              <w:t>Work in a team encompassing:</w:t>
            </w:r>
          </w:p>
          <w:p w:rsidR="00000000" w:rsidRPr="0068514E" w:rsidP="0068514E">
            <w:pPr>
              <w:pStyle w:val="ListBullet"/>
            </w:pPr>
            <w:r w:rsidRPr="0068514E">
              <w:t>Types of teams - Managerial, Administrative, Project-based, Commercial and Social</w:t>
            </w:r>
          </w:p>
          <w:p w:rsidR="00000000" w:rsidRPr="0068514E" w:rsidP="0068514E">
            <w:pPr>
              <w:pStyle w:val="ListBullet"/>
            </w:pPr>
            <w:r w:rsidRPr="0068514E">
              <w:t>Roles, responsibilities and accountabilities of team members - the role, responsibility and accountability</w:t>
            </w:r>
            <w:r w:rsidRPr="0068514E">
              <w:t xml:space="preserve"> of individuals, teams, organisational management, clients and the like.</w:t>
            </w:r>
          </w:p>
          <w:p w:rsidR="00000000" w:rsidRPr="0068514E" w:rsidP="0068514E">
            <w:pPr>
              <w:pStyle w:val="ListBullet"/>
            </w:pPr>
            <w:r w:rsidRPr="0068514E">
              <w:t>Working in a team - Identification and utilisation of team member skills and knowledge; Maximising benefits of team diversity; Team planning; Team commitment and cooperation; Improvin</w:t>
            </w:r>
            <w:r w:rsidRPr="0068514E">
              <w:t>g/Maximising team performance to achieve goals; Team monitoring and adjustment; Plain English literacy and communication; Leading, facilitating, participating, coaching, mentoring.</w:t>
            </w:r>
          </w:p>
          <w:p w:rsidR="00000000" w:rsidRPr="0068514E" w:rsidP="0068514E">
            <w:pPr>
              <w:pStyle w:val="ListBullet"/>
            </w:pPr>
            <w:r w:rsidRPr="0068514E">
              <w:t>Working with clients - client relations, client liaison, the practice of wo</w:t>
            </w:r>
            <w:r w:rsidRPr="0068514E">
              <w:t>rking with clients and the like.</w:t>
            </w:r>
          </w:p>
          <w:p w:rsidR="00000000" w:rsidRPr="0068514E" w:rsidP="0068514E">
            <w:pPr>
              <w:pStyle w:val="ListBullet"/>
            </w:pPr>
            <w:r w:rsidRPr="0068514E">
              <w:t>Conflict resolution – Personality analysis tools, Strategies for dealing with difficult people and the like.</w:t>
            </w:r>
          </w:p>
          <w:p w:rsidR="00000000" w:rsidRPr="0068514E" w:rsidP="0068514E">
            <w:pPr>
              <w:pStyle w:val="BodyText"/>
            </w:pPr>
            <w:r w:rsidRPr="0068514E">
              <w:t>T3</w:t>
            </w:r>
            <w:r w:rsidRPr="0068514E">
              <w:tab/>
              <w:t>Intellectual property concepts encompassing:</w:t>
            </w:r>
          </w:p>
          <w:p w:rsidR="00000000" w:rsidRPr="0068514E" w:rsidP="0068514E">
            <w:pPr>
              <w:pStyle w:val="ListBullet"/>
            </w:pPr>
            <w:r w:rsidRPr="0068514E">
              <w:t>Intellectual Property and Australian Law - The place of Intellect</w:t>
            </w:r>
            <w:r w:rsidRPr="0068514E">
              <w:t>ual Property in Australian Law; Past cases and outcomes; Necessary considerations and the like.</w:t>
            </w:r>
          </w:p>
          <w:p w:rsidR="00000000" w:rsidRPr="0068514E" w:rsidP="0068514E">
            <w:pPr>
              <w:pStyle w:val="ListBullet"/>
            </w:pPr>
            <w:r w:rsidRPr="0068514E">
              <w:t>The nature of Intellectual Property - What is Intellectual Property? What isn’t Intellectual Property?; Why is Intellectual Property relevant?; What can Intelle</w:t>
            </w:r>
            <w:r w:rsidRPr="0068514E">
              <w:t>ctual Property rights do?; What can’t Intellectual Property rights do?</w:t>
            </w:r>
          </w:p>
          <w:p w:rsidR="00000000" w:rsidRPr="0068514E" w:rsidP="0068514E">
            <w:pPr>
              <w:pStyle w:val="ListBullet"/>
            </w:pPr>
            <w:r w:rsidRPr="0068514E">
              <w:t>Intellectual Property Rights - Patents; Copyright; Designs; Confidential Information; Other specialty rights and the like.</w:t>
            </w:r>
          </w:p>
          <w:p w:rsidR="00000000" w:rsidRPr="0068514E" w:rsidP="0068514E">
            <w:pPr>
              <w:pStyle w:val="ListBullet"/>
            </w:pPr>
            <w:r w:rsidRPr="0068514E">
              <w:t>Managing Intellectual Property - Identifying Intellectual Property; Deciding what to protect; Strategies for managing Intellectual Property; How can Intellectual Property rights work together?; Intellectual Property versus time, effort, finances; Sources o</w:t>
            </w:r>
            <w:r w:rsidRPr="0068514E">
              <w:t>f Assistance, including Publications, Intellectual Property professionals, Lawyers, Business Advisors, Marketing consultants and the like.</w:t>
            </w:r>
          </w:p>
          <w:p w:rsidR="00000000" w:rsidRPr="0068514E" w:rsidP="0068514E">
            <w:pPr>
              <w:pStyle w:val="ListBullet"/>
            </w:pPr>
            <w:r w:rsidRPr="0068514E">
              <w:t xml:space="preserve">Enforcement of Intellectual Property - The enforcement process; The role of lawyers; Resolution. </w:t>
            </w:r>
          </w:p>
          <w:p w:rsidR="00000000" w:rsidRPr="0068514E" w:rsidP="0068514E">
            <w:pPr>
              <w:pStyle w:val="ListBullet"/>
            </w:pPr>
            <w:r w:rsidRPr="0068514E">
              <w:t>The changing face o</w:t>
            </w:r>
            <w:r w:rsidRPr="0068514E">
              <w:t>f Intellectual Property - Development of Intellectual Property Right Laws; Changes to Intellectual Property Right laws; Extensions of Intellectual Property Rights into non-traditional areas, including cultural, property arenas; The global marketplace and t</w:t>
            </w:r>
            <w:r w:rsidRPr="0068514E">
              <w:t>he like.</w:t>
            </w:r>
          </w:p>
          <w:p w:rsidR="00000000" w:rsidRPr="0068514E" w:rsidP="0068514E">
            <w:pPr>
              <w:pStyle w:val="BodyText"/>
            </w:pPr>
            <w:r w:rsidRPr="0068514E">
              <w:t>T4</w:t>
            </w:r>
            <w:r w:rsidRPr="0068514E">
              <w:tab/>
              <w:t xml:space="preserve">Occupational Health and Safety principles and fundamentals encompassing: </w:t>
            </w:r>
          </w:p>
          <w:p w:rsidR="00000000" w:rsidRPr="0068514E" w:rsidP="0068514E">
            <w:pPr>
              <w:pStyle w:val="ListBullet"/>
            </w:pPr>
            <w:r w:rsidRPr="0068514E">
              <w:t>underlying principles of OH&amp;S</w:t>
            </w:r>
          </w:p>
          <w:p w:rsidR="00000000" w:rsidRPr="0068514E" w:rsidP="0068514E">
            <w:pPr>
              <w:pStyle w:val="ListBullet"/>
            </w:pPr>
            <w:r w:rsidRPr="0068514E">
              <w:t>general aims and objectives of the relevant state or territory legislation relating to OH&amp;S.</w:t>
            </w:r>
          </w:p>
          <w:p w:rsidR="00000000" w:rsidRPr="0068514E" w:rsidP="0068514E">
            <w:pPr>
              <w:pStyle w:val="ListBullet"/>
            </w:pPr>
            <w:r w:rsidRPr="0068514E">
              <w:t>employer and employee responsibilities, rights</w:t>
            </w:r>
            <w:r w:rsidRPr="0068514E">
              <w:t xml:space="preserve"> and obligations.</w:t>
            </w:r>
          </w:p>
          <w:p w:rsidR="00000000" w:rsidRPr="0068514E" w:rsidP="0068514E">
            <w:pPr>
              <w:pStyle w:val="ListBullet"/>
            </w:pPr>
            <w:r w:rsidRPr="0068514E">
              <w:t>major functions of safety committees and representatives.</w:t>
            </w:r>
          </w:p>
          <w:p w:rsidR="00000000" w:rsidRPr="0068514E" w:rsidP="0068514E">
            <w:pPr>
              <w:pStyle w:val="ListBullet"/>
            </w:pPr>
            <w:r w:rsidRPr="0068514E">
              <w:t>powers given to Occupational Health and Safety Inspectors</w:t>
            </w:r>
          </w:p>
          <w:p w:rsidR="00000000" w:rsidRPr="0068514E" w:rsidP="0068514E">
            <w:pPr>
              <w:pStyle w:val="ListBullet"/>
            </w:pPr>
            <w:r w:rsidRPr="0068514E">
              <w:t>housekeeping and potential hazards in relation to improper housekeeping</w:t>
            </w:r>
          </w:p>
          <w:p w:rsidR="00000000" w:rsidRPr="0068514E" w:rsidP="0068514E">
            <w:pPr>
              <w:pStyle w:val="ListBullet"/>
            </w:pPr>
            <w:r w:rsidRPr="0068514E">
              <w:t>selecting appropriate personal protective equipmen</w:t>
            </w:r>
            <w:r w:rsidRPr="0068514E">
              <w:t>t (PPE) given hazardous situations</w:t>
            </w:r>
          </w:p>
          <w:p w:rsidR="00000000" w:rsidRPr="0068514E" w:rsidP="0068514E">
            <w:pPr>
              <w:pStyle w:val="BodyText"/>
            </w:pPr>
            <w:r w:rsidRPr="0068514E">
              <w:t>T5</w:t>
            </w:r>
            <w:r w:rsidRPr="0068514E">
              <w:tab/>
              <w:t xml:space="preserve">The work environment encompassing: </w:t>
            </w:r>
          </w:p>
          <w:p w:rsidR="00000000" w:rsidRPr="0068514E" w:rsidP="0068514E">
            <w:pPr>
              <w:pStyle w:val="ListBullet"/>
            </w:pPr>
            <w:r w:rsidRPr="0068514E">
              <w:t>typical hazards associated with a range of work environments</w:t>
            </w:r>
          </w:p>
          <w:p w:rsidR="00000000" w:rsidRPr="0068514E" w:rsidP="0068514E">
            <w:pPr>
              <w:pStyle w:val="ListBullet"/>
            </w:pPr>
            <w:r w:rsidRPr="0068514E">
              <w:t>procedures used to control the risks associated with these hazards</w:t>
            </w:r>
          </w:p>
          <w:p w:rsidR="00000000" w:rsidRPr="0068514E" w:rsidP="0068514E">
            <w:pPr>
              <w:pStyle w:val="ListBullet"/>
            </w:pPr>
            <w:r w:rsidRPr="0068514E">
              <w:t xml:space="preserve">principles of risk assessment / management and state </w:t>
            </w:r>
            <w:r w:rsidRPr="0068514E">
              <w:t>the purpose of each.</w:t>
            </w:r>
          </w:p>
          <w:p w:rsidR="00000000" w:rsidRPr="0068514E" w:rsidP="0068514E">
            <w:pPr>
              <w:pStyle w:val="ListBullet"/>
            </w:pPr>
            <w:r w:rsidRPr="0068514E">
              <w:t>hierarchy of OH&amp;S hazard control measures.</w:t>
            </w:r>
          </w:p>
          <w:p w:rsidR="00000000" w:rsidRPr="0068514E" w:rsidP="0068514E">
            <w:pPr>
              <w:pStyle w:val="ListBullet"/>
            </w:pPr>
            <w:r w:rsidRPr="0068514E">
              <w:t>required documentation for risk assessment.</w:t>
            </w:r>
          </w:p>
          <w:p w:rsidR="00000000" w:rsidRPr="0068514E" w:rsidP="0068514E">
            <w:pPr>
              <w:pStyle w:val="ListBullet"/>
            </w:pPr>
            <w:r w:rsidRPr="0068514E">
              <w:t>commonly used workplace safety signs.</w:t>
            </w:r>
          </w:p>
          <w:p w:rsidR="00000000" w:rsidRPr="0068514E" w:rsidP="0068514E">
            <w:pPr>
              <w:pStyle w:val="ListBullet"/>
            </w:pPr>
            <w:r w:rsidRPr="0068514E">
              <w:t>workplace emergencies that pose a threat to health and safety and suitable procedure for an emergency workplac</w:t>
            </w:r>
            <w:r w:rsidRPr="0068514E">
              <w:t>e evacuation.</w:t>
            </w:r>
          </w:p>
          <w:p w:rsidR="00000000" w:rsidRPr="0068514E" w:rsidP="0068514E">
            <w:pPr>
              <w:pStyle w:val="ListBullet"/>
            </w:pPr>
            <w:r w:rsidRPr="0068514E">
              <w:t>appropriate fire extinguisher for a given type of fire.</w:t>
            </w:r>
          </w:p>
          <w:p w:rsidR="00000000" w:rsidRPr="0068514E" w:rsidP="0068514E">
            <w:pPr>
              <w:pStyle w:val="ListBullet"/>
            </w:pPr>
            <w:r w:rsidRPr="0068514E">
              <w:t>requirements for the location, mounting and maintenance of portable fire extinguishers.</w:t>
            </w:r>
          </w:p>
          <w:p w:rsidR="00000000" w:rsidRPr="0068514E" w:rsidP="0068514E">
            <w:pPr>
              <w:pStyle w:val="ListBullet"/>
            </w:pPr>
            <w:r w:rsidRPr="0068514E">
              <w:t>basic process of fighting a fire.</w:t>
            </w:r>
          </w:p>
          <w:p w:rsidR="00000000" w:rsidRPr="0068514E" w:rsidP="0068514E">
            <w:pPr>
              <w:pStyle w:val="ListBullet"/>
            </w:pPr>
            <w:r w:rsidRPr="0068514E">
              <w:t>safe premises, buildings and security are important in an industrial setting and the consequences of non- compliance with these.</w:t>
            </w:r>
          </w:p>
          <w:p w:rsidR="00000000" w:rsidRPr="0068514E" w:rsidP="0068514E">
            <w:pPr>
              <w:pStyle w:val="ListBullet"/>
            </w:pPr>
            <w:r w:rsidRPr="0068514E">
              <w:t>standard work procedure is and why they are required in some circumstances.</w:t>
            </w:r>
          </w:p>
          <w:p w:rsidR="00000000" w:rsidRPr="0068514E" w:rsidP="0068514E">
            <w:pPr>
              <w:pStyle w:val="BodyText"/>
            </w:pPr>
            <w:r w:rsidRPr="0068514E">
              <w:t>T6</w:t>
            </w:r>
            <w:r w:rsidRPr="0068514E">
              <w:tab/>
              <w:t>Manual Handling encompassing:</w:t>
            </w:r>
          </w:p>
          <w:p w:rsidR="00000000" w:rsidRPr="0068514E" w:rsidP="0068514E">
            <w:pPr>
              <w:pStyle w:val="ListBullet"/>
            </w:pPr>
            <w:r w:rsidRPr="0068514E">
              <w:t>typical manual ha</w:t>
            </w:r>
            <w:r w:rsidRPr="0068514E">
              <w:t>ndling injuries and the effect they can have on lifestyle</w:t>
            </w:r>
          </w:p>
          <w:p w:rsidR="00000000" w:rsidRPr="0068514E" w:rsidP="0068514E">
            <w:pPr>
              <w:pStyle w:val="ListBullet"/>
            </w:pPr>
            <w:r w:rsidRPr="0068514E">
              <w:t>situations that may cause manual handling injuries</w:t>
            </w:r>
          </w:p>
          <w:p w:rsidR="00000000" w:rsidRPr="0068514E" w:rsidP="0068514E">
            <w:pPr>
              <w:pStyle w:val="ListBullet"/>
            </w:pPr>
            <w:r w:rsidRPr="0068514E">
              <w:t>correct procedures for lifting and carrying to prevent manual handling injuries</w:t>
            </w:r>
          </w:p>
          <w:p w:rsidR="00000000" w:rsidRPr="0068514E" w:rsidP="0068514E">
            <w:pPr>
              <w:pStyle w:val="ListBullet"/>
            </w:pPr>
            <w:r w:rsidRPr="0068514E">
              <w:t>Chemicals in the workplace encompassing:</w:t>
            </w:r>
          </w:p>
          <w:p w:rsidR="00000000" w:rsidRPr="0068514E" w:rsidP="0068514E">
            <w:pPr>
              <w:pStyle w:val="ListBullet"/>
            </w:pPr>
            <w:r w:rsidRPr="0068514E">
              <w:t>hazardous substances and d</w:t>
            </w:r>
            <w:r w:rsidRPr="0068514E">
              <w:t>angerous goods.</w:t>
            </w:r>
          </w:p>
          <w:p w:rsidR="00000000" w:rsidRPr="0068514E" w:rsidP="0068514E">
            <w:pPr>
              <w:pStyle w:val="ListBullet"/>
            </w:pPr>
            <w:r w:rsidRPr="0068514E">
              <w:t>Classification of chemicals as hazardous substances and/or dangerous goods</w:t>
            </w:r>
          </w:p>
          <w:p w:rsidR="00000000" w:rsidRPr="0068514E" w:rsidP="0068514E">
            <w:pPr>
              <w:pStyle w:val="ListBullet"/>
            </w:pPr>
            <w:r w:rsidRPr="0068514E">
              <w:t>requirements for labelling of chemicals in the workplace</w:t>
            </w:r>
          </w:p>
          <w:p w:rsidR="00000000" w:rsidRPr="0068514E" w:rsidP="0068514E">
            <w:pPr>
              <w:pStyle w:val="ListBullet"/>
            </w:pPr>
            <w:r w:rsidRPr="0068514E">
              <w:t>safe storage procedures for chemicals</w:t>
            </w:r>
          </w:p>
          <w:p w:rsidR="00000000" w:rsidRPr="0068514E" w:rsidP="0068514E">
            <w:pPr>
              <w:pStyle w:val="ListBullet"/>
            </w:pPr>
            <w:r w:rsidRPr="0068514E">
              <w:t>purpose of and interpretation of material safety data sheet (MSDS)</w:t>
            </w:r>
          </w:p>
          <w:p w:rsidR="00000000" w:rsidRPr="0068514E" w:rsidP="0068514E">
            <w:pPr>
              <w:pStyle w:val="BodyText"/>
            </w:pPr>
            <w:r w:rsidRPr="0068514E">
              <w:t>T7</w:t>
            </w:r>
            <w:r w:rsidRPr="0068514E">
              <w:tab/>
            </w:r>
            <w:r w:rsidRPr="0068514E">
              <w:t>Working at heights encompassing:</w:t>
            </w:r>
          </w:p>
          <w:p w:rsidR="00000000" w:rsidRPr="0068514E" w:rsidP="0068514E">
            <w:pPr>
              <w:pStyle w:val="ListBullet"/>
            </w:pPr>
            <w:r w:rsidRPr="0068514E">
              <w:t>dangers associated with working on ladders and scaffolds</w:t>
            </w:r>
          </w:p>
          <w:p w:rsidR="00000000" w:rsidRPr="0068514E" w:rsidP="0068514E">
            <w:pPr>
              <w:pStyle w:val="ListBullet"/>
            </w:pPr>
            <w:r w:rsidRPr="0068514E">
              <w:t>identification of work area as a height risk and use appropriate safety equipment to prevent a fall</w:t>
            </w:r>
          </w:p>
          <w:p w:rsidR="00000000" w:rsidRPr="0068514E" w:rsidP="0068514E">
            <w:pPr>
              <w:pStyle w:val="ListBullet"/>
            </w:pPr>
            <w:r w:rsidRPr="0068514E">
              <w:t>selecting an appropriate ladder for a given situation and perform</w:t>
            </w:r>
            <w:r w:rsidRPr="0068514E">
              <w:t xml:space="preserve"> a safety check before use</w:t>
            </w:r>
          </w:p>
          <w:p w:rsidR="00000000" w:rsidRPr="0068514E" w:rsidP="0068514E">
            <w:pPr>
              <w:pStyle w:val="ListBullet"/>
            </w:pPr>
            <w:r w:rsidRPr="0068514E">
              <w:t>precautions that should be taken when ascending and working off a ladder</w:t>
            </w:r>
          </w:p>
          <w:p w:rsidR="00000000" w:rsidRPr="0068514E" w:rsidP="0068514E">
            <w:pPr>
              <w:pStyle w:val="ListBullet"/>
            </w:pPr>
            <w:r w:rsidRPr="0068514E">
              <w:t>precautions that should be taken when working on and around a scaffold and elevated platforms.</w:t>
            </w:r>
          </w:p>
          <w:p w:rsidR="00000000" w:rsidRPr="0068514E" w:rsidP="0068514E">
            <w:pPr>
              <w:pStyle w:val="BodyText"/>
            </w:pPr>
            <w:r w:rsidRPr="0068514E">
              <w:t>T8</w:t>
            </w:r>
            <w:r w:rsidRPr="0068514E">
              <w:tab/>
              <w:t>Confined spaces encompassing:</w:t>
            </w:r>
          </w:p>
          <w:p w:rsidR="00000000" w:rsidRPr="0068514E" w:rsidP="0068514E">
            <w:pPr>
              <w:pStyle w:val="ListBullet"/>
            </w:pPr>
            <w:r w:rsidRPr="0068514E">
              <w:t>hazards associated with working in a confined space</w:t>
            </w:r>
          </w:p>
          <w:p w:rsidR="00000000" w:rsidRPr="0068514E" w:rsidP="0068514E">
            <w:pPr>
              <w:pStyle w:val="ListBullet"/>
            </w:pPr>
            <w:r w:rsidRPr="0068514E">
              <w:t>identifying workplace situations that could be classified as a confined space</w:t>
            </w:r>
          </w:p>
          <w:p w:rsidR="00000000" w:rsidRPr="0068514E" w:rsidP="0068514E">
            <w:pPr>
              <w:pStyle w:val="ListBullet"/>
            </w:pPr>
            <w:r w:rsidRPr="0068514E">
              <w:t>control measures for working in a designated confined space</w:t>
            </w:r>
          </w:p>
          <w:p w:rsidR="00000000" w:rsidRPr="0068514E" w:rsidP="0068514E">
            <w:pPr>
              <w:pStyle w:val="BodyText"/>
            </w:pPr>
            <w:r w:rsidRPr="0068514E">
              <w:t>T9</w:t>
            </w:r>
            <w:r w:rsidRPr="0068514E">
              <w:tab/>
              <w:t>Physical and psychological hazards encompassing:</w:t>
            </w:r>
          </w:p>
          <w:p w:rsidR="00000000" w:rsidRPr="0068514E" w:rsidP="0068514E">
            <w:pPr>
              <w:pStyle w:val="ListBullet"/>
            </w:pPr>
            <w:r w:rsidRPr="0068514E">
              <w:t>short and lon</w:t>
            </w:r>
            <w:r w:rsidRPr="0068514E">
              <w:t>g term effects of excessive noise and techniques to avoid damage to hearing due to excessive noise</w:t>
            </w:r>
          </w:p>
          <w:p w:rsidR="00000000" w:rsidRPr="0068514E" w:rsidP="0068514E">
            <w:pPr>
              <w:pStyle w:val="ListBullet"/>
            </w:pPr>
            <w:r w:rsidRPr="0068514E">
              <w:t>effects of vibration on the human body and work practices to protect against vibration</w:t>
            </w:r>
          </w:p>
          <w:p w:rsidR="00000000" w:rsidRPr="0068514E" w:rsidP="0068514E">
            <w:pPr>
              <w:pStyle w:val="ListBullet"/>
            </w:pPr>
            <w:r w:rsidRPr="0068514E">
              <w:t>effects of thermal stress on the human body and work practices to prot</w:t>
            </w:r>
            <w:r w:rsidRPr="0068514E">
              <w:t>ect against thermal stress</w:t>
            </w:r>
          </w:p>
          <w:p w:rsidR="00000000" w:rsidRPr="0068514E" w:rsidP="0068514E">
            <w:pPr>
              <w:pStyle w:val="ListBullet"/>
            </w:pPr>
            <w:r w:rsidRPr="0068514E">
              <w:t>effects of ultraviolet (UV) radiation on the human body and work practices to protect against UV radiation.</w:t>
            </w:r>
          </w:p>
          <w:p w:rsidR="00000000" w:rsidRPr="0068514E" w:rsidP="0068514E">
            <w:pPr>
              <w:pStyle w:val="ListBullet"/>
            </w:pPr>
            <w:r w:rsidRPr="0068514E">
              <w:t>dangers associated with laser operated equipment and tools and suitable protective measures to overcome the danger.</w:t>
            </w:r>
          </w:p>
          <w:p w:rsidR="00000000" w:rsidRPr="0068514E" w:rsidP="0068514E">
            <w:pPr>
              <w:pStyle w:val="ListBullet"/>
            </w:pPr>
            <w:r w:rsidRPr="0068514E">
              <w:t>occup</w:t>
            </w:r>
            <w:r w:rsidRPr="0068514E">
              <w:t>ational overuse syndrome, state examples of how it occurs and describe means to overcome it</w:t>
            </w:r>
          </w:p>
          <w:p w:rsidR="00000000" w:rsidRPr="0068514E" w:rsidP="0068514E">
            <w:pPr>
              <w:pStyle w:val="ListBullet"/>
            </w:pPr>
            <w:r w:rsidRPr="0068514E">
              <w:t>factors that cause stress in the workplace, symptoms of a person suffering from stress and personal stress management techniques</w:t>
            </w:r>
          </w:p>
          <w:p w:rsidR="00000000" w:rsidRPr="0068514E" w:rsidP="0068514E">
            <w:pPr>
              <w:pStyle w:val="ListBullet"/>
            </w:pPr>
            <w:r w:rsidRPr="0068514E">
              <w:t xml:space="preserve">detrimental effects and dangers of </w:t>
            </w:r>
            <w:r w:rsidRPr="0068514E">
              <w:t>drug and alcohol use in the workplace</w:t>
            </w:r>
          </w:p>
          <w:p w:rsidR="00000000" w:rsidRPr="0068514E" w:rsidP="0068514E">
            <w:pPr>
              <w:pStyle w:val="BodyText"/>
            </w:pPr>
            <w:r w:rsidRPr="0068514E">
              <w:t>T10</w:t>
            </w:r>
            <w:r w:rsidRPr="0068514E">
              <w:tab/>
              <w:t>Working safely with electricity encompassing:</w:t>
            </w:r>
          </w:p>
          <w:p w:rsidR="00000000" w:rsidRPr="0068514E" w:rsidP="0068514E">
            <w:pPr>
              <w:pStyle w:val="ListBullet"/>
            </w:pPr>
            <w:r w:rsidRPr="0068514E">
              <w:t>effects of electric shock on the human body</w:t>
            </w:r>
          </w:p>
          <w:p w:rsidR="00000000" w:rsidRPr="0068514E" w:rsidP="0068514E">
            <w:pPr>
              <w:pStyle w:val="ListBullet"/>
            </w:pPr>
            <w:r w:rsidRPr="0068514E">
              <w:t>common causes of electrical accidents</w:t>
            </w:r>
          </w:p>
          <w:p w:rsidR="00000000" w:rsidRPr="0068514E" w:rsidP="0068514E">
            <w:pPr>
              <w:pStyle w:val="ListBullet"/>
            </w:pPr>
            <w:r w:rsidRPr="0068514E">
              <w:t>precautions that can minimise the chance of electric shock (earthing, extra low volta</w:t>
            </w:r>
            <w:r w:rsidRPr="0068514E">
              <w:t>ge, fuses, circuit breakers and residual current devices – RCDs)</w:t>
            </w:r>
          </w:p>
          <w:p w:rsidR="00000000" w:rsidRPr="0068514E" w:rsidP="0068514E">
            <w:pPr>
              <w:pStyle w:val="ListBullet"/>
            </w:pPr>
            <w:r w:rsidRPr="0068514E">
              <w:t>protection offered by a residual current device (RCD)</w:t>
            </w:r>
          </w:p>
          <w:p w:rsidR="00000000" w:rsidRPr="0068514E" w:rsidP="0068514E">
            <w:pPr>
              <w:pStyle w:val="ListBullet"/>
            </w:pPr>
            <w:r w:rsidRPr="0068514E">
              <w:t>need for ensuring the (safe) isolation of an electrical supply</w:t>
            </w:r>
          </w:p>
          <w:p w:rsidR="00000000" w:rsidRPr="0068514E" w:rsidP="0068514E">
            <w:pPr>
              <w:pStyle w:val="ListBullet"/>
            </w:pPr>
            <w:r w:rsidRPr="0068514E">
              <w:t>appropriate method of removing an electric shock victim from a live electrical situation</w:t>
            </w:r>
          </w:p>
          <w:p w:rsidR="00000000" w:rsidRPr="0068514E" w:rsidP="0068514E">
            <w:pPr>
              <w:pStyle w:val="BodyText"/>
            </w:pPr>
            <w:r w:rsidRPr="0068514E">
              <w:t>T11</w:t>
            </w:r>
            <w:r w:rsidRPr="0068514E">
              <w:tab/>
              <w:t xml:space="preserve">Life support - CPR in the workplace encompassing: </w:t>
            </w:r>
          </w:p>
          <w:p w:rsidR="00000000" w:rsidRPr="0068514E" w:rsidP="0068514E">
            <w:pPr>
              <w:pStyle w:val="ListBullet"/>
            </w:pPr>
            <w:r w:rsidRPr="0068514E">
              <w:t>First Aid.</w:t>
            </w:r>
          </w:p>
          <w:p w:rsidR="00000000" w:rsidRPr="0068514E" w:rsidP="0068514E">
            <w:pPr>
              <w:pStyle w:val="ListBullet"/>
            </w:pPr>
            <w:r w:rsidRPr="0068514E">
              <w:t>responsibilities of the First Aider.</w:t>
            </w:r>
          </w:p>
          <w:p w:rsidR="00000000" w:rsidRPr="0068514E" w:rsidP="0068514E">
            <w:pPr>
              <w:pStyle w:val="ListBullet"/>
            </w:pPr>
            <w:r w:rsidRPr="0068514E">
              <w:t>priorities of first aid management for any accident or injury.</w:t>
            </w:r>
          </w:p>
          <w:p w:rsidR="00000000" w:rsidRPr="0068514E" w:rsidP="0068514E">
            <w:pPr>
              <w:pStyle w:val="ListBullet"/>
            </w:pPr>
            <w:r w:rsidRPr="0068514E">
              <w:t>procedures required at an accident scene.</w:t>
            </w:r>
          </w:p>
          <w:p w:rsidR="00000000" w:rsidRPr="0068514E" w:rsidP="0068514E">
            <w:pPr>
              <w:pStyle w:val="ListBullet"/>
            </w:pPr>
            <w:r w:rsidRPr="0068514E">
              <w:t>legal and ethical issues, which may impact on the management of care.</w:t>
            </w:r>
          </w:p>
          <w:p w:rsidR="00000000" w:rsidRPr="0068514E" w:rsidP="0068514E">
            <w:pPr>
              <w:pStyle w:val="ListBullet"/>
            </w:pPr>
            <w:r w:rsidRPr="0068514E">
              <w:t>'Duty of Care'.</w:t>
            </w:r>
          </w:p>
          <w:p w:rsidR="00000000" w:rsidRPr="0068514E" w:rsidP="0068514E">
            <w:pPr>
              <w:pStyle w:val="ListBullet"/>
            </w:pPr>
            <w:r w:rsidRPr="0068514E">
              <w:t>examination of a casualty for injuries.</w:t>
            </w:r>
          </w:p>
          <w:p w:rsidR="00000000" w:rsidRPr="0068514E" w:rsidP="0068514E">
            <w:pPr>
              <w:pStyle w:val="ListBullet"/>
            </w:pPr>
            <w:r w:rsidRPr="0068514E">
              <w:t>effect of cardio pulmonary arrest on the body.</w:t>
            </w:r>
          </w:p>
          <w:p w:rsidR="00000000" w:rsidRPr="0068514E" w:rsidP="0068514E">
            <w:pPr>
              <w:pStyle w:val="ListBullet"/>
            </w:pPr>
            <w:r w:rsidRPr="0068514E">
              <w:t xml:space="preserve">Managing simulated conditions of: airway </w:t>
            </w:r>
            <w:r w:rsidRPr="0068514E">
              <w:t>obstruction; respiratory arrest and cardio pulmonary arrest,</w:t>
            </w:r>
          </w:p>
          <w:p w:rsidR="00000000" w:rsidRPr="0068514E" w:rsidP="0068514E">
            <w:pPr>
              <w:pStyle w:val="ListBullet"/>
            </w:pPr>
            <w:r w:rsidRPr="0068514E">
              <w:t>single and two-person cardio pulmonary resuscitation (CPR).</w:t>
            </w:r>
          </w:p>
          <w:p w:rsidR="00000000" w:rsidRPr="0068514E" w:rsidP="0068514E">
            <w:pPr>
              <w:pStyle w:val="ListBullet"/>
            </w:pPr>
            <w:r w:rsidRPr="0068514E">
              <w:t>signs and symptoms of an altered level of consciousness</w:t>
            </w:r>
          </w:p>
          <w:p w:rsidR="00000000" w:rsidRPr="0068514E" w:rsidP="0068514E">
            <w:pPr>
              <w:pStyle w:val="ListBullet"/>
            </w:pPr>
            <w:r w:rsidRPr="0068514E">
              <w:t>management of simulation of a casualty with an altered level of consciousness.</w:t>
            </w:r>
          </w:p>
          <w:p w:rsidR="00000000" w:rsidRPr="0068514E" w:rsidP="0068514E">
            <w:pPr>
              <w:pStyle w:val="ListBullet"/>
            </w:pPr>
            <w:r w:rsidRPr="0068514E">
              <w:t>signs and symptoms of shock.</w:t>
            </w:r>
          </w:p>
          <w:p w:rsidR="00000000" w:rsidRPr="0068514E" w:rsidP="0068514E">
            <w:pPr>
              <w:pStyle w:val="ListBullet"/>
            </w:pPr>
            <w:r w:rsidRPr="0068514E">
              <w:t>management of simulation of a casualty in shock</w:t>
            </w:r>
          </w:p>
        </w:tc>
      </w:tr>
    </w:tbl>
    <w:p w:rsidR="009168C8" w:rsidP="0068514E">
      <w:pPr>
        <w:pStyle w:val="BodyText"/>
      </w:pPr>
    </w:p>
    <w:p w:rsidR="009168C8" w:rsidP="0068514E">
      <w:pPr>
        <w:pStyle w:val="BodyText"/>
      </w:pPr>
    </w:p>
    <w:p w:rsidR="00000000" w:rsidRPr="0068514E" w:rsidP="0068514E">
      <w:pPr>
        <w:pStyle w:val="Heading1"/>
      </w:pPr>
      <w:bookmarkStart w:id="10" w:name="O_444116"/>
      <w:bookmarkEnd w:id="10"/>
      <w:r w:rsidRPr="0068514E">
        <w:t>Evidence Guide</w:t>
      </w:r>
    </w:p>
    <w:tbl>
      <w:tblPr>
        <w:tblW w:w="0" w:type="auto"/>
        <w:tblLayout w:type="fixed"/>
        <w:tblCellMar>
          <w:left w:w="62" w:type="dxa"/>
          <w:right w:w="62" w:type="dxa"/>
        </w:tblCellMar>
        <w:tblLook w:val="0000"/>
      </w:tblPr>
      <w:tblGrid>
        <w:gridCol w:w="2160"/>
        <w:gridCol w:w="720"/>
        <w:gridCol w:w="540"/>
        <w:gridCol w:w="540"/>
        <w:gridCol w:w="4500"/>
      </w:tblGrid>
      <w:tr w:rsidTr="009168C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rPr>
                <w:rStyle w:val="SpecialBold"/>
              </w:rPr>
              <w:t>EVIDENCE GUIDE</w:t>
            </w:r>
          </w:p>
        </w:tc>
      </w:tr>
      <w:tr w:rsidTr="009168C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9</w:t>
            </w:r>
            <w:r w:rsidRPr="0068514E">
              <w:t xml:space="preserve">) This provides essential advice for assessment of the unit and must be read in conjunction with </w:t>
            </w:r>
            <w:r w:rsidRPr="0068514E">
              <w:t>the performance criteria and the range statement of the unit and the Training Package Assessment Guidelines.</w:t>
            </w:r>
          </w:p>
          <w:p w:rsidR="00000000" w:rsidP="0068514E">
            <w:pPr>
              <w:pStyle w:val="BodyText"/>
              <w:rPr>
                <w:lang w:val="en-NZ"/>
              </w:rPr>
            </w:pPr>
            <w:r w:rsidRPr="0068514E">
              <w:t>The Evidence Guide forms an integral part of this unit. It shall be used in conjunction with all components parts of the unit and performed in acco</w:t>
            </w:r>
            <w:r w:rsidRPr="0068514E">
              <w:t>rdance with the Assessment Guidelines of this Training Package.</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9</w:t>
            </w:r>
            <w:r w:rsidRPr="0068514E">
              <w:t>.</w:t>
            </w:r>
            <w:r w:rsidRPr="0068514E">
              <w:rPr>
                <w:rStyle w:val="SpecialBold"/>
              </w:rPr>
              <w:t>1</w:t>
            </w:r>
            <w:r w:rsidRPr="0068514E">
              <w:t xml:space="preserve">) </w:t>
            </w:r>
          </w:p>
          <w:p w:rsidR="00000000" w:rsidRPr="0068514E" w:rsidP="0068514E">
            <w:pPr>
              <w:pStyle w:val="BodyText"/>
            </w:pPr>
            <w:r w:rsidRPr="0068514E">
              <w:t>Longitudinal competency development approaches to assessment, such as Profiling, require data to be reliably gathered in a form that can be consistently interpreted over time. This approach is best utilised in Apprenticeship programs and reduces assessment</w:t>
            </w:r>
            <w:r w:rsidRPr="0068514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8514E">
              <w:t>ncy in a realistically simulated work environment. In some circumstances, assessment in part or full can occur outside the workplace. However, it must be in accordance with industry and regulatory policy.</w:t>
            </w:r>
          </w:p>
          <w:p w:rsidR="00000000" w:rsidRPr="0068514E" w:rsidP="0068514E">
            <w:pPr>
              <w:pStyle w:val="BodyText"/>
            </w:pPr>
            <w:r w:rsidRPr="0068514E">
              <w:t xml:space="preserve">Methods chosen for a particular assessment will be </w:t>
            </w:r>
            <w:r w:rsidRPr="0068514E">
              <w:t>influenced by various factors. These include the extent of the assessment, the most effective locations for the assessment activities to take place, access to physical resources, additional safety measures that may be required and the critical nature of th</w:t>
            </w:r>
            <w:r w:rsidRPr="0068514E">
              <w:t>e competencies being assessed.</w:t>
            </w:r>
          </w:p>
          <w:p w:rsidR="00000000" w:rsidRPr="0068514E" w:rsidP="0068514E">
            <w:pPr>
              <w:pStyle w:val="BodyText"/>
            </w:pPr>
            <w:r w:rsidRPr="0068514E">
              <w:t xml:space="preserve">The critical safety issues inherent in working with electricity, electrical equipment, gas or any other hazardous substance/material present a challenge for those determining competence. Sources of evidence need to be 'rich' </w:t>
            </w:r>
            <w:r w:rsidRPr="0068514E">
              <w:t>in nature so as to minimise error in judgment.</w:t>
            </w:r>
          </w:p>
          <w:p w:rsidR="00000000" w:rsidP="0068514E">
            <w:pPr>
              <w:pStyle w:val="BodyText"/>
              <w:rPr>
                <w:lang w:val="en-NZ"/>
              </w:rPr>
            </w:pPr>
            <w:r w:rsidRPr="0068514E">
              <w:t xml:space="preserve">Activities associated with normal every day work have a bearing on the decision as to how much and how detailed the data gathered will contribute to its 'richness'. Some skills are more critical to safety and </w:t>
            </w:r>
            <w:r w:rsidRPr="0068514E">
              <w:t>operational requirements while the same skills may be more or less frequently practised. These points are raised for the assessors to consider when choosing an assessment method and developing assessment instruments. Sample assessment instruments are inclu</w:t>
            </w:r>
            <w:r w:rsidRPr="0068514E">
              <w:t>ded for Assessors in the Assessment Guidelines of this Training Package.</w:t>
            </w:r>
          </w:p>
        </w:tc>
      </w:tr>
      <w:tr w:rsidTr="009168C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9</w:t>
            </w:r>
            <w:r w:rsidRPr="0068514E">
              <w:t>.</w:t>
            </w:r>
            <w:r w:rsidRPr="0068514E">
              <w:rPr>
                <w:rStyle w:val="SpecialBold"/>
              </w:rPr>
              <w:t>2</w:t>
            </w:r>
            <w:r w:rsidRPr="0068514E">
              <w:t xml:space="preserve">) </w:t>
            </w:r>
          </w:p>
          <w:p w:rsidR="00000000" w:rsidP="0068514E">
            <w:pPr>
              <w:pStyle w:val="BodyText"/>
              <w:rPr>
                <w:lang w:val="en-NZ"/>
              </w:rPr>
            </w:pPr>
            <w:r w:rsidRPr="0068514E">
              <w:t>Before the critical aspects of evidence are considered all prerequisites shall be met.</w:t>
            </w:r>
          </w:p>
        </w:tc>
      </w:tr>
      <w:tr w:rsidTr="009168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8514E">
            <w:pPr>
              <w:pStyle w:val="ListBullet"/>
              <w:rPr>
                <w:lang w:val="en-NZ"/>
              </w:rPr>
            </w:pPr>
            <w:r w:rsidRPr="0068514E">
              <w:t>A representative body of work performance demonstrated within the timeframes typically expected of the discipline, work function and industrial environment. In particular this shall incorporate evidence that shows a candidate is able to:</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8514E" w:rsidP="0068514E">
            <w:pPr>
              <w:pStyle w:val="ListBullet2"/>
            </w:pPr>
            <w:r w:rsidRPr="0068514E">
              <w:t>Implement Occupational Health and Safety workplace procedures and practices including the use of risk control measures as specified in the performance criteria and range statement</w:t>
            </w:r>
          </w:p>
          <w:p w:rsidR="00000000" w:rsidRPr="0068514E" w:rsidP="0068514E">
            <w:pPr>
              <w:pStyle w:val="ListBullet2"/>
            </w:pPr>
            <w:r w:rsidRPr="0068514E">
              <w:t>Apply sustainable energy principles and practices as specified in the perfor</w:t>
            </w:r>
            <w:r w:rsidRPr="0068514E">
              <w:t>mance criteria and range statement</w:t>
            </w:r>
          </w:p>
          <w:p w:rsidR="00000000" w:rsidRPr="0068514E" w:rsidP="0068514E">
            <w:pPr>
              <w:pStyle w:val="ListBullet2"/>
            </w:pPr>
            <w:r w:rsidRPr="0068514E">
              <w:t>Demonstrate an understanding of the essential knowledge and associated skills as described in this unit.  It may be required by some jurisdictions that RTOs provide a percentile graded result for the purpose of regulatory</w:t>
            </w:r>
            <w:r w:rsidRPr="0068514E">
              <w:t xml:space="preserve"> or licensing requirements.</w:t>
            </w:r>
          </w:p>
          <w:p w:rsidR="00000000" w:rsidRPr="0068514E" w:rsidP="0068514E">
            <w:pPr>
              <w:pStyle w:val="ListBullet2"/>
            </w:pPr>
            <w:r w:rsidRPr="0068514E">
              <w:t>Demonstrate an appropriate level of skills enabling employment</w:t>
            </w:r>
          </w:p>
          <w:p w:rsidR="00000000" w:rsidP="0068514E">
            <w:pPr>
              <w:pStyle w:val="ListBullet2"/>
              <w:rPr>
                <w:lang w:val="en-NZ"/>
              </w:rPr>
            </w:pPr>
            <w:r w:rsidRPr="0068514E">
              <w:t>Conduct work observing the relevant Anti Discrimination legislation, regulations, polices and workplace procedures</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8514E">
            <w:pPr>
              <w:pStyle w:val="ListBullet"/>
              <w:rPr>
                <w:lang w:val="en-NZ"/>
              </w:rPr>
            </w:pPr>
            <w:r w:rsidRPr="0068514E">
              <w:t>Demonstrated consistent performance across a representative range of contexts from the prescribed items below:</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8514E">
            <w:pPr>
              <w:pStyle w:val="ListBullet2"/>
              <w:rPr>
                <w:lang w:val="en-NZ"/>
              </w:rPr>
            </w:pPr>
            <w:r w:rsidRPr="0068514E">
              <w:t>Contribute to Intellectual Property Management as described in 8) and including:</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A</w:t>
            </w:r>
          </w:p>
        </w:tc>
        <w:tc>
          <w:tcPr>
            <w:tcW w:w="5040" w:type="dxa"/>
            <w:gridSpan w:val="2"/>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 xml:space="preserve">Demonstrating consistent performance for each Element of the unit </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B</w:t>
            </w:r>
          </w:p>
        </w:tc>
        <w:tc>
          <w:tcPr>
            <w:tcW w:w="5040" w:type="dxa"/>
            <w:gridSpan w:val="2"/>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Meeting the performance criteria associated with each Element of the unit by employing techniques, procedures, information and resources available in the workplace</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C</w:t>
            </w:r>
          </w:p>
        </w:tc>
        <w:tc>
          <w:tcPr>
            <w:tcW w:w="5040" w:type="dxa"/>
            <w:gridSpan w:val="2"/>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Demonstrating an understanding of the Underpinning Knowledge and Skills identified in the section of this unit titled 'Essential knowledge and associated skills'.</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Note:</w:t>
            </w:r>
            <w:r w:rsidRPr="0068514E">
              <w:br/>
              <w:t>Successful completion of relevant vendor training may be used to contribute to evide</w:t>
            </w:r>
            <w:r w:rsidRPr="0068514E">
              <w:t>nce on which competency is deemed. In these cases the alignment of outcomes of vendor training with performance criteria and critical aspects of evidence shall be clearly identified.</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9</w:t>
            </w:r>
            <w:r w:rsidRPr="0068514E">
              <w:t>.</w:t>
            </w:r>
            <w:r w:rsidRPr="0068514E">
              <w:rPr>
                <w:rStyle w:val="SpecialBold"/>
              </w:rPr>
              <w:t>3</w:t>
            </w:r>
            <w:r w:rsidRPr="0068514E">
              <w:t xml:space="preserve">) </w:t>
            </w:r>
          </w:p>
          <w:p w:rsidR="00000000" w:rsidRPr="0068514E" w:rsidP="0068514E">
            <w:pPr>
              <w:pStyle w:val="BodyText"/>
            </w:pPr>
            <w:r w:rsidRPr="0068514E">
              <w:t>This unit should be assessed as it relates to normal work practice using procedures, information and resources typical of a workplace. This should include:</w:t>
            </w:r>
          </w:p>
          <w:p w:rsidR="00000000" w:rsidRPr="0068514E" w:rsidP="0068514E">
            <w:pPr>
              <w:pStyle w:val="ListBullet"/>
            </w:pPr>
            <w:r w:rsidRPr="0068514E">
              <w:t>OHS policy and work procedures and instructions.</w:t>
            </w:r>
          </w:p>
          <w:p w:rsidR="00000000" w:rsidRPr="0068514E" w:rsidP="0068514E">
            <w:pPr>
              <w:pStyle w:val="ListBullet"/>
            </w:pPr>
            <w:r w:rsidRPr="0068514E">
              <w:t>Suitable work environment, facilities, equipment a</w:t>
            </w:r>
            <w:r w:rsidRPr="0068514E">
              <w:t>nd materials to undertake actual work as prescribed by this unit.</w:t>
            </w:r>
          </w:p>
          <w:p w:rsidR="00000000" w:rsidRPr="0068514E" w:rsidP="0068514E">
            <w:pPr>
              <w:pStyle w:val="BodyText"/>
            </w:pPr>
            <w:r w:rsidRPr="0068514E">
              <w:t>These should be part of the formal learning/assessment environment.</w:t>
            </w:r>
          </w:p>
          <w:p w:rsidR="00000000" w:rsidRPr="0068514E" w:rsidP="0068514E">
            <w:pPr>
              <w:pStyle w:val="BodyText"/>
            </w:pPr>
            <w:r w:rsidRPr="0068514E">
              <w:t>Note:</w:t>
            </w:r>
          </w:p>
          <w:p w:rsidR="00000000" w:rsidP="0068514E">
            <w:pPr>
              <w:pStyle w:val="BodyText"/>
              <w:rPr>
                <w:lang w:val="en-NZ"/>
              </w:rPr>
            </w:pPr>
            <w:r w:rsidRPr="0068514E">
              <w:t>Where simulation is considered a suitable strategy for assessment, conditions must be authentic and as far as possib</w:t>
            </w:r>
            <w:r w:rsidRPr="0068514E">
              <w:t>le reproduce and replicate the workplace and be consistent with the approved industry simulation policy.</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The resources used for assessment should reflect current industry practices in relation to contributing to Intellectual Property Management.</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9</w:t>
            </w:r>
            <w:r w:rsidRPr="0068514E">
              <w:t>.</w:t>
            </w:r>
            <w:r w:rsidRPr="0068514E">
              <w:rPr>
                <w:rStyle w:val="SpecialBold"/>
              </w:rPr>
              <w:t>4</w:t>
            </w:r>
            <w:r w:rsidRPr="0068514E">
              <w:t xml:space="preserve">) </w:t>
            </w:r>
          </w:p>
          <w:p w:rsidR="00000000" w:rsidRPr="0068514E" w:rsidP="0068514E">
            <w:pPr>
              <w:pStyle w:val="BodyText"/>
            </w:pPr>
            <w:r w:rsidRPr="0068514E">
              <w:t>This unit shall be assessed by methods given in Volume 1, Part 3 'Assessment Guidelines'.</w:t>
            </w:r>
          </w:p>
          <w:p w:rsidR="00000000" w:rsidP="0068514E">
            <w:pPr>
              <w:pStyle w:val="BodyText"/>
              <w:rPr>
                <w:lang w:val="en-NZ"/>
              </w:rPr>
            </w:pPr>
            <w:r w:rsidRPr="0068514E">
              <w:t>Note:</w:t>
            </w:r>
            <w:r w:rsidRPr="0068514E">
              <w:br/>
              <w:t>Competent performance with inherent safe working practices is expected in the Industry to which this unit applies. This requires asse</w:t>
            </w:r>
            <w:r w:rsidRPr="0068514E">
              <w:t>ssment in a structured environment which is intended primarily for learning/assessment and incorporates all necessary equipment and facilities for learners to develop and demonstrate the essential knowledge and skills described in this unit.</w:t>
            </w:r>
          </w:p>
        </w:tc>
      </w:tr>
      <w:tr w:rsidTr="009168C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Concurrent</w:t>
            </w:r>
            <w:r w:rsidRPr="0068514E">
              <w:rPr>
                <w:rStyle w:val="SpecialBold"/>
              </w:rPr>
              <w:t xml:space="preserve">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rPr>
                <w:rStyle w:val="SpecialBold"/>
              </w:rPr>
              <w:t>9</w:t>
            </w:r>
            <w:r w:rsidRPr="0068514E">
              <w:t>.</w:t>
            </w:r>
            <w:r w:rsidRPr="0068514E">
              <w:rPr>
                <w:rStyle w:val="SpecialBold"/>
              </w:rPr>
              <w:t>5</w:t>
            </w:r>
            <w:r w:rsidRPr="0068514E">
              <w:t>)</w:t>
            </w:r>
          </w:p>
        </w:tc>
      </w:tr>
      <w:tr w:rsidTr="009168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For optimisation of training and assessment effort, competency development in this unit may be arranged concurrently with unit:</w:t>
            </w:r>
          </w:p>
        </w:tc>
      </w:tr>
      <w:tr w:rsidTr="009168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BSXFM1504A</w:t>
            </w:r>
          </w:p>
        </w:tc>
        <w:tc>
          <w:tcPr>
            <w:tcW w:w="45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Participate in, lead and facilitate work teams</w:t>
            </w:r>
          </w:p>
        </w:tc>
      </w:tr>
      <w:tr w:rsidTr="009168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UEENEER001B</w:t>
            </w:r>
          </w:p>
        </w:tc>
        <w:tc>
          <w:tcPr>
            <w:tcW w:w="45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Contribute to the planning of a research project</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UEENEER002B</w:t>
            </w:r>
          </w:p>
        </w:tc>
        <w:tc>
          <w:tcPr>
            <w:tcW w:w="45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Conduct to the conduct of a research project</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UEENEER003B</w:t>
            </w:r>
          </w:p>
        </w:tc>
        <w:tc>
          <w:tcPr>
            <w:tcW w:w="45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Contribute to the development of a product/application/service</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UEENEER004B</w:t>
            </w:r>
          </w:p>
        </w:tc>
        <w:tc>
          <w:tcPr>
            <w:tcW w:w="45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Contribute to the trial of a product/application/service</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BSBCMN306A</w:t>
            </w:r>
          </w:p>
        </w:tc>
        <w:tc>
          <w:tcPr>
            <w:tcW w:w="45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Produce business documents</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BSBSBM405A</w:t>
            </w:r>
          </w:p>
        </w:tc>
        <w:tc>
          <w:tcPr>
            <w:tcW w:w="45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Monitor and manage business operations</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UEENEER006B</w:t>
            </w:r>
          </w:p>
        </w:tc>
        <w:tc>
          <w:tcPr>
            <w:tcW w:w="450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Contribute to the commercialisation of a product/application/service</w:t>
            </w:r>
          </w:p>
        </w:tc>
      </w:tr>
      <w:tr w:rsidTr="009168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PMBQUAL309A</w:t>
            </w:r>
          </w:p>
        </w:tc>
        <w:tc>
          <w:tcPr>
            <w:tcW w:w="450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t>Solve problems using 'quality tools'</w:t>
            </w:r>
          </w:p>
        </w:tc>
      </w:tr>
    </w:tbl>
    <w:p w:rsidR="009168C8" w:rsidP="0068514E">
      <w:pPr>
        <w:pStyle w:val="BodyText"/>
      </w:pPr>
    </w:p>
    <w:p w:rsidR="009168C8" w:rsidP="0068514E">
      <w:pPr>
        <w:pStyle w:val="BodyText"/>
      </w:pPr>
    </w:p>
    <w:p w:rsidR="00000000" w:rsidRPr="0068514E" w:rsidP="0068514E">
      <w:pPr>
        <w:pStyle w:val="Heading1"/>
      </w:pPr>
      <w:bookmarkStart w:id="11" w:name="O_444111"/>
      <w:bookmarkEnd w:id="11"/>
      <w:r w:rsidRPr="0068514E">
        <w:t>Range Statement</w:t>
      </w:r>
    </w:p>
    <w:tbl>
      <w:tblPr>
        <w:tblW w:w="0" w:type="auto"/>
        <w:tblLayout w:type="fixed"/>
        <w:tblCellMar>
          <w:left w:w="62" w:type="dxa"/>
          <w:right w:w="62" w:type="dxa"/>
        </w:tblCellMar>
        <w:tblLook w:val="0000"/>
      </w:tblPr>
      <w:tblGrid>
        <w:gridCol w:w="8460"/>
      </w:tblGrid>
      <w:tr w:rsidTr="009168C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rPr>
                <w:rStyle w:val="SpecialBold"/>
              </w:rPr>
              <w:t>RANGE STATEMENT</w:t>
            </w:r>
          </w:p>
        </w:tc>
      </w:tr>
      <w:tr w:rsidTr="009168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rPr>
                <w:rStyle w:val="SpecialBold"/>
              </w:rPr>
              <w:t>8</w:t>
            </w:r>
            <w:r w:rsidRPr="0068514E">
              <w:t>) This relates to the unit as a whole providing the range of contexts and conditions to which the performance criteria a</w:t>
            </w:r>
            <w:r w:rsidRPr="0068514E">
              <w:t>pply. It allows for different work environments and situations that will affect performance.</w:t>
            </w:r>
          </w:p>
        </w:tc>
      </w:tr>
      <w:tr w:rsidTr="009168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t xml:space="preserve">This unit describes work conducted by technical personnel who contribute to the planning and conduct of research and/or development and/or trialling of products, </w:t>
            </w:r>
            <w:r w:rsidRPr="0068514E">
              <w:t>applications and/or services and require knowledge and skills in Intellectual Property management in order complete these roles efficiently and effectively.</w:t>
            </w:r>
          </w:p>
          <w:p w:rsidR="00000000" w:rsidRPr="0068514E" w:rsidP="0068514E">
            <w:pPr>
              <w:pStyle w:val="BodyText"/>
            </w:pPr>
            <w:r w:rsidRPr="0068514E">
              <w:t xml:space="preserve">Typically the work covered by this unit is performed by high-level technicians, working as part of </w:t>
            </w:r>
            <w:r w:rsidRPr="0068514E">
              <w:t>a product/application/service research and/or design, development and implementation team. This generally involves working closely with a range of management and production/operations personnel and requires balancing the business and technical sides of the</w:t>
            </w:r>
            <w:r w:rsidRPr="0068514E">
              <w:t xml:space="preserve"> product/application/service being researched, developed, trialled and/or commercialised.</w:t>
            </w:r>
          </w:p>
          <w:p w:rsidR="00000000" w:rsidRPr="0068514E" w:rsidP="0068514E">
            <w:pPr>
              <w:pStyle w:val="BodyText"/>
            </w:pPr>
            <w:r w:rsidRPr="0068514E">
              <w:t>This unit does not require knowledge of industry sectors, equipment and/or materials other than that in which the learner works. It assumes an understanding of the op</w:t>
            </w:r>
            <w:r w:rsidRPr="0068514E">
              <w:t>eration of all relevant business processes but does not necessarily require them to be the responsibility of the learner.</w:t>
            </w:r>
          </w:p>
          <w:p w:rsidR="00000000" w:rsidP="0068514E">
            <w:pPr>
              <w:pStyle w:val="BodyText"/>
              <w:rPr>
                <w:lang w:val="en-NZ"/>
              </w:rPr>
            </w:pPr>
            <w:r w:rsidRPr="0068514E">
              <w:t>At this level, personnel should be able to interpret and explain those sections of legislation, codes, regulations, Australian Standar</w:t>
            </w:r>
            <w:r w:rsidRPr="0068514E">
              <w:t>ds and Intellectual Property rights that apply to the research, development and, where appropriate, commercialisation of a product/application/service.</w:t>
            </w:r>
          </w:p>
        </w:tc>
      </w:tr>
      <w:tr w:rsidTr="009168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t>Generic terms used throughout this Vocational Standard shall be regarded as part of the Range Statement</w:t>
            </w:r>
            <w:r w:rsidRPr="0068514E">
              <w:t xml:space="preserve"> in which competency is demonstrated. The definition of these and other terms that apply are given in Volume 2, Part 2.1.</w:t>
            </w:r>
          </w:p>
        </w:tc>
      </w:tr>
    </w:tbl>
    <w:p w:rsidR="009168C8" w:rsidP="0068514E">
      <w:pPr>
        <w:pStyle w:val="BodyText"/>
      </w:pPr>
    </w:p>
    <w:p w:rsidR="009168C8" w:rsidP="0068514E">
      <w:pPr>
        <w:pStyle w:val="BodyText"/>
      </w:pPr>
    </w:p>
    <w:p w:rsidR="00000000" w:rsidRPr="0068514E" w:rsidP="0068514E">
      <w:pPr>
        <w:pStyle w:val="Heading1"/>
      </w:pPr>
      <w:bookmarkStart w:id="12" w:name="O_444108"/>
      <w:bookmarkEnd w:id="12"/>
      <w:r w:rsidRPr="0068514E">
        <w:t>Unit Sector(s)</w:t>
      </w:r>
    </w:p>
    <w:p w:rsidR="00000000" w:rsidRPr="0068514E" w:rsidP="0068514E">
      <w:pPr>
        <w:pStyle w:val="BodyText"/>
      </w:pPr>
      <w:r w:rsidRPr="0068514E">
        <w:t>Not Applicable</w:t>
      </w:r>
    </w:p>
    <w:p w:rsidR="00000000" w:rsidRPr="0068514E" w:rsidP="0068514E">
      <w:pPr>
        <w:pStyle w:val="AllowPageBreak"/>
      </w:pPr>
    </w:p>
    <w:p w:rsidR="00000000" w:rsidRPr="0068514E" w:rsidP="0068514E">
      <w:pPr>
        <w:pStyle w:val="Heading1"/>
      </w:pPr>
      <w:bookmarkStart w:id="13" w:name="O_444121"/>
      <w:bookmarkEnd w:id="13"/>
      <w:r w:rsidRPr="0068514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168C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2</w:t>
            </w:r>
            <w:r w:rsidRPr="0068514E">
              <w:t>.</w:t>
            </w:r>
            <w:r w:rsidRPr="0068514E">
              <w:rPr>
                <w:rStyle w:val="SpecialBold"/>
              </w:rPr>
              <w:t>2</w:t>
            </w:r>
            <w:r w:rsidRPr="0068514E">
              <w:t xml:space="preserve">) </w:t>
            </w:r>
            <w:r w:rsidRPr="0068514E">
              <w:rPr>
                <w:rStyle w:val="SpecialBold"/>
              </w:rPr>
              <w:t>Literacy and numeracy skills</w:t>
            </w:r>
          </w:p>
          <w:p w:rsidR="00000000" w:rsidP="0068514E">
            <w:pPr>
              <w:pStyle w:val="BodyText"/>
              <w:rPr>
                <w:lang w:val="en-NZ"/>
              </w:rPr>
            </w:pPr>
            <w:r w:rsidRPr="0068514E">
              <w:t xml:space="preserve">Participants are best equipped to achieve competency in this unit if they have reading, writing and numeracy skills indicated by the following scales. Description of each scale is given in Volume 2, Part 3 'Literacy and Numeracy'. </w:t>
            </w:r>
          </w:p>
        </w:tc>
      </w:tr>
      <w:tr w:rsidTr="009168C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Reading</w:t>
            </w:r>
          </w:p>
        </w:tc>
        <w:tc>
          <w:tcPr>
            <w:tcW w:w="1182"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5</w:t>
            </w:r>
          </w:p>
        </w:tc>
        <w:tc>
          <w:tcPr>
            <w:tcW w:w="1739"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Writing</w:t>
            </w:r>
          </w:p>
        </w:tc>
        <w:tc>
          <w:tcPr>
            <w:tcW w:w="1182"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5</w:t>
            </w:r>
          </w:p>
        </w:tc>
        <w:tc>
          <w:tcPr>
            <w:tcW w:w="1721"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t>Numeracy</w:t>
            </w:r>
          </w:p>
        </w:tc>
        <w:tc>
          <w:tcPr>
            <w:tcW w:w="1182"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t>5</w:t>
            </w:r>
          </w:p>
        </w:tc>
      </w:tr>
    </w:tbl>
    <w:p w:rsidR="009168C8" w:rsidP="0068514E">
      <w:pPr>
        <w:pStyle w:val="BodyText"/>
      </w:pPr>
    </w:p>
    <w:p w:rsidR="009168C8" w:rsidP="0068514E">
      <w:pPr>
        <w:pStyle w:val="BodyText"/>
      </w:pPr>
    </w:p>
    <w:p w:rsidR="00000000" w:rsidRPr="0068514E" w:rsidP="0068514E">
      <w:pPr>
        <w:pStyle w:val="Heading1"/>
      </w:pPr>
      <w:bookmarkStart w:id="14" w:name="O_444120"/>
      <w:bookmarkEnd w:id="14"/>
      <w:r w:rsidRPr="0068514E">
        <w:t>Custom Content Section</w:t>
      </w:r>
    </w:p>
    <w:tbl>
      <w:tblPr>
        <w:tblW w:w="0" w:type="auto"/>
        <w:tblLayout w:type="fixed"/>
        <w:tblCellMar>
          <w:left w:w="62" w:type="dxa"/>
          <w:right w:w="62" w:type="dxa"/>
        </w:tblCellMar>
        <w:tblLook w:val="0000"/>
      </w:tblPr>
      <w:tblGrid>
        <w:gridCol w:w="2700"/>
        <w:gridCol w:w="5760"/>
      </w:tblGrid>
      <w:tr w:rsidTr="009168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8514E">
            <w:pPr>
              <w:pStyle w:val="BodyText"/>
              <w:rPr>
                <w:lang w:val="en-NZ"/>
              </w:rPr>
            </w:pPr>
            <w:r w:rsidRPr="0068514E">
              <w:rPr>
                <w:rStyle w:val="SpecialBold"/>
              </w:rPr>
              <w:t>5</w:t>
            </w:r>
            <w:r w:rsidRPr="0068514E">
              <w:t>)</w:t>
            </w:r>
          </w:p>
        </w:tc>
      </w:tr>
      <w:tr w:rsidTr="009168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514E" w:rsidP="0068514E">
            <w:pPr>
              <w:pStyle w:val="BodyText"/>
            </w:pPr>
            <w:r w:rsidRPr="0068514E">
              <w:t>Research</w:t>
            </w:r>
          </w:p>
        </w:tc>
      </w:tr>
    </w:tbl>
    <w:p w:rsidR="009168C8" w:rsidP="0068514E">
      <w:pPr>
        <w:pStyle w:val="BodyText"/>
      </w:pPr>
    </w:p>
    <w:p w:rsidR="009168C8" w:rsidP="0068514E">
      <w:pPr>
        <w:pStyle w:val="BodyText"/>
      </w:pPr>
    </w:p>
    <w:p w:rsidR="00000000" w:rsidRPr="0068514E" w:rsidP="0068514E"/>
    <w:sectPr w:rsidSect="006851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68C8" w:rsidP="009168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8C8" w:rsidP="006851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168C8" w:rsidP="006851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168C8" w:rsidP="006851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68C8" w:rsidP="009168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8C8" w:rsidP="0068514E">
    <w:pPr>
      <w:pStyle w:val="Header"/>
      <w:framePr w:wrap="around"/>
    </w:pPr>
    <w:r>
      <w:fldChar w:fldCharType="begin"/>
    </w:r>
    <w:r>
      <w:instrText xml:space="preserve"> TITLE   \* MERGEFORMAT </w:instrText>
    </w:r>
    <w:r>
      <w:fldChar w:fldCharType="separate"/>
    </w:r>
    <w:r>
      <w:t>UEENEER005B Contribute to intellectual property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68C8" w:rsidP="006851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5E0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E8E3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46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1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514E"/>
    <w:pPr>
      <w:spacing w:before="360" w:after="60"/>
      <w:outlineLvl w:val="0"/>
    </w:pPr>
    <w:rPr>
      <w:sz w:val="32"/>
    </w:rPr>
  </w:style>
  <w:style w:type="paragraph" w:styleId="Heading2">
    <w:name w:val="heading 2"/>
    <w:basedOn w:val="HeadingBase"/>
    <w:next w:val="BodyText"/>
    <w:link w:val="Heading2Char"/>
    <w:qFormat/>
    <w:rsid w:val="0068514E"/>
    <w:pPr>
      <w:keepLines/>
      <w:spacing w:before="240" w:after="120"/>
      <w:outlineLvl w:val="1"/>
    </w:pPr>
    <w:rPr>
      <w:sz w:val="28"/>
      <w:szCs w:val="40"/>
    </w:rPr>
  </w:style>
  <w:style w:type="paragraph" w:styleId="Heading3">
    <w:name w:val="heading 3"/>
    <w:basedOn w:val="HeadingBase"/>
    <w:next w:val="BodyText"/>
    <w:link w:val="Heading3Char"/>
    <w:qFormat/>
    <w:rsid w:val="0068514E"/>
    <w:pPr>
      <w:spacing w:before="180" w:after="120"/>
      <w:outlineLvl w:val="2"/>
    </w:pPr>
    <w:rPr>
      <w:spacing w:val="-10"/>
      <w:kern w:val="32"/>
    </w:rPr>
  </w:style>
  <w:style w:type="paragraph" w:styleId="Heading4">
    <w:name w:val="heading 4"/>
    <w:basedOn w:val="HeadingBase"/>
    <w:next w:val="BodyText"/>
    <w:link w:val="Heading4Char"/>
    <w:qFormat/>
    <w:rsid w:val="0068514E"/>
    <w:pPr>
      <w:spacing w:before="160" w:after="120"/>
      <w:outlineLvl w:val="3"/>
    </w:pPr>
    <w:rPr>
      <w:sz w:val="22"/>
    </w:rPr>
  </w:style>
  <w:style w:type="paragraph" w:styleId="Heading5">
    <w:name w:val="heading 5"/>
    <w:basedOn w:val="HeadingBase"/>
    <w:next w:val="Normal"/>
    <w:link w:val="Heading5Char"/>
    <w:qFormat/>
    <w:rsid w:val="0068514E"/>
    <w:pPr>
      <w:spacing w:before="80"/>
      <w:outlineLvl w:val="4"/>
    </w:pPr>
    <w:rPr>
      <w:color w:val="918585"/>
      <w:sz w:val="20"/>
    </w:rPr>
  </w:style>
  <w:style w:type="paragraph" w:styleId="Heading6">
    <w:name w:val="heading 6"/>
    <w:basedOn w:val="HeadingBase"/>
    <w:next w:val="Normal"/>
    <w:link w:val="Heading6Char"/>
    <w:qFormat/>
    <w:rsid w:val="0068514E"/>
    <w:pPr>
      <w:spacing w:before="60"/>
      <w:outlineLvl w:val="5"/>
    </w:pPr>
    <w:rPr>
      <w:color w:val="918585"/>
      <w:sz w:val="20"/>
    </w:rPr>
  </w:style>
  <w:style w:type="paragraph" w:styleId="Heading7">
    <w:name w:val="heading 7"/>
    <w:basedOn w:val="Normal"/>
    <w:next w:val="Normal"/>
    <w:link w:val="Heading7Char"/>
    <w:qFormat/>
    <w:rsid w:val="0068514E"/>
    <w:pPr>
      <w:ind w:left="720"/>
      <w:outlineLvl w:val="6"/>
    </w:pPr>
    <w:rPr>
      <w:i/>
    </w:rPr>
  </w:style>
  <w:style w:type="paragraph" w:styleId="Heading8">
    <w:name w:val="heading 8"/>
    <w:basedOn w:val="Normal"/>
    <w:next w:val="Normal"/>
    <w:link w:val="Heading8Char"/>
    <w:qFormat/>
    <w:rsid w:val="0068514E"/>
    <w:pPr>
      <w:ind w:left="720"/>
      <w:outlineLvl w:val="7"/>
    </w:pPr>
    <w:rPr>
      <w:i/>
    </w:rPr>
  </w:style>
  <w:style w:type="paragraph" w:styleId="Heading9">
    <w:name w:val="heading 9"/>
    <w:basedOn w:val="Normal"/>
    <w:next w:val="Normal"/>
    <w:link w:val="Heading9Char"/>
    <w:qFormat/>
    <w:rsid w:val="0068514E"/>
    <w:pPr>
      <w:ind w:left="720"/>
      <w:outlineLvl w:val="8"/>
    </w:pPr>
    <w:rPr>
      <w:i/>
    </w:rPr>
  </w:style>
  <w:style w:type="character" w:default="1" w:styleId="DefaultParagraphFont">
    <w:name w:val="Default Paragraph Font"/>
    <w:uiPriority w:val="1"/>
    <w:unhideWhenUsed/>
    <w:rsid w:val="006851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14E"/>
  </w:style>
  <w:style w:type="character" w:customStyle="1" w:styleId="Heading1Char">
    <w:name w:val="Heading 1 Char"/>
    <w:basedOn w:val="DefaultParagraphFont"/>
    <w:link w:val="Heading1"/>
    <w:rsid w:val="0068514E"/>
    <w:rPr>
      <w:rFonts w:ascii="Times New Roman" w:eastAsia="Times New Roman" w:hAnsi="Times New Roman" w:cs="Times New Roman"/>
      <w:b/>
      <w:sz w:val="32"/>
      <w:szCs w:val="20"/>
      <w:lang w:eastAsia="en-US"/>
    </w:rPr>
  </w:style>
  <w:style w:type="paragraph" w:styleId="BodyText">
    <w:name w:val="Body Text"/>
    <w:basedOn w:val="Normal"/>
    <w:link w:val="BodyTextChar"/>
    <w:rsid w:val="006851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514E"/>
    <w:rPr>
      <w:rFonts w:ascii="Times New Roman" w:eastAsia="Times New Roman" w:hAnsi="Times New Roman" w:cs="Times New Roman"/>
      <w:sz w:val="24"/>
      <w:lang w:val="en-US" w:eastAsia="en-US"/>
    </w:rPr>
  </w:style>
  <w:style w:type="paragraph" w:styleId="Footer">
    <w:name w:val="footer"/>
    <w:basedOn w:val="Normal"/>
    <w:link w:val="FooterChar"/>
    <w:rsid w:val="006851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14E"/>
    <w:rPr>
      <w:rFonts w:ascii="Times New Roman" w:eastAsia="Times New Roman" w:hAnsi="Times New Roman" w:cs="Times New Roman"/>
      <w:sz w:val="16"/>
      <w:lang w:val="en-US" w:eastAsia="en-US"/>
    </w:rPr>
  </w:style>
  <w:style w:type="paragraph" w:styleId="ListBullet">
    <w:name w:val="List Bullet"/>
    <w:basedOn w:val="List"/>
    <w:rsid w:val="0068514E"/>
    <w:pPr>
      <w:numPr>
        <w:numId w:val="13"/>
      </w:numPr>
      <w:tabs>
        <w:tab w:val="clear" w:pos="340"/>
      </w:tabs>
      <w:spacing w:before="40" w:after="40"/>
    </w:pPr>
  </w:style>
  <w:style w:type="character" w:customStyle="1" w:styleId="SpecialBold">
    <w:name w:val="Special Bold"/>
    <w:basedOn w:val="DefaultParagraphFont"/>
    <w:rsid w:val="0068514E"/>
    <w:rPr>
      <w:b/>
      <w:spacing w:val="0"/>
    </w:rPr>
  </w:style>
  <w:style w:type="paragraph" w:styleId="ListBullet2">
    <w:name w:val="List Bullet 2"/>
    <w:basedOn w:val="List2"/>
    <w:rsid w:val="0068514E"/>
    <w:pPr>
      <w:numPr>
        <w:numId w:val="14"/>
      </w:numPr>
      <w:tabs>
        <w:tab w:val="clear" w:pos="680"/>
      </w:tabs>
    </w:pPr>
  </w:style>
  <w:style w:type="paragraph" w:styleId="Header">
    <w:name w:val="header"/>
    <w:basedOn w:val="Normal"/>
    <w:link w:val="HeaderChar"/>
    <w:rsid w:val="006851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1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514E"/>
    <w:pPr>
      <w:spacing w:before="240" w:after="120"/>
      <w:outlineLvl w:val="0"/>
    </w:pPr>
    <w:rPr>
      <w:rFonts w:ascii="Times New Roman" w:hAnsi="Times New Roman"/>
      <w:b/>
      <w:sz w:val="28"/>
    </w:rPr>
  </w:style>
  <w:style w:type="paragraph" w:customStyle="1" w:styleId="AllowPageBreak">
    <w:name w:val="AllowPageBreak"/>
    <w:rsid w:val="006851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51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1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1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1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1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1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51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514E"/>
    <w:rPr>
      <w:rFonts w:ascii="Courier New" w:eastAsia="Times New Roman" w:hAnsi="Courier New" w:cs="Times New Roman"/>
      <w:i/>
      <w:szCs w:val="20"/>
      <w:lang w:val="en-US" w:eastAsia="en-US"/>
    </w:rPr>
  </w:style>
  <w:style w:type="paragraph" w:customStyle="1" w:styleId="HeadingBase">
    <w:name w:val="Heading Base"/>
    <w:rsid w:val="006851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14E"/>
    <w:pPr>
      <w:tabs>
        <w:tab w:val="right" w:leader="dot" w:pos="9072"/>
      </w:tabs>
      <w:ind w:left="567"/>
    </w:pPr>
    <w:rPr>
      <w:szCs w:val="22"/>
    </w:rPr>
  </w:style>
  <w:style w:type="paragraph" w:customStyle="1" w:styleId="TOCBase">
    <w:name w:val="TOC Base"/>
    <w:rsid w:val="006851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14E"/>
    <w:pPr>
      <w:tabs>
        <w:tab w:val="right" w:leader="dot" w:pos="9072"/>
      </w:tabs>
      <w:spacing w:before="40" w:after="40"/>
      <w:ind w:left="284"/>
    </w:pPr>
    <w:rPr>
      <w:rFonts w:ascii="Times New Roman" w:hAnsi="Times New Roman"/>
    </w:rPr>
  </w:style>
  <w:style w:type="paragraph" w:styleId="TOC1">
    <w:name w:val="toc 1"/>
    <w:basedOn w:val="TOCBase"/>
    <w:next w:val="Normal"/>
    <w:rsid w:val="006851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514E"/>
    <w:pPr>
      <w:spacing w:before="5040"/>
      <w:jc w:val="center"/>
    </w:pPr>
    <w:rPr>
      <w:sz w:val="48"/>
      <w:szCs w:val="72"/>
      <w:lang w:val="en-US"/>
    </w:rPr>
  </w:style>
  <w:style w:type="character" w:customStyle="1" w:styleId="TitleChar">
    <w:name w:val="Title Char"/>
    <w:basedOn w:val="DefaultParagraphFont"/>
    <w:link w:val="Title"/>
    <w:rsid w:val="006851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14E"/>
    <w:pPr>
      <w:tabs>
        <w:tab w:val="left" w:pos="3600"/>
        <w:tab w:val="left" w:pos="3958"/>
      </w:tabs>
    </w:pPr>
  </w:style>
  <w:style w:type="paragraph" w:styleId="List">
    <w:name w:val="List"/>
    <w:basedOn w:val="BodyText"/>
    <w:next w:val="BodyText"/>
    <w:rsid w:val="0068514E"/>
    <w:pPr>
      <w:tabs>
        <w:tab w:val="left" w:pos="340"/>
      </w:tabs>
      <w:spacing w:before="60" w:after="60"/>
      <w:ind w:left="340" w:hanging="340"/>
    </w:pPr>
  </w:style>
  <w:style w:type="paragraph" w:customStyle="1" w:styleId="Note">
    <w:name w:val="Note"/>
    <w:basedOn w:val="BodyText"/>
    <w:rsid w:val="006851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14E"/>
    <w:pPr>
      <w:framePr w:wrap="auto" w:hAnchor="text" w:y="6049"/>
    </w:pPr>
    <w:rPr>
      <w:color w:val="000000"/>
      <w:sz w:val="40"/>
    </w:rPr>
  </w:style>
  <w:style w:type="paragraph" w:customStyle="1" w:styleId="TOCTitle">
    <w:name w:val="TOCTitle"/>
    <w:basedOn w:val="Heading1"/>
    <w:rsid w:val="0068514E"/>
    <w:pPr>
      <w:spacing w:after="240"/>
      <w:jc w:val="center"/>
      <w:outlineLvl w:val="9"/>
    </w:pPr>
    <w:rPr>
      <w:caps/>
    </w:rPr>
  </w:style>
  <w:style w:type="paragraph" w:customStyle="1" w:styleId="Version">
    <w:name w:val="Version"/>
    <w:rsid w:val="006851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14E"/>
    <w:pPr>
      <w:keepNext w:val="0"/>
      <w:tabs>
        <w:tab w:val="right" w:pos="4176"/>
      </w:tabs>
      <w:ind w:left="198" w:hanging="198"/>
    </w:pPr>
    <w:rPr>
      <w:rFonts w:ascii="Garamond" w:hAnsi="Garamond"/>
    </w:rPr>
  </w:style>
  <w:style w:type="paragraph" w:styleId="IndexHeading">
    <w:name w:val="index heading"/>
    <w:basedOn w:val="Normal"/>
    <w:next w:val="Index1"/>
    <w:semiHidden/>
    <w:rsid w:val="0068514E"/>
    <w:pPr>
      <w:spacing w:before="120" w:after="120"/>
    </w:pPr>
    <w:rPr>
      <w:rFonts w:ascii="Arial" w:hAnsi="Arial"/>
      <w:b/>
      <w:color w:val="918585"/>
      <w:sz w:val="24"/>
    </w:rPr>
  </w:style>
  <w:style w:type="paragraph" w:customStyle="1" w:styleId="Chapter">
    <w:name w:val="Chapter"/>
    <w:basedOn w:val="Normal"/>
    <w:rsid w:val="0068514E"/>
    <w:pPr>
      <w:spacing w:before="240"/>
    </w:pPr>
    <w:rPr>
      <w:rFonts w:ascii="Times New Roman" w:hAnsi="Times New Roman"/>
      <w:smallCaps/>
      <w:spacing w:val="80"/>
      <w:sz w:val="28"/>
    </w:rPr>
  </w:style>
  <w:style w:type="paragraph" w:customStyle="1" w:styleId="InChapter">
    <w:name w:val="InChapter"/>
    <w:basedOn w:val="Heading3"/>
    <w:rsid w:val="0068514E"/>
    <w:pPr>
      <w:spacing w:after="240"/>
      <w:outlineLvl w:val="9"/>
    </w:pPr>
    <w:rPr>
      <w:noProof/>
    </w:rPr>
  </w:style>
  <w:style w:type="paragraph" w:styleId="Index2">
    <w:name w:val="index 2"/>
    <w:basedOn w:val="Normal"/>
    <w:next w:val="Normal"/>
    <w:semiHidden/>
    <w:rsid w:val="0068514E"/>
    <w:pPr>
      <w:tabs>
        <w:tab w:val="right" w:pos="4176"/>
      </w:tabs>
      <w:ind w:left="568" w:hanging="284"/>
    </w:pPr>
    <w:rPr>
      <w:rFonts w:ascii="Garamond" w:hAnsi="Garamond"/>
    </w:rPr>
  </w:style>
  <w:style w:type="paragraph" w:customStyle="1" w:styleId="Byline">
    <w:name w:val="Byline"/>
    <w:rsid w:val="006851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14E"/>
    <w:pPr>
      <w:tabs>
        <w:tab w:val="clear" w:pos="3600"/>
        <w:tab w:val="clear" w:pos="3958"/>
      </w:tabs>
      <w:jc w:val="right"/>
    </w:pPr>
  </w:style>
  <w:style w:type="character" w:styleId="Emphasis">
    <w:name w:val="Emphasis"/>
    <w:basedOn w:val="DefaultParagraphFont"/>
    <w:qFormat/>
    <w:rsid w:val="0068514E"/>
    <w:rPr>
      <w:i/>
    </w:rPr>
  </w:style>
  <w:style w:type="paragraph" w:styleId="Caption">
    <w:name w:val="caption"/>
    <w:basedOn w:val="BodyText"/>
    <w:next w:val="Normal"/>
    <w:qFormat/>
    <w:rsid w:val="0068514E"/>
    <w:pPr>
      <w:framePr w:w="2268" w:hSpace="181" w:vSpace="181" w:wrap="around" w:vAnchor="text" w:hAnchor="page" w:x="1135" w:y="285" w:anchorLock="1"/>
    </w:pPr>
    <w:rPr>
      <w:i/>
    </w:rPr>
  </w:style>
  <w:style w:type="paragraph" w:customStyle="1" w:styleId="MiniTOCTitle">
    <w:name w:val="MiniTOCTitle"/>
    <w:basedOn w:val="Heading4"/>
    <w:rsid w:val="0068514E"/>
    <w:pPr>
      <w:spacing w:before="240"/>
      <w:outlineLvl w:val="9"/>
    </w:pPr>
    <w:rPr>
      <w:noProof/>
      <w:sz w:val="24"/>
    </w:rPr>
  </w:style>
  <w:style w:type="paragraph" w:customStyle="1" w:styleId="MiniTOCItem">
    <w:name w:val="MiniTOCItem"/>
    <w:basedOn w:val="ListBullet"/>
    <w:rsid w:val="0068514E"/>
    <w:pPr>
      <w:numPr>
        <w:numId w:val="0"/>
      </w:numPr>
      <w:tabs>
        <w:tab w:val="right" w:leader="dot" w:pos="6521"/>
      </w:tabs>
      <w:spacing w:before="0" w:after="0"/>
    </w:pPr>
  </w:style>
  <w:style w:type="paragraph" w:customStyle="1" w:styleId="TOFTitle">
    <w:name w:val="TOFTitle"/>
    <w:basedOn w:val="TOCTitle"/>
    <w:rsid w:val="0068514E"/>
  </w:style>
  <w:style w:type="paragraph" w:styleId="TableofFigures">
    <w:name w:val="table of figures"/>
    <w:basedOn w:val="Normal"/>
    <w:next w:val="Normal"/>
    <w:semiHidden/>
    <w:rsid w:val="0068514E"/>
    <w:pPr>
      <w:tabs>
        <w:tab w:val="right" w:leader="dot" w:pos="9072"/>
      </w:tabs>
      <w:ind w:left="970" w:hanging="403"/>
    </w:pPr>
    <w:rPr>
      <w:rFonts w:ascii="Times New Roman" w:hAnsi="Times New Roman"/>
      <w:b/>
    </w:rPr>
  </w:style>
  <w:style w:type="paragraph" w:styleId="ListNumber">
    <w:name w:val="List Number"/>
    <w:basedOn w:val="List"/>
    <w:rsid w:val="0068514E"/>
    <w:pPr>
      <w:numPr>
        <w:numId w:val="11"/>
      </w:numPr>
    </w:pPr>
  </w:style>
  <w:style w:type="character" w:customStyle="1" w:styleId="WingdingSymbols">
    <w:name w:val="Wingding Symbols"/>
    <w:rsid w:val="0068514E"/>
    <w:rPr>
      <w:rFonts w:ascii="Wingdings" w:hAnsi="Wingdings"/>
    </w:rPr>
  </w:style>
  <w:style w:type="paragraph" w:customStyle="1" w:styleId="TableHeading">
    <w:name w:val="Table Heading"/>
    <w:basedOn w:val="HeadingBase"/>
    <w:rsid w:val="0068514E"/>
    <w:pPr>
      <w:keepLines/>
      <w:pBdr>
        <w:bottom w:val="single" w:sz="6" w:space="1" w:color="918585"/>
      </w:pBdr>
      <w:spacing w:before="240"/>
    </w:pPr>
  </w:style>
  <w:style w:type="character" w:customStyle="1" w:styleId="HotSpot">
    <w:name w:val="HotSpot"/>
    <w:rsid w:val="0068514E"/>
    <w:rPr>
      <w:color w:val="0033CC"/>
      <w:u w:val="none"/>
    </w:rPr>
  </w:style>
  <w:style w:type="paragraph" w:customStyle="1" w:styleId="BodyTextRight">
    <w:name w:val="Body Text Right"/>
    <w:basedOn w:val="BodyText"/>
    <w:rsid w:val="0068514E"/>
    <w:pPr>
      <w:spacing w:before="0" w:after="0"/>
      <w:jc w:val="right"/>
    </w:pPr>
  </w:style>
  <w:style w:type="paragraph" w:styleId="Index3">
    <w:name w:val="index 3"/>
    <w:basedOn w:val="ListNumber2"/>
    <w:next w:val="Normal"/>
    <w:semiHidden/>
    <w:rsid w:val="0068514E"/>
    <w:pPr>
      <w:numPr>
        <w:numId w:val="0"/>
      </w:numPr>
      <w:tabs>
        <w:tab w:val="right" w:leader="dot" w:pos="4176"/>
      </w:tabs>
    </w:pPr>
  </w:style>
  <w:style w:type="paragraph" w:styleId="ListNumber2">
    <w:name w:val="List Number 2"/>
    <w:basedOn w:val="List2"/>
    <w:rsid w:val="0068514E"/>
    <w:pPr>
      <w:numPr>
        <w:numId w:val="10"/>
      </w:numPr>
      <w:tabs>
        <w:tab w:val="clear" w:pos="1060"/>
      </w:tabs>
    </w:pPr>
  </w:style>
  <w:style w:type="paragraph" w:customStyle="1" w:styleId="MarginNote">
    <w:name w:val="Margin Note"/>
    <w:basedOn w:val="BodyText"/>
    <w:rsid w:val="006851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1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1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514E"/>
    <w:rPr>
      <w:sz w:val="32"/>
    </w:rPr>
  </w:style>
  <w:style w:type="paragraph" w:customStyle="1" w:styleId="HeadingProcedure">
    <w:name w:val="Heading Procedure"/>
    <w:basedOn w:val="HeadingBase"/>
    <w:next w:val="Normal"/>
    <w:rsid w:val="0068514E"/>
    <w:pPr>
      <w:tabs>
        <w:tab w:val="left" w:pos="0"/>
      </w:tabs>
      <w:spacing w:before="120" w:after="60"/>
    </w:pPr>
    <w:rPr>
      <w:i/>
      <w:color w:val="918585"/>
      <w:sz w:val="22"/>
    </w:rPr>
  </w:style>
  <w:style w:type="paragraph" w:customStyle="1" w:styleId="TableBodyText">
    <w:name w:val="Table Body Text"/>
    <w:basedOn w:val="BodyText"/>
    <w:rsid w:val="0068514E"/>
    <w:pPr>
      <w:spacing w:before="60" w:after="60"/>
    </w:pPr>
  </w:style>
  <w:style w:type="paragraph" w:styleId="ListContinue">
    <w:name w:val="List Continue"/>
    <w:basedOn w:val="List"/>
    <w:rsid w:val="0068514E"/>
    <w:pPr>
      <w:ind w:firstLine="0"/>
    </w:pPr>
  </w:style>
  <w:style w:type="paragraph" w:customStyle="1" w:styleId="ListNote">
    <w:name w:val="List Note"/>
    <w:basedOn w:val="List"/>
    <w:rsid w:val="0068514E"/>
    <w:pPr>
      <w:pBdr>
        <w:top w:val="single" w:sz="6" w:space="2" w:color="918585"/>
        <w:bottom w:val="single" w:sz="6" w:space="2" w:color="918585"/>
      </w:pBdr>
      <w:tabs>
        <w:tab w:val="left" w:pos="1021"/>
      </w:tabs>
      <w:ind w:firstLine="0"/>
    </w:pPr>
  </w:style>
  <w:style w:type="paragraph" w:customStyle="1" w:styleId="Warning">
    <w:name w:val="Warning"/>
    <w:basedOn w:val="BodyText"/>
    <w:rsid w:val="0068514E"/>
    <w:pPr>
      <w:shd w:val="clear" w:color="auto" w:fill="D9D9D9"/>
      <w:tabs>
        <w:tab w:val="left" w:pos="992"/>
      </w:tabs>
      <w:ind w:left="119" w:right="119"/>
    </w:pPr>
    <w:rPr>
      <w:sz w:val="20"/>
    </w:rPr>
  </w:style>
  <w:style w:type="paragraph" w:customStyle="1" w:styleId="MarginIcons">
    <w:name w:val="Margin Icons"/>
    <w:basedOn w:val="BodyText"/>
    <w:rsid w:val="006851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14E"/>
    <w:rPr>
      <w:rFonts w:ascii="Courier New" w:hAnsi="Courier New"/>
    </w:rPr>
  </w:style>
  <w:style w:type="paragraph" w:customStyle="1" w:styleId="NoteBullet">
    <w:name w:val="Note Bullet"/>
    <w:basedOn w:val="Note"/>
    <w:rsid w:val="0068514E"/>
    <w:pPr>
      <w:tabs>
        <w:tab w:val="clear" w:pos="680"/>
      </w:tabs>
      <w:spacing w:before="60" w:after="60"/>
    </w:pPr>
  </w:style>
  <w:style w:type="paragraph" w:customStyle="1" w:styleId="SubHeading2">
    <w:name w:val="SubHeading2"/>
    <w:basedOn w:val="HeadingBase"/>
    <w:rsid w:val="0068514E"/>
    <w:pPr>
      <w:spacing w:before="240" w:after="60"/>
    </w:pPr>
    <w:rPr>
      <w:sz w:val="20"/>
    </w:rPr>
  </w:style>
  <w:style w:type="paragraph" w:customStyle="1" w:styleId="SubHeading1">
    <w:name w:val="SubHeading1"/>
    <w:basedOn w:val="HeadingBase"/>
    <w:rsid w:val="0068514E"/>
    <w:pPr>
      <w:spacing w:before="240" w:after="60"/>
    </w:pPr>
    <w:rPr>
      <w:color w:val="918585"/>
      <w:sz w:val="22"/>
    </w:rPr>
  </w:style>
  <w:style w:type="paragraph" w:customStyle="1" w:styleId="SideHeading">
    <w:name w:val="Side Heading"/>
    <w:basedOn w:val="HeadingBase"/>
    <w:rsid w:val="006851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14E"/>
    <w:pPr>
      <w:numPr>
        <w:numId w:val="12"/>
      </w:numPr>
    </w:pPr>
  </w:style>
  <w:style w:type="paragraph" w:styleId="PlainText">
    <w:name w:val="Plain Text"/>
    <w:basedOn w:val="Normal"/>
    <w:link w:val="PlainTextChar"/>
    <w:rsid w:val="0068514E"/>
    <w:rPr>
      <w:sz w:val="20"/>
    </w:rPr>
  </w:style>
  <w:style w:type="character" w:customStyle="1" w:styleId="PlainTextChar">
    <w:name w:val="Plain Text Char"/>
    <w:basedOn w:val="DefaultParagraphFont"/>
    <w:link w:val="PlainText"/>
    <w:rsid w:val="006851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514E"/>
    <w:rPr>
      <w:b/>
      <w:smallCaps/>
    </w:rPr>
  </w:style>
  <w:style w:type="paragraph" w:customStyle="1" w:styleId="TableListNumber">
    <w:name w:val="Table List Number"/>
    <w:basedOn w:val="ListNumber"/>
    <w:rsid w:val="0068514E"/>
    <w:pPr>
      <w:numPr>
        <w:numId w:val="0"/>
      </w:numPr>
    </w:pPr>
  </w:style>
  <w:style w:type="paragraph" w:styleId="TOC4">
    <w:name w:val="toc 4"/>
    <w:basedOn w:val="TOCBase"/>
    <w:next w:val="Normal"/>
    <w:semiHidden/>
    <w:rsid w:val="0068514E"/>
    <w:pPr>
      <w:tabs>
        <w:tab w:val="right" w:leader="dot" w:pos="9071"/>
      </w:tabs>
      <w:ind w:left="1701"/>
    </w:pPr>
  </w:style>
  <w:style w:type="paragraph" w:customStyle="1" w:styleId="ListAlpha">
    <w:name w:val="List Alpha"/>
    <w:basedOn w:val="List"/>
    <w:rsid w:val="0068514E"/>
    <w:pPr>
      <w:numPr>
        <w:numId w:val="9"/>
      </w:numPr>
    </w:pPr>
  </w:style>
  <w:style w:type="paragraph" w:customStyle="1" w:styleId="ListAlpha2">
    <w:name w:val="List Alpha 2"/>
    <w:basedOn w:val="List2"/>
    <w:rsid w:val="0068514E"/>
    <w:pPr>
      <w:numPr>
        <w:numId w:val="8"/>
      </w:numPr>
    </w:pPr>
  </w:style>
  <w:style w:type="paragraph" w:styleId="List2">
    <w:name w:val="List 2"/>
    <w:basedOn w:val="BodyText"/>
    <w:rsid w:val="0068514E"/>
    <w:pPr>
      <w:tabs>
        <w:tab w:val="left" w:pos="680"/>
      </w:tabs>
      <w:spacing w:before="60" w:after="60"/>
      <w:ind w:left="680" w:hanging="340"/>
    </w:pPr>
  </w:style>
  <w:style w:type="paragraph" w:styleId="List3">
    <w:name w:val="List 3"/>
    <w:basedOn w:val="BodyText"/>
    <w:rsid w:val="0068514E"/>
    <w:pPr>
      <w:tabs>
        <w:tab w:val="left" w:pos="1021"/>
      </w:tabs>
      <w:spacing w:before="60" w:after="60"/>
      <w:ind w:left="1020" w:hanging="340"/>
    </w:pPr>
  </w:style>
  <w:style w:type="paragraph" w:styleId="List4">
    <w:name w:val="List 4"/>
    <w:basedOn w:val="BodyText"/>
    <w:rsid w:val="0068514E"/>
    <w:pPr>
      <w:tabs>
        <w:tab w:val="left" w:pos="1361"/>
      </w:tabs>
      <w:spacing w:before="60" w:after="60"/>
      <w:ind w:left="1361" w:hanging="340"/>
    </w:pPr>
  </w:style>
  <w:style w:type="paragraph" w:styleId="List5">
    <w:name w:val="List 5"/>
    <w:basedOn w:val="BodyText"/>
    <w:rsid w:val="0068514E"/>
    <w:pPr>
      <w:tabs>
        <w:tab w:val="left" w:pos="1701"/>
      </w:tabs>
      <w:spacing w:before="60" w:after="60"/>
      <w:ind w:left="1701" w:hanging="340"/>
    </w:pPr>
  </w:style>
  <w:style w:type="paragraph" w:styleId="ListBullet3">
    <w:name w:val="List Bullet 3"/>
    <w:basedOn w:val="List3"/>
    <w:rsid w:val="0068514E"/>
    <w:pPr>
      <w:numPr>
        <w:numId w:val="15"/>
      </w:numPr>
      <w:tabs>
        <w:tab w:val="clear" w:pos="1021"/>
      </w:tabs>
      <w:ind w:left="1037" w:hanging="357"/>
    </w:pPr>
  </w:style>
  <w:style w:type="paragraph" w:styleId="ListBullet4">
    <w:name w:val="List Bullet 4"/>
    <w:basedOn w:val="List4"/>
    <w:rsid w:val="0068514E"/>
    <w:pPr>
      <w:numPr>
        <w:numId w:val="3"/>
      </w:numPr>
    </w:pPr>
  </w:style>
  <w:style w:type="paragraph" w:styleId="ListBullet5">
    <w:name w:val="List Bullet 5"/>
    <w:basedOn w:val="List5"/>
    <w:rsid w:val="0068514E"/>
    <w:pPr>
      <w:numPr>
        <w:numId w:val="4"/>
      </w:numPr>
    </w:pPr>
  </w:style>
  <w:style w:type="paragraph" w:styleId="ListContinue2">
    <w:name w:val="List Continue 2"/>
    <w:basedOn w:val="List2"/>
    <w:rsid w:val="0068514E"/>
    <w:pPr>
      <w:ind w:firstLine="0"/>
    </w:pPr>
  </w:style>
  <w:style w:type="paragraph" w:styleId="ListContinue3">
    <w:name w:val="List Continue 3"/>
    <w:basedOn w:val="List3"/>
    <w:rsid w:val="0068514E"/>
    <w:pPr>
      <w:ind w:left="1021" w:firstLine="0"/>
    </w:pPr>
  </w:style>
  <w:style w:type="paragraph" w:styleId="ListContinue4">
    <w:name w:val="List Continue 4"/>
    <w:basedOn w:val="List4"/>
    <w:rsid w:val="0068514E"/>
    <w:pPr>
      <w:ind w:firstLine="0"/>
    </w:pPr>
  </w:style>
  <w:style w:type="paragraph" w:styleId="ListContinue5">
    <w:name w:val="List Continue 5"/>
    <w:basedOn w:val="List5"/>
    <w:rsid w:val="0068514E"/>
    <w:pPr>
      <w:ind w:firstLine="0"/>
    </w:pPr>
  </w:style>
  <w:style w:type="paragraph" w:styleId="ListNumber3">
    <w:name w:val="List Number 3"/>
    <w:basedOn w:val="List3"/>
    <w:rsid w:val="0068514E"/>
    <w:pPr>
      <w:numPr>
        <w:numId w:val="5"/>
      </w:numPr>
    </w:pPr>
  </w:style>
  <w:style w:type="paragraph" w:styleId="ListNumber4">
    <w:name w:val="List Number 4"/>
    <w:basedOn w:val="List4"/>
    <w:rsid w:val="0068514E"/>
    <w:pPr>
      <w:numPr>
        <w:numId w:val="6"/>
      </w:numPr>
    </w:pPr>
  </w:style>
  <w:style w:type="paragraph" w:styleId="ListNumber5">
    <w:name w:val="List Number 5"/>
    <w:basedOn w:val="List5"/>
    <w:rsid w:val="0068514E"/>
    <w:pPr>
      <w:numPr>
        <w:numId w:val="7"/>
      </w:numPr>
    </w:pPr>
  </w:style>
  <w:style w:type="paragraph" w:styleId="BlockText">
    <w:name w:val="Block Text"/>
    <w:basedOn w:val="Normal"/>
    <w:rsid w:val="0068514E"/>
    <w:pPr>
      <w:spacing w:after="120"/>
      <w:ind w:left="1440" w:right="1440"/>
    </w:pPr>
  </w:style>
  <w:style w:type="character" w:customStyle="1" w:styleId="Subscript">
    <w:name w:val="Subscript"/>
    <w:basedOn w:val="DefaultParagraphFont"/>
    <w:rsid w:val="0068514E"/>
    <w:rPr>
      <w:sz w:val="16"/>
      <w:vertAlign w:val="subscript"/>
    </w:rPr>
  </w:style>
  <w:style w:type="character" w:customStyle="1" w:styleId="Superscript">
    <w:name w:val="Superscript"/>
    <w:basedOn w:val="DefaultParagraphFont"/>
    <w:rsid w:val="0068514E"/>
    <w:rPr>
      <w:sz w:val="16"/>
      <w:vertAlign w:val="superscript"/>
    </w:rPr>
  </w:style>
  <w:style w:type="character" w:customStyle="1" w:styleId="Symbols">
    <w:name w:val="Symbols"/>
    <w:basedOn w:val="DefaultParagraphFont"/>
    <w:rsid w:val="0068514E"/>
    <w:rPr>
      <w:rFonts w:ascii="Symbol" w:hAnsi="Symbol"/>
    </w:rPr>
  </w:style>
  <w:style w:type="character" w:customStyle="1" w:styleId="MenuOptions">
    <w:name w:val="Menu Options"/>
    <w:basedOn w:val="DefaultParagraphFont"/>
    <w:rsid w:val="0068514E"/>
    <w:rPr>
      <w:rFonts w:ascii="Arial Narrow" w:hAnsi="Arial Narrow"/>
      <w:smallCaps/>
    </w:rPr>
  </w:style>
  <w:style w:type="character" w:customStyle="1" w:styleId="Buttons">
    <w:name w:val="Buttons"/>
    <w:basedOn w:val="DefaultParagraphFont"/>
    <w:rsid w:val="0068514E"/>
    <w:rPr>
      <w:b/>
    </w:rPr>
  </w:style>
  <w:style w:type="character" w:customStyle="1" w:styleId="Underlined">
    <w:name w:val="Underlined"/>
    <w:basedOn w:val="DefaultParagraphFont"/>
    <w:rsid w:val="0068514E"/>
    <w:rPr>
      <w:u w:val="single"/>
    </w:rPr>
  </w:style>
  <w:style w:type="paragraph" w:customStyle="1" w:styleId="TableBodyTextRight">
    <w:name w:val="Table Body Text Right"/>
    <w:basedOn w:val="TableBodyText"/>
    <w:rsid w:val="0068514E"/>
    <w:pPr>
      <w:widowControl w:val="0"/>
      <w:autoSpaceDE w:val="0"/>
      <w:autoSpaceDN w:val="0"/>
      <w:adjustRightInd w:val="0"/>
      <w:jc w:val="right"/>
    </w:pPr>
    <w:rPr>
      <w:rFonts w:cs="Arial"/>
      <w:szCs w:val="18"/>
    </w:rPr>
  </w:style>
  <w:style w:type="paragraph" w:customStyle="1" w:styleId="CopyrightText">
    <w:name w:val="Copyright Text"/>
    <w:basedOn w:val="BodyText"/>
    <w:rsid w:val="0068514E"/>
    <w:rPr>
      <w:sz w:val="18"/>
    </w:rPr>
  </w:style>
  <w:style w:type="paragraph" w:customStyle="1" w:styleId="BodySmallRight">
    <w:name w:val="Body Small Right"/>
    <w:basedOn w:val="BodyTextRight"/>
    <w:rsid w:val="0068514E"/>
    <w:rPr>
      <w:sz w:val="18"/>
      <w:szCs w:val="18"/>
    </w:rPr>
  </w:style>
  <w:style w:type="paragraph" w:customStyle="1" w:styleId="MarginEdition">
    <w:name w:val="Margin Edition"/>
    <w:basedOn w:val="MarginNote"/>
    <w:rsid w:val="0068514E"/>
    <w:pPr>
      <w:spacing w:before="0" w:after="0"/>
    </w:pPr>
    <w:rPr>
      <w:rFonts w:ascii="Times New Roman" w:hAnsi="Times New Roman"/>
      <w:color w:val="999999"/>
    </w:rPr>
  </w:style>
  <w:style w:type="paragraph" w:customStyle="1" w:styleId="Spacer">
    <w:name w:val="Spacer"/>
    <w:basedOn w:val="Normal"/>
    <w:rsid w:val="0068514E"/>
    <w:rPr>
      <w:sz w:val="2"/>
      <w:szCs w:val="2"/>
    </w:rPr>
  </w:style>
  <w:style w:type="character" w:customStyle="1" w:styleId="Small">
    <w:name w:val="Small"/>
    <w:basedOn w:val="DefaultParagraphFont"/>
    <w:rsid w:val="0068514E"/>
    <w:rPr>
      <w:sz w:val="16"/>
    </w:rPr>
  </w:style>
  <w:style w:type="paragraph" w:customStyle="1" w:styleId="WideTable">
    <w:name w:val="Wide Table"/>
    <w:basedOn w:val="Normal"/>
    <w:rsid w:val="0068514E"/>
    <w:pPr>
      <w:ind w:left="-1418"/>
    </w:pPr>
    <w:rPr>
      <w:sz w:val="2"/>
      <w:szCs w:val="2"/>
    </w:rPr>
  </w:style>
  <w:style w:type="character" w:styleId="PageNumber">
    <w:name w:val="page number"/>
    <w:basedOn w:val="DefaultParagraphFont"/>
    <w:rsid w:val="0068514E"/>
  </w:style>
  <w:style w:type="paragraph" w:styleId="Quote">
    <w:name w:val="Quote"/>
    <w:basedOn w:val="Heading1"/>
    <w:link w:val="QuoteChar"/>
    <w:qFormat/>
    <w:rsid w:val="0068514E"/>
    <w:rPr>
      <w:b w:val="0"/>
      <w:sz w:val="72"/>
      <w:szCs w:val="72"/>
      <w:lang w:val="en-NZ"/>
    </w:rPr>
  </w:style>
  <w:style w:type="character" w:customStyle="1" w:styleId="QuoteChar">
    <w:name w:val="Quote Char"/>
    <w:basedOn w:val="DefaultParagraphFont"/>
    <w:link w:val="Quote"/>
    <w:rsid w:val="006851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14E"/>
    <w:pPr>
      <w:pageBreakBefore/>
    </w:pPr>
  </w:style>
  <w:style w:type="paragraph" w:customStyle="1" w:styleId="Border">
    <w:name w:val="Border"/>
    <w:basedOn w:val="Normal"/>
    <w:qFormat/>
    <w:rsid w:val="006851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14E"/>
    <w:rPr>
      <w:b/>
      <w:bCs/>
      <w:i/>
      <w:iCs/>
      <w:color w:val="auto"/>
    </w:rPr>
  </w:style>
  <w:style w:type="paragraph" w:styleId="IntenseQuote">
    <w:name w:val="Intense Quote"/>
    <w:basedOn w:val="Normal"/>
    <w:next w:val="Normal"/>
    <w:link w:val="IntenseQuoteChar"/>
    <w:uiPriority w:val="30"/>
    <w:qFormat/>
    <w:rsid w:val="006851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1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514E"/>
    <w:rPr>
      <w:smallCaps/>
      <w:color w:val="auto"/>
      <w:u w:val="single"/>
    </w:rPr>
  </w:style>
  <w:style w:type="character" w:styleId="IntenseReference">
    <w:name w:val="Intense Reference"/>
    <w:basedOn w:val="DefaultParagraphFont"/>
    <w:uiPriority w:val="32"/>
    <w:qFormat/>
    <w:rsid w:val="0068514E"/>
    <w:rPr>
      <w:b/>
      <w:bCs/>
      <w:smallCaps/>
      <w:color w:val="auto"/>
      <w:spacing w:val="5"/>
      <w:u w:val="single"/>
    </w:rPr>
  </w:style>
  <w:style w:type="paragraph" w:customStyle="1" w:styleId="2ColumnHeading">
    <w:name w:val="2Column Heading"/>
    <w:basedOn w:val="BodyText"/>
    <w:qFormat/>
    <w:rsid w:val="0068514E"/>
    <w:pPr>
      <w:spacing w:after="60"/>
      <w:ind w:left="-2268"/>
    </w:pPr>
    <w:rPr>
      <w:b/>
    </w:rPr>
  </w:style>
  <w:style w:type="paragraph" w:customStyle="1" w:styleId="Heading1TOC">
    <w:name w:val="Heading1 TOC"/>
    <w:basedOn w:val="Normal"/>
    <w:qFormat/>
    <w:rsid w:val="0068514E"/>
    <w:pPr>
      <w:spacing w:before="240" w:after="120"/>
    </w:pPr>
    <w:rPr>
      <w:rFonts w:ascii="Times New Roman" w:hAnsi="Times New Roman"/>
      <w:b/>
      <w:sz w:val="32"/>
    </w:rPr>
  </w:style>
  <w:style w:type="paragraph" w:customStyle="1" w:styleId="Heading2TOC">
    <w:name w:val="Heading2 TOC"/>
    <w:basedOn w:val="Normal"/>
    <w:qFormat/>
    <w:rsid w:val="0068514E"/>
    <w:pPr>
      <w:spacing w:before="240" w:after="60"/>
    </w:pPr>
    <w:rPr>
      <w:rFonts w:ascii="Times New Roman" w:hAnsi="Times New Roman"/>
      <w:b/>
      <w:sz w:val="28"/>
    </w:rPr>
  </w:style>
  <w:style w:type="character" w:customStyle="1" w:styleId="Underline">
    <w:name w:val="Underline"/>
    <w:basedOn w:val="DefaultParagraphFont"/>
    <w:qFormat/>
    <w:rsid w:val="0068514E"/>
    <w:rPr>
      <w:u w:val="single"/>
    </w:rPr>
  </w:style>
  <w:style w:type="character" w:customStyle="1" w:styleId="BoldandItalics">
    <w:name w:val="Bold and Italics"/>
    <w:qFormat/>
    <w:rsid w:val="0068514E"/>
    <w:rPr>
      <w:b/>
      <w:i/>
      <w:u w:val="none"/>
    </w:rPr>
  </w:style>
  <w:style w:type="paragraph" w:styleId="BalloonText">
    <w:name w:val="Balloon Text"/>
    <w:basedOn w:val="Normal"/>
    <w:link w:val="BalloonTextChar"/>
    <w:rsid w:val="0068514E"/>
    <w:rPr>
      <w:rFonts w:ascii="Tahoma" w:hAnsi="Tahoma" w:cs="Tahoma"/>
      <w:sz w:val="16"/>
      <w:szCs w:val="16"/>
    </w:rPr>
  </w:style>
  <w:style w:type="character" w:customStyle="1" w:styleId="BalloonTextChar">
    <w:name w:val="Balloon Text Char"/>
    <w:basedOn w:val="DefaultParagraphFont"/>
    <w:link w:val="BalloonText"/>
    <w:rsid w:val="006851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51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51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2784</Words>
  <Characters>17193</Characters>
  <Application>Microsoft Office Word</Application>
  <DocSecurity>0</DocSecurity>
  <Lines>534</Lines>
  <Paragraphs>247</Paragraphs>
  <ScaleCrop>false</ScaleCrop>
  <Company>Author-it Software Corporation Ltd.</Company>
  <LinksUpToDate>false</LinksUpToDate>
  <CharactersWithSpaces>19839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UEENEER005B Contribute to intellectual property management</dc:title>
  <dc:subject>Approved</dc:subject>
  <dc:creator>EE-Oz Training Standards</dc:creator>
  <cp:keywords>Release: 2</cp:keywords>
  <dc:description>Copyright © 1996-2007 Author-it Software Corporation Ltd., all rights reserved.</dc:description>
  <cp:lastModifiedBy>Windows User</cp:lastModifiedBy>
  <cp:revision>3</cp:revision>
  <dcterms:created xsi:type="dcterms:W3CDTF">2012-05-26T12:02:00Z</dcterms:created>
  <dcterms:modified xsi:type="dcterms:W3CDTF">2012-05-26T12:02:00Z</dcterms:modified>
</cp:coreProperties>
</file>