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B78" w:rsidP="002D0B78">
      <w:pPr>
        <w:pStyle w:val="Title"/>
      </w:pPr>
      <w:r>
        <w:fldChar w:fldCharType="begin"/>
      </w:r>
      <w:r>
        <w:instrText xml:space="preserve"> TITLE   \* MERGEFORMAT </w:instrText>
      </w:r>
      <w:r>
        <w:fldChar w:fldCharType="separate"/>
      </w:r>
      <w:r>
        <w:t>UEENEER004B Contribute to the trial of a product/application/ service</w:t>
      </w:r>
      <w:r>
        <w:fldChar w:fldCharType="end"/>
      </w:r>
    </w:p>
    <w:p w:rsidR="002D0B78" w:rsidP="002D0B78">
      <w:pPr>
        <w:pStyle w:val="Version"/>
        <w:sectPr w:rsidSect="00B926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26AF" w:rsidP="00B926AF">
      <w:pPr>
        <w:pStyle w:val="SuperHeading"/>
      </w:pPr>
      <w:r w:rsidRPr="00B926AF">
        <w:t>UEENEER004B Contribute to the trial of a product/application/ service</w:t>
      </w:r>
    </w:p>
    <w:p w:rsidR="00000000" w:rsidRPr="00B926AF" w:rsidP="00B926AF">
      <w:pPr>
        <w:pStyle w:val="Heading1"/>
      </w:pPr>
      <w:bookmarkStart w:id="1" w:name="O_444097"/>
      <w:bookmarkEnd w:id="1"/>
      <w:r w:rsidRPr="00B926AF">
        <w:t>Modification History</w:t>
      </w:r>
    </w:p>
    <w:p w:rsidR="00000000" w:rsidRPr="00B926AF" w:rsidP="00B926AF">
      <w:pPr>
        <w:pStyle w:val="BodyText"/>
      </w:pPr>
      <w:r w:rsidRPr="00B926AF">
        <w:t>Not Applicable</w:t>
      </w:r>
    </w:p>
    <w:p w:rsidR="00000000" w:rsidRPr="00B926AF" w:rsidP="00B926AF">
      <w:pPr>
        <w:pStyle w:val="AllowPageBreak"/>
      </w:pPr>
    </w:p>
    <w:p w:rsidR="00000000" w:rsidRPr="00B926AF" w:rsidP="00B926AF">
      <w:pPr>
        <w:pStyle w:val="Heading1"/>
      </w:pPr>
      <w:bookmarkStart w:id="2" w:name="O_444091"/>
      <w:bookmarkEnd w:id="2"/>
      <w:r w:rsidRPr="00B926AF">
        <w:t>Unit Descriptor</w:t>
      </w:r>
    </w:p>
    <w:tbl>
      <w:tblPr>
        <w:tblW w:w="0" w:type="auto"/>
        <w:tblLayout w:type="fixed"/>
        <w:tblCellMar>
          <w:left w:w="62" w:type="dxa"/>
          <w:right w:w="62" w:type="dxa"/>
        </w:tblCellMar>
        <w:tblLook w:val="0000"/>
      </w:tblPr>
      <w:tblGrid>
        <w:gridCol w:w="2700"/>
        <w:gridCol w:w="5760"/>
      </w:tblGrid>
      <w:tr w:rsidTr="002D0B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rPr>
                <w:rStyle w:val="SpecialBold"/>
              </w:rPr>
              <w:t>1</w:t>
            </w:r>
            <w:r w:rsidRPr="00B926AF">
              <w:t xml:space="preserve">) </w:t>
            </w:r>
          </w:p>
          <w:p w:rsidR="00000000" w:rsidP="00B926AF">
            <w:pPr>
              <w:pStyle w:val="BodyText"/>
              <w:rPr>
                <w:lang w:val="en-NZ"/>
              </w:rPr>
            </w:pPr>
            <w:r w:rsidRPr="00B926AF">
              <w:rPr>
                <w:rStyle w:val="SpecialBold"/>
              </w:rPr>
              <w:t>1</w:t>
            </w:r>
            <w:r w:rsidRPr="00B926AF">
              <w:t>.</w:t>
            </w:r>
            <w:r w:rsidRPr="00B926AF">
              <w:rPr>
                <w:rStyle w:val="SpecialBold"/>
              </w:rPr>
              <w:t>1</w:t>
            </w:r>
            <w:r w:rsidRPr="00B926AF">
              <w:t xml:space="preserve">) </w:t>
            </w:r>
            <w:r w:rsidRPr="00B926AF">
              <w:rPr>
                <w:rStyle w:val="SpecialBold"/>
              </w:rPr>
              <w:t>Descriptor</w:t>
            </w:r>
          </w:p>
        </w:tc>
      </w:tr>
      <w:tr w:rsidTr="002D0B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t xml:space="preserve">This unit covers the ability to assist the manager's plan, coordinate and report on a product/application/service trial. </w:t>
            </w:r>
          </w:p>
        </w:tc>
      </w:tr>
    </w:tbl>
    <w:p w:rsidR="002D0B78" w:rsidP="00B926AF">
      <w:pPr>
        <w:pStyle w:val="BodyText"/>
      </w:pPr>
    </w:p>
    <w:p w:rsidR="002D0B78" w:rsidP="00B926AF">
      <w:pPr>
        <w:pStyle w:val="BodyText"/>
      </w:pPr>
    </w:p>
    <w:p w:rsidR="00000000" w:rsidRPr="00B926AF" w:rsidP="00B926AF">
      <w:pPr>
        <w:pStyle w:val="Heading1"/>
      </w:pPr>
      <w:bookmarkStart w:id="3" w:name="O_444105"/>
      <w:bookmarkEnd w:id="3"/>
      <w:r w:rsidRPr="00B926AF">
        <w:t>Application of the Unit</w:t>
      </w:r>
    </w:p>
    <w:tbl>
      <w:tblPr>
        <w:tblW w:w="0" w:type="auto"/>
        <w:tblLayout w:type="fixed"/>
        <w:tblCellMar>
          <w:left w:w="62" w:type="dxa"/>
          <w:right w:w="62" w:type="dxa"/>
        </w:tblCellMar>
        <w:tblLook w:val="0000"/>
      </w:tblPr>
      <w:tblGrid>
        <w:gridCol w:w="2700"/>
        <w:gridCol w:w="5760"/>
      </w:tblGrid>
      <w:tr w:rsidTr="002D0B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rPr>
                <w:rStyle w:val="SpecialBold"/>
              </w:rPr>
              <w:t>4</w:t>
            </w:r>
            <w:r w:rsidRPr="00B926AF">
              <w:t>)</w:t>
            </w:r>
          </w:p>
        </w:tc>
      </w:tr>
      <w:tr w:rsidTr="002D0B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t>This unit applies to any recognised development program that leads to the acquisition of a formal award at AQF level 5 or higher.</w:t>
            </w:r>
          </w:p>
        </w:tc>
      </w:tr>
    </w:tbl>
    <w:p w:rsidR="002D0B78" w:rsidP="00B926AF">
      <w:pPr>
        <w:pStyle w:val="BodyText"/>
      </w:pPr>
    </w:p>
    <w:p w:rsidR="002D0B78" w:rsidP="00B926AF">
      <w:pPr>
        <w:pStyle w:val="BodyText"/>
      </w:pPr>
    </w:p>
    <w:p w:rsidR="00000000" w:rsidRPr="00B926AF" w:rsidP="00B926AF">
      <w:pPr>
        <w:pStyle w:val="Heading1"/>
      </w:pPr>
      <w:bookmarkStart w:id="4" w:name="O_444098"/>
      <w:bookmarkEnd w:id="4"/>
      <w:r w:rsidRPr="00B926AF">
        <w:t>Licensing/Regulatory Information</w:t>
      </w:r>
    </w:p>
    <w:tbl>
      <w:tblPr>
        <w:tblW w:w="0" w:type="auto"/>
        <w:tblLayout w:type="fixed"/>
        <w:tblCellMar>
          <w:left w:w="62" w:type="dxa"/>
          <w:right w:w="62" w:type="dxa"/>
        </w:tblCellMar>
        <w:tblLook w:val="0000"/>
      </w:tblPr>
      <w:tblGrid>
        <w:gridCol w:w="8460"/>
      </w:tblGrid>
      <w:tr w:rsidTr="002D0B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rPr>
                <w:rStyle w:val="SpecialBold"/>
              </w:rPr>
              <w:t>1</w:t>
            </w:r>
            <w:r w:rsidRPr="00B926AF">
              <w:t>.</w:t>
            </w:r>
            <w:r w:rsidRPr="00B926AF">
              <w:rPr>
                <w:rStyle w:val="SpecialBold"/>
              </w:rPr>
              <w:t>2</w:t>
            </w:r>
            <w:r w:rsidRPr="00B926AF">
              <w:t xml:space="preserve">) </w:t>
            </w:r>
            <w:r w:rsidRPr="00B926AF">
              <w:rPr>
                <w:rStyle w:val="SpecialBold"/>
              </w:rPr>
              <w:t>License to practice</w:t>
            </w:r>
          </w:p>
        </w:tc>
      </w:tr>
      <w:tr w:rsidTr="002D0B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t>The skills and knowledge described in this unit do not require a licence to practice in the workplace. However, practice in this unit is subject to regulations directly related to occupational health and safety and where applicable contracts of training su</w:t>
            </w:r>
            <w:r w:rsidRPr="00B926AF">
              <w:t>ch as apprenticeships.</w:t>
            </w:r>
          </w:p>
        </w:tc>
      </w:tr>
    </w:tbl>
    <w:p w:rsidR="002D0B78" w:rsidP="00B926AF">
      <w:pPr>
        <w:pStyle w:val="BodyText"/>
      </w:pPr>
    </w:p>
    <w:p w:rsidR="002D0B78" w:rsidP="00B926AF">
      <w:pPr>
        <w:pStyle w:val="BodyText"/>
      </w:pPr>
    </w:p>
    <w:p w:rsidR="00000000" w:rsidRPr="00B926AF" w:rsidP="00B926AF">
      <w:pPr>
        <w:pStyle w:val="Heading1"/>
      </w:pPr>
      <w:bookmarkStart w:id="5" w:name="O_444096"/>
      <w:bookmarkEnd w:id="5"/>
      <w:r w:rsidRPr="00B926AF">
        <w:t>Pre-Requisites</w:t>
      </w:r>
    </w:p>
    <w:tbl>
      <w:tblPr>
        <w:tblW w:w="0" w:type="auto"/>
        <w:tblLayout w:type="fixed"/>
        <w:tblCellMar>
          <w:left w:w="62" w:type="dxa"/>
          <w:right w:w="62" w:type="dxa"/>
        </w:tblCellMar>
        <w:tblLook w:val="0000"/>
      </w:tblPr>
      <w:tblGrid>
        <w:gridCol w:w="2700"/>
        <w:gridCol w:w="5760"/>
      </w:tblGrid>
      <w:tr w:rsidTr="002D0B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rPr>
                <w:rStyle w:val="SpecialBold"/>
              </w:rPr>
              <w:t>Prerequisite Unit</w:t>
            </w:r>
            <w:r w:rsidRPr="00B926AF">
              <w:t>(</w:t>
            </w:r>
            <w:r w:rsidRPr="00B926AF">
              <w:rPr>
                <w:rStyle w:val="SpecialBold"/>
              </w:rPr>
              <w:t>s</w:t>
            </w:r>
            <w:r w:rsidRPr="00B926AF">
              <w:t>)</w:t>
            </w:r>
          </w:p>
        </w:tc>
        <w:tc>
          <w:tcPr>
            <w:tcW w:w="57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rPr>
                <w:rStyle w:val="SpecialBold"/>
              </w:rPr>
              <w:t>2</w:t>
            </w:r>
            <w:r w:rsidRPr="00B926AF">
              <w:t xml:space="preserve">) </w:t>
            </w:r>
          </w:p>
        </w:tc>
      </w:tr>
      <w:tr w:rsidTr="002D0B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26A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rPr>
                <w:rStyle w:val="SpecialBold"/>
              </w:rPr>
              <w:t>2</w:t>
            </w:r>
            <w:r w:rsidRPr="00B926AF">
              <w:t>.</w:t>
            </w:r>
            <w:r w:rsidRPr="00B926AF">
              <w:rPr>
                <w:rStyle w:val="SpecialBold"/>
              </w:rPr>
              <w:t>1</w:t>
            </w:r>
            <w:r w:rsidRPr="00B926AF">
              <w:t xml:space="preserve">) </w:t>
            </w:r>
            <w:r w:rsidRPr="00B926AF">
              <w:rPr>
                <w:rStyle w:val="SpecialBold"/>
              </w:rPr>
              <w:t>Competencies</w:t>
            </w:r>
          </w:p>
        </w:tc>
      </w:tr>
      <w:tr w:rsidTr="002D0B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t>There are no prerequisite competencies for this unit.</w:t>
            </w:r>
          </w:p>
        </w:tc>
      </w:tr>
    </w:tbl>
    <w:p w:rsidR="002D0B78" w:rsidP="00B926AF">
      <w:pPr>
        <w:pStyle w:val="BodyText"/>
      </w:pPr>
    </w:p>
    <w:p w:rsidR="002D0B78" w:rsidP="00B926AF">
      <w:pPr>
        <w:pStyle w:val="BodyText"/>
      </w:pPr>
    </w:p>
    <w:p w:rsidR="00000000" w:rsidRPr="00B926AF" w:rsidP="00B926AF">
      <w:pPr>
        <w:pStyle w:val="Heading1"/>
      </w:pPr>
      <w:bookmarkStart w:id="6" w:name="O_444101"/>
      <w:bookmarkEnd w:id="6"/>
      <w:r w:rsidRPr="00B926AF">
        <w:t>Employability Skills Information</w:t>
      </w:r>
    </w:p>
    <w:tbl>
      <w:tblPr>
        <w:tblW w:w="0" w:type="auto"/>
        <w:tblLayout w:type="fixed"/>
        <w:tblCellMar>
          <w:left w:w="62" w:type="dxa"/>
          <w:right w:w="62" w:type="dxa"/>
        </w:tblCellMar>
        <w:tblLook w:val="0000"/>
      </w:tblPr>
      <w:tblGrid>
        <w:gridCol w:w="2700"/>
        <w:gridCol w:w="5760"/>
      </w:tblGrid>
      <w:tr w:rsidTr="002D0B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rPr>
                <w:rStyle w:val="SpecialBold"/>
              </w:rPr>
              <w:t>3</w:t>
            </w:r>
            <w:r w:rsidRPr="00B926AF">
              <w:t>)</w:t>
            </w:r>
          </w:p>
          <w:p w:rsidR="00000000" w:rsidRPr="00B926AF" w:rsidP="00B926AF">
            <w:pPr>
              <w:pStyle w:val="BodyText"/>
            </w:pPr>
            <w:r w:rsidRPr="00B926A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926AF">
              <w:t>requirements.</w:t>
            </w:r>
          </w:p>
        </w:tc>
      </w:tr>
    </w:tbl>
    <w:p w:rsidR="002D0B78" w:rsidP="00B926AF">
      <w:pPr>
        <w:pStyle w:val="BodyText"/>
      </w:pPr>
    </w:p>
    <w:p w:rsidR="002D0B78" w:rsidP="00B926AF">
      <w:pPr>
        <w:pStyle w:val="BodyText"/>
      </w:pPr>
    </w:p>
    <w:p w:rsidR="00000000" w:rsidRPr="00B926AF" w:rsidP="00B926AF">
      <w:pPr>
        <w:pStyle w:val="Heading1"/>
      </w:pPr>
      <w:bookmarkStart w:id="7" w:name="O_444102"/>
      <w:bookmarkEnd w:id="7"/>
      <w:r w:rsidRPr="00B926AF">
        <w:t>Elements and Performance Criteria Pre-Content</w:t>
      </w:r>
    </w:p>
    <w:tbl>
      <w:tblPr>
        <w:tblW w:w="0" w:type="auto"/>
        <w:tblLayout w:type="fixed"/>
        <w:tblCellMar>
          <w:left w:w="62" w:type="dxa"/>
          <w:right w:w="62" w:type="dxa"/>
        </w:tblCellMar>
        <w:tblLook w:val="0000"/>
      </w:tblPr>
      <w:tblGrid>
        <w:gridCol w:w="2700"/>
        <w:gridCol w:w="5760"/>
      </w:tblGrid>
      <w:tr w:rsidTr="002D0B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rPr>
                <w:rStyle w:val="SpecialBold"/>
              </w:rPr>
              <w:t>6</w:t>
            </w:r>
            <w:r w:rsidRPr="00B926AF">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t>Performance criteria describe the required performance needed to demonstrate achievement of the Element. Assessment of performance is to be consistent with the evidence guide.</w:t>
            </w:r>
          </w:p>
        </w:tc>
      </w:tr>
    </w:tbl>
    <w:p w:rsidR="00000000" w:rsidRPr="00B926AF" w:rsidP="00B926AF">
      <w:pPr>
        <w:pStyle w:val="BodyText"/>
      </w:pPr>
    </w:p>
    <w:p w:rsidR="00000000" w:rsidRPr="00B926AF" w:rsidP="00B926AF">
      <w:pPr>
        <w:pStyle w:val="AllowPageBreak"/>
      </w:pPr>
    </w:p>
    <w:p w:rsidR="00000000" w:rsidRPr="00B926AF" w:rsidP="00B926AF">
      <w:pPr>
        <w:pStyle w:val="Heading1"/>
      </w:pPr>
      <w:bookmarkStart w:id="8" w:name="O_444103"/>
      <w:bookmarkEnd w:id="8"/>
      <w:r w:rsidRPr="00B926A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D0B7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rPr>
                <w:rStyle w:val="SpecialBold"/>
              </w:rPr>
              <w:t>PERFORMANCE CRITER</w:t>
            </w:r>
            <w:r w:rsidRPr="00B926AF">
              <w:rPr>
                <w:rStyle w:val="SpecialBold"/>
              </w:rPr>
              <w:t>IA</w:t>
            </w:r>
          </w:p>
        </w:tc>
      </w:tr>
      <w:tr w:rsidTr="002D0B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1</w:t>
            </w:r>
          </w:p>
        </w:tc>
        <w:tc>
          <w:tcPr>
            <w:tcW w:w="2296" w:type="dxa"/>
            <w:vMerge w:val="restart"/>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Acquire and understand background information relevant to the trial of the product/application/service.</w:t>
            </w:r>
          </w:p>
        </w:tc>
        <w:tc>
          <w:tcPr>
            <w:tcW w:w="9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1.1</w:t>
            </w:r>
          </w:p>
        </w:tc>
        <w:tc>
          <w:tcPr>
            <w:tcW w:w="48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Information sources about the research topic are identified and evaluated for reliability and validity.</w:t>
            </w:r>
          </w:p>
        </w:tc>
      </w:tr>
      <w:tr w:rsidTr="002D0B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1.2</w:t>
            </w:r>
          </w:p>
        </w:tc>
        <w:tc>
          <w:tcPr>
            <w:tcW w:w="48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Information about the consumer, product, market and competition is collected, reviewed and understood.</w:t>
            </w:r>
          </w:p>
        </w:tc>
      </w:tr>
      <w:tr w:rsidTr="002D0B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1.3</w:t>
            </w:r>
          </w:p>
        </w:tc>
        <w:tc>
          <w:tcPr>
            <w:tcW w:w="48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Key clients/stakeholders and their particular views and interests are identified and recorded.</w:t>
            </w:r>
          </w:p>
        </w:tc>
      </w:tr>
      <w:tr w:rsidTr="002D0B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1.4</w:t>
            </w:r>
          </w:p>
        </w:tc>
        <w:tc>
          <w:tcPr>
            <w:tcW w:w="48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The context (industrial, legal, ethical, political etc) of the research project is identified and understood.</w:t>
            </w:r>
          </w:p>
        </w:tc>
      </w:tr>
      <w:tr w:rsidTr="002D0B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2</w:t>
            </w:r>
          </w:p>
        </w:tc>
        <w:tc>
          <w:tcPr>
            <w:tcW w:w="2296" w:type="dxa"/>
            <w:vMerge w:val="restart"/>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Understand the logistics of a trial of a product, application and/or service</w:t>
            </w:r>
          </w:p>
        </w:tc>
        <w:tc>
          <w:tcPr>
            <w:tcW w:w="9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2.1</w:t>
            </w:r>
          </w:p>
        </w:tc>
        <w:tc>
          <w:tcPr>
            <w:tcW w:w="48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Client, stakeholder and organisational requirements are identi</w:t>
            </w:r>
            <w:r w:rsidRPr="00B926AF">
              <w:t>fied and understood.</w:t>
            </w:r>
          </w:p>
        </w:tc>
      </w:tr>
      <w:tr w:rsidTr="002D0B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2.2</w:t>
            </w:r>
          </w:p>
        </w:tc>
        <w:tc>
          <w:tcPr>
            <w:tcW w:w="48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Contractual obligations of the project are identified and understood.</w:t>
            </w:r>
          </w:p>
        </w:tc>
      </w:tr>
      <w:tr w:rsidTr="002D0B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2.3</w:t>
            </w:r>
          </w:p>
        </w:tc>
        <w:tc>
          <w:tcPr>
            <w:tcW w:w="48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Resources available to support the project are identified and understood.</w:t>
            </w:r>
          </w:p>
        </w:tc>
      </w:tr>
      <w:tr w:rsidTr="002D0B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2.4</w:t>
            </w:r>
          </w:p>
        </w:tc>
        <w:tc>
          <w:tcPr>
            <w:tcW w:w="48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Quality standards for the project are identified and understood.</w:t>
            </w:r>
          </w:p>
        </w:tc>
      </w:tr>
      <w:tr w:rsidTr="002D0B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3</w:t>
            </w:r>
          </w:p>
        </w:tc>
        <w:tc>
          <w:tcPr>
            <w:tcW w:w="2296" w:type="dxa"/>
            <w:vMerge w:val="restart"/>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Contribute to the trial of a product, application and/or service</w:t>
            </w:r>
          </w:p>
        </w:tc>
        <w:tc>
          <w:tcPr>
            <w:tcW w:w="9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3.1</w:t>
            </w:r>
          </w:p>
        </w:tc>
        <w:tc>
          <w:tcPr>
            <w:tcW w:w="48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Project objectives, methodology and strategies appropriate to the requirements and contractual obligations of the project are identified and selected in a team environment.</w:t>
            </w:r>
          </w:p>
        </w:tc>
      </w:tr>
      <w:tr w:rsidTr="002D0B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3.2</w:t>
            </w:r>
          </w:p>
        </w:tc>
        <w:tc>
          <w:tcPr>
            <w:tcW w:w="48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Project</w:t>
            </w:r>
            <w:r w:rsidRPr="00B926AF">
              <w:t xml:space="preserve"> phases, milestones, reporting and review points are identified in a team environment.</w:t>
            </w:r>
          </w:p>
        </w:tc>
      </w:tr>
      <w:tr w:rsidTr="002D0B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3.3</w:t>
            </w:r>
          </w:p>
        </w:tc>
        <w:tc>
          <w:tcPr>
            <w:tcW w:w="48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Criteria for evaluating each project deliverable against predefined quality standards are developed in a team environment.</w:t>
            </w:r>
          </w:p>
        </w:tc>
      </w:tr>
      <w:tr w:rsidTr="002D0B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3.4</w:t>
            </w:r>
          </w:p>
        </w:tc>
        <w:tc>
          <w:tcPr>
            <w:tcW w:w="48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A Research Plan is developed in a team environment.</w:t>
            </w:r>
          </w:p>
        </w:tc>
      </w:tr>
      <w:tr w:rsidTr="002D0B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4</w:t>
            </w:r>
          </w:p>
        </w:tc>
        <w:tc>
          <w:tcPr>
            <w:tcW w:w="2296" w:type="dxa"/>
            <w:vMerge w:val="restart"/>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Seek endorsement and ensure distribution of a trial of a product, application and/or service</w:t>
            </w:r>
          </w:p>
        </w:tc>
        <w:tc>
          <w:tcPr>
            <w:tcW w:w="9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4.1</w:t>
            </w:r>
          </w:p>
        </w:tc>
        <w:tc>
          <w:tcPr>
            <w:tcW w:w="48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The draft Research Plan is forwarded to clients/stakeholders/ appropriate personnel for perusal and comm</w:t>
            </w:r>
            <w:r w:rsidRPr="00B926AF">
              <w:t>ent.</w:t>
            </w:r>
          </w:p>
        </w:tc>
      </w:tr>
      <w:tr w:rsidTr="002D0B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4.2</w:t>
            </w:r>
          </w:p>
        </w:tc>
        <w:tc>
          <w:tcPr>
            <w:tcW w:w="48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The draft Research Plan is amended to incorporate recommended improvements from clients/stakeholders/appropriate personnel</w:t>
            </w:r>
          </w:p>
        </w:tc>
      </w:tr>
      <w:tr w:rsidTr="002D0B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4.3</w:t>
            </w:r>
          </w:p>
        </w:tc>
        <w:tc>
          <w:tcPr>
            <w:tcW w:w="48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The final Research Plan is confirmed against overall project deliverables by appropriate personnel.</w:t>
            </w:r>
          </w:p>
        </w:tc>
      </w:tr>
      <w:tr w:rsidTr="002D0B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4.4</w:t>
            </w:r>
          </w:p>
        </w:tc>
        <w:tc>
          <w:tcPr>
            <w:tcW w:w="4860"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t>The final Research Plan is distributed to all appropriate personnel and team members.</w:t>
            </w:r>
          </w:p>
        </w:tc>
      </w:tr>
    </w:tbl>
    <w:p w:rsidR="002D0B78" w:rsidP="00B926AF">
      <w:pPr>
        <w:pStyle w:val="BodyText"/>
      </w:pPr>
    </w:p>
    <w:p w:rsidR="002D0B78" w:rsidP="00B926AF">
      <w:pPr>
        <w:pStyle w:val="BodyText"/>
      </w:pPr>
    </w:p>
    <w:p w:rsidR="00000000" w:rsidRPr="00B926AF" w:rsidP="00B926AF">
      <w:pPr>
        <w:pStyle w:val="Heading1"/>
      </w:pPr>
      <w:bookmarkStart w:id="9" w:name="O_444094"/>
      <w:bookmarkEnd w:id="9"/>
      <w:r w:rsidRPr="00B926AF">
        <w:t>Required Skills and Knowledge</w:t>
      </w:r>
    </w:p>
    <w:tbl>
      <w:tblPr>
        <w:tblW w:w="0" w:type="auto"/>
        <w:tblLayout w:type="fixed"/>
        <w:tblCellMar>
          <w:left w:w="62" w:type="dxa"/>
          <w:right w:w="62" w:type="dxa"/>
        </w:tblCellMar>
        <w:tblLook w:val="0000"/>
      </w:tblPr>
      <w:tblGrid>
        <w:gridCol w:w="8460"/>
      </w:tblGrid>
      <w:tr w:rsidTr="002D0B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rPr>
                <w:rStyle w:val="SpecialBold"/>
              </w:rPr>
              <w:t>REQUIRED SKILLS AND KNOWLEDGE</w:t>
            </w:r>
          </w:p>
        </w:tc>
      </w:tr>
      <w:tr w:rsidTr="002D0B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rPr>
                <w:rStyle w:val="SpecialBold"/>
              </w:rPr>
              <w:t xml:space="preserve">7) </w:t>
            </w:r>
            <w:r w:rsidRPr="00B926AF">
              <w:t>This describes the essential skills and knowledge and their level, required for this u</w:t>
            </w:r>
            <w:r w:rsidRPr="00B926AF">
              <w:t>nit.</w:t>
            </w:r>
          </w:p>
        </w:tc>
      </w:tr>
      <w:tr w:rsidTr="002D0B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t>Evidence shall show that knowledge has been acquired of safe working practices and contributing to the trial of a product/application/service.</w:t>
            </w:r>
          </w:p>
          <w:p w:rsidR="00000000" w:rsidRPr="00B926AF" w:rsidP="00B926AF">
            <w:pPr>
              <w:pStyle w:val="BodyText"/>
            </w:pPr>
            <w:r w:rsidRPr="00B926AF">
              <w:t>All knowledge and skills detailed in this unit should be contextualised to current industry practices and technologies.</w:t>
            </w:r>
          </w:p>
          <w:p w:rsidR="00000000" w:rsidRPr="00B926AF" w:rsidP="00B926AF">
            <w:pPr>
              <w:pStyle w:val="BodyText"/>
            </w:pPr>
            <w:r w:rsidRPr="00B926AF">
              <w:rPr>
                <w:rStyle w:val="SpecialBold"/>
              </w:rPr>
              <w:t>KS01-ER004B</w:t>
            </w:r>
            <w:r w:rsidRPr="00B926AF">
              <w:rPr>
                <w:rStyle w:val="SpecialBold"/>
              </w:rPr>
              <w:tab/>
              <w:t>Product/application/service trials</w:t>
            </w:r>
          </w:p>
          <w:p w:rsidR="00000000" w:rsidRPr="00B926AF" w:rsidP="00B926AF">
            <w:pPr>
              <w:pStyle w:val="BodyText"/>
            </w:pPr>
            <w:r w:rsidRPr="00B926AF">
              <w:t>Evidence shall show that knowledge has been acquired of safe working practices and contri</w:t>
            </w:r>
            <w:r w:rsidRPr="00B926AF">
              <w:t>buting to the trial of a product/application/service.</w:t>
            </w:r>
          </w:p>
          <w:p w:rsidR="00000000" w:rsidRPr="00B926AF" w:rsidP="00B926AF">
            <w:pPr>
              <w:pStyle w:val="BodyText"/>
            </w:pPr>
            <w:r w:rsidRPr="00B926AF">
              <w:t>T1</w:t>
            </w:r>
            <w:r w:rsidRPr="00B926AF">
              <w:tab/>
              <w:t xml:space="preserve">Project planning </w:t>
            </w:r>
          </w:p>
          <w:p w:rsidR="00000000" w:rsidRPr="00B926AF" w:rsidP="00B926AF">
            <w:pPr>
              <w:pStyle w:val="ListBullet"/>
            </w:pPr>
            <w:r w:rsidRPr="00B926AF">
              <w:t>Purpose of project planning</w:t>
            </w:r>
          </w:p>
          <w:p w:rsidR="00000000" w:rsidRPr="00B926AF" w:rsidP="00B926AF">
            <w:pPr>
              <w:pStyle w:val="ListBullet"/>
            </w:pPr>
            <w:r w:rsidRPr="00B926AF">
              <w:t>Documents needed to plan a project</w:t>
            </w:r>
          </w:p>
          <w:p w:rsidR="00000000" w:rsidRPr="00B926AF" w:rsidP="00B926AF">
            <w:pPr>
              <w:pStyle w:val="ListBullet"/>
            </w:pPr>
            <w:r w:rsidRPr="00B926AF">
              <w:t>Factors influencing sequence and restraints of project activities</w:t>
            </w:r>
          </w:p>
          <w:p w:rsidR="00000000" w:rsidRPr="00B926AF" w:rsidP="00B926AF">
            <w:pPr>
              <w:pStyle w:val="ListBullet"/>
            </w:pPr>
            <w:r w:rsidRPr="00B926AF">
              <w:t>Critical path analysis encompassing:</w:t>
            </w:r>
          </w:p>
          <w:p w:rsidR="00000000" w:rsidRPr="00B926AF" w:rsidP="00B926AF">
            <w:pPr>
              <w:pStyle w:val="ListBullet2"/>
            </w:pPr>
            <w:r w:rsidRPr="00B926AF">
              <w:t>Graphical rep</w:t>
            </w:r>
            <w:r w:rsidRPr="00B926AF">
              <w:t>resentation methods</w:t>
            </w:r>
          </w:p>
          <w:p w:rsidR="00000000" w:rsidRPr="00B926AF" w:rsidP="00B926AF">
            <w:pPr>
              <w:pStyle w:val="ListBullet2"/>
            </w:pPr>
            <w:r w:rsidRPr="00B926AF">
              <w:t>Methods of representing time/rates</w:t>
            </w:r>
          </w:p>
          <w:p w:rsidR="00000000" w:rsidRPr="00B926AF" w:rsidP="00B926AF">
            <w:pPr>
              <w:pStyle w:val="BodyText"/>
            </w:pPr>
            <w:r w:rsidRPr="00B926AF">
              <w:t>T2</w:t>
            </w:r>
            <w:r w:rsidRPr="00B926AF">
              <w:tab/>
              <w:t>Research concepts encompassing:</w:t>
            </w:r>
          </w:p>
          <w:p w:rsidR="00000000" w:rsidRPr="00B926AF" w:rsidP="00B926AF">
            <w:pPr>
              <w:pStyle w:val="ListBullet"/>
            </w:pPr>
            <w:r w:rsidRPr="00B926AF">
              <w:t>Terminology - Terminology used in a research workplace; Terminology used in research-specific literature and the like.</w:t>
            </w:r>
          </w:p>
          <w:p w:rsidR="00000000" w:rsidRPr="00B926AF" w:rsidP="00B926AF">
            <w:pPr>
              <w:pStyle w:val="ListBullet"/>
            </w:pPr>
            <w:r w:rsidRPr="00B926AF">
              <w:t>Theory –</w:t>
            </w:r>
            <w:r w:rsidRPr="00B926AF">
              <w:t xml:space="preserve"> why conduct research, The history of research; Past research successes; Past research failures; Research Protocols; Research practices and the like.</w:t>
            </w:r>
          </w:p>
          <w:p w:rsidR="00000000" w:rsidRPr="00B926AF" w:rsidP="00B926AF">
            <w:pPr>
              <w:pStyle w:val="ListBullet"/>
            </w:pPr>
            <w:r w:rsidRPr="00B926AF">
              <w:t xml:space="preserve">The research environment - The research work environment; Standard research practices; Industrial, legal, </w:t>
            </w:r>
            <w:r w:rsidRPr="00B926AF">
              <w:t>ethical, political and market environment considerations; Legislation and regulation; Contractual obligations of all parties and the like.</w:t>
            </w:r>
          </w:p>
          <w:p w:rsidR="00000000" w:rsidRPr="00B926AF" w:rsidP="00B926AF">
            <w:pPr>
              <w:pStyle w:val="ListBullet"/>
            </w:pPr>
            <w:r w:rsidRPr="00B926AF">
              <w:t>Planning to conduct research - Concept development and/or research brief analysis; Research objectives; Research deli</w:t>
            </w:r>
            <w:r w:rsidRPr="00B926AF">
              <w:t>verables; Research project plan; Literature reviews; Methodology development, including; Experimental design, Technology selection, Information Management system selection and the like</w:t>
            </w:r>
          </w:p>
          <w:p w:rsidR="00000000" w:rsidRPr="00B926AF" w:rsidP="00B926AF">
            <w:pPr>
              <w:pStyle w:val="ListBullet"/>
            </w:pPr>
            <w:r w:rsidRPr="00B926AF">
              <w:t>Clients - Identifying client viewpoints and stake in project; Identifyi</w:t>
            </w:r>
            <w:r w:rsidRPr="00B926AF">
              <w:t>ng client requirements and parameters; Determining research budgets, timelines, milestones and quality attributes with clients.</w:t>
            </w:r>
          </w:p>
          <w:p w:rsidR="00000000" w:rsidRPr="00B926AF" w:rsidP="00B926AF">
            <w:pPr>
              <w:pStyle w:val="ListBullet"/>
            </w:pPr>
            <w:r w:rsidRPr="00B926AF">
              <w:t>Research, Development and Commercialisation - Research and Development goals versus Commercialisation goals and realities; Resea</w:t>
            </w:r>
            <w:r w:rsidRPr="00B926AF">
              <w:t>rch and Development to inspire a commercialisation process.</w:t>
            </w:r>
          </w:p>
          <w:p w:rsidR="00000000" w:rsidRPr="00B926AF" w:rsidP="00B926AF">
            <w:pPr>
              <w:pStyle w:val="BodyText"/>
            </w:pPr>
            <w:r w:rsidRPr="00B926AF">
              <w:t>T3</w:t>
            </w:r>
            <w:r w:rsidRPr="00B926AF">
              <w:tab/>
              <w:t>Work in a team encompassing:</w:t>
            </w:r>
          </w:p>
          <w:p w:rsidR="00000000" w:rsidRPr="00B926AF" w:rsidP="00B926AF">
            <w:pPr>
              <w:pStyle w:val="ListBullet"/>
            </w:pPr>
            <w:r w:rsidRPr="00B926AF">
              <w:t>Types of teams - Managerial, Administrative, Project-based, Commercial and Social</w:t>
            </w:r>
          </w:p>
          <w:p w:rsidR="00000000" w:rsidRPr="00B926AF" w:rsidP="00B926AF">
            <w:pPr>
              <w:pStyle w:val="ListBullet"/>
            </w:pPr>
            <w:r w:rsidRPr="00B926AF">
              <w:t>Roles, responsibilities and accountabilities of team members - the role, responsi</w:t>
            </w:r>
            <w:r w:rsidRPr="00B926AF">
              <w:t>bility and accountability of individuals, teams, organisational management, clients and the like.</w:t>
            </w:r>
          </w:p>
          <w:p w:rsidR="00000000" w:rsidRPr="00B926AF" w:rsidP="00B926AF">
            <w:pPr>
              <w:pStyle w:val="ListBullet"/>
            </w:pPr>
            <w:r w:rsidRPr="00B926AF">
              <w:t xml:space="preserve">Working in a team - Identification and utilisation of team member skills and knowledge; Maximising benefits of team diversity; Team planning; Team commitment </w:t>
            </w:r>
            <w:r w:rsidRPr="00B926AF">
              <w:t>and cooperation; Improving/Maximising team performance to achieve goals; Team monitoring and adjustment; Plain English literacy and communication; Leading, facilitating, participating, coaching, mentoring.</w:t>
            </w:r>
          </w:p>
          <w:p w:rsidR="00000000" w:rsidRPr="00B926AF" w:rsidP="00B926AF">
            <w:pPr>
              <w:pStyle w:val="ListBullet"/>
            </w:pPr>
            <w:r w:rsidRPr="00B926AF">
              <w:t>Working with clients - client relations, client liaison, the practice of working with clients and the like.</w:t>
            </w:r>
          </w:p>
          <w:p w:rsidR="00000000" w:rsidRPr="00B926AF" w:rsidP="00B926AF">
            <w:pPr>
              <w:pStyle w:val="ListBullet"/>
            </w:pPr>
            <w:r w:rsidRPr="00B926AF">
              <w:t>Conflict resolution – Personality analysis tools, Strategies for dealing with difficult people and the like.</w:t>
            </w:r>
          </w:p>
          <w:p w:rsidR="00000000" w:rsidRPr="00B926AF" w:rsidP="00B926AF">
            <w:pPr>
              <w:pStyle w:val="BodyText"/>
            </w:pPr>
            <w:r w:rsidRPr="00B926AF">
              <w:t>T4</w:t>
            </w:r>
            <w:r w:rsidRPr="00B926AF">
              <w:tab/>
              <w:t>Scientific writing and communication</w:t>
            </w:r>
            <w:r w:rsidRPr="00B926AF">
              <w:t xml:space="preserve"> encompassing:</w:t>
            </w:r>
          </w:p>
          <w:p w:rsidR="00000000" w:rsidRPr="00B926AF" w:rsidP="00B926AF">
            <w:pPr>
              <w:pStyle w:val="ListBullet"/>
            </w:pPr>
            <w:r w:rsidRPr="00B926AF">
              <w:t>Types of scientific writing and communication - The distinguishing characteristics of the different types of scientific writing.</w:t>
            </w:r>
          </w:p>
          <w:p w:rsidR="00000000" w:rsidRPr="00B926AF" w:rsidP="00B926AF">
            <w:pPr>
              <w:pStyle w:val="ListBullet"/>
            </w:pPr>
            <w:r w:rsidRPr="00B926AF">
              <w:t>Purpose of the different types of scientific writing - Product development justification and specifications; Ma</w:t>
            </w:r>
            <w:r w:rsidRPr="00B926AF">
              <w:t>nagement advice; Scientific papers/publications; Conference/meeting presentations; Policy documents; Planning documents; Reports and the like.</w:t>
            </w:r>
          </w:p>
          <w:p w:rsidR="00000000" w:rsidRPr="00B926AF" w:rsidP="00B926AF">
            <w:pPr>
              <w:pStyle w:val="ListBullet"/>
            </w:pPr>
            <w:r w:rsidRPr="00B926AF">
              <w:t>Types of audience - The features and characteristics of an audience, including; an audience’s professional, socia</w:t>
            </w:r>
            <w:r w:rsidRPr="00B926AF">
              <w:t>l, cultural, ethnic background and physical and academic capabilities; the importance of ‘Plain English’ written and oral communication.</w:t>
            </w:r>
          </w:p>
          <w:p w:rsidR="00000000" w:rsidRPr="00B926AF" w:rsidP="00B926AF">
            <w:pPr>
              <w:pStyle w:val="ListBullet"/>
            </w:pPr>
            <w:r w:rsidRPr="00B926AF">
              <w:t>Scientific writing techniques - The component parts of scientific documents, including: Aim, Materials, Method, Results</w:t>
            </w:r>
            <w:r w:rsidRPr="00B926AF">
              <w:t>, Discussion, Conclusion, References; The required content of each component part; Scientific referencing techniques, including: Bibliographies, Reference Lists, Citations, Footnotes, Quotes, and Acknowledgements; Scientific labelling techniques, including</w:t>
            </w:r>
            <w:r w:rsidRPr="00B926AF">
              <w:t>: Graphs, Tables, Diagrams, and Figures; Techniques for documenting results, including: Text, Graphs, Tables, Diagrams, and Figures; Organisational standards for document and presentation production, including: Standard organisational document templates, l</w:t>
            </w:r>
            <w:r w:rsidRPr="00B926AF">
              <w:t>etterheads, headers, footers, and logos.</w:t>
            </w:r>
          </w:p>
          <w:p w:rsidR="00000000" w:rsidRPr="00B926AF" w:rsidP="00B926AF">
            <w:pPr>
              <w:pStyle w:val="ListBullet"/>
            </w:pPr>
            <w:r w:rsidRPr="00B926AF">
              <w:t>Oral communication techniques - Techniques for communicating to large groups, including; Conference presentations, Speeches; Techniques for communicating to small groups, including: Meeting presentations, Team discu</w:t>
            </w:r>
            <w:r w:rsidRPr="00B926AF">
              <w:t>ssions, planning forums and the like.</w:t>
            </w:r>
          </w:p>
          <w:p w:rsidR="00000000" w:rsidRPr="00B926AF" w:rsidP="00B926AF">
            <w:pPr>
              <w:pStyle w:val="ListBullet"/>
            </w:pPr>
            <w:r w:rsidRPr="00B926AF">
              <w:t xml:space="preserve">Electronic communication formats - World-wide Web – protocols and practices; Email – protocols and practices; Transfer of information via CD Rom/Floppy Disk; Use of PDF and other secure files. </w:t>
            </w:r>
          </w:p>
          <w:p w:rsidR="00000000" w:rsidRPr="00B926AF" w:rsidP="00B926AF">
            <w:pPr>
              <w:pStyle w:val="ListBullet"/>
            </w:pPr>
            <w:r w:rsidRPr="00B926AF">
              <w:t>Confidentiality consider</w:t>
            </w:r>
            <w:r w:rsidRPr="00B926AF">
              <w:t>ations - Confidentiality practices to protect the organisation; Confidentiality practices to protect the client; Confidentiality practices to protect providers of information/research cohorts.</w:t>
            </w:r>
          </w:p>
          <w:p w:rsidR="00000000" w:rsidRPr="00B926AF" w:rsidP="00B926AF">
            <w:pPr>
              <w:pStyle w:val="BodyText"/>
            </w:pPr>
            <w:r w:rsidRPr="00B926AF">
              <w:t>T5</w:t>
            </w:r>
            <w:r w:rsidRPr="00B926AF">
              <w:tab/>
              <w:t>Data collection techniques encompassing:</w:t>
            </w:r>
          </w:p>
          <w:p w:rsidR="00000000" w:rsidRPr="00B926AF" w:rsidP="00B926AF">
            <w:pPr>
              <w:pStyle w:val="ListBullet"/>
            </w:pPr>
            <w:r w:rsidRPr="00B926AF">
              <w:t>Data types - Quant</w:t>
            </w:r>
            <w:r w:rsidRPr="00B926AF">
              <w:t>itative data, including; empirical, non-parametric, parametric; Qualitative data; Raw; Graphic; Diagrams; Original; Textual; Multimedia; Electronic and the like.</w:t>
            </w:r>
          </w:p>
          <w:p w:rsidR="00000000" w:rsidRPr="00B926AF" w:rsidP="00B926AF">
            <w:pPr>
              <w:pStyle w:val="ListBullet"/>
            </w:pPr>
            <w:r w:rsidRPr="00B926AF">
              <w:t>Data Collection - Data sources; Consultation protocols and practices; Survey methodologies, in</w:t>
            </w:r>
            <w:r w:rsidRPr="00B926AF">
              <w:t>cluding; interviews, surveys, chat rooms, focus groups; Literature reviews, including; traditional and web-based; Group facilitation and presentation; Questioning, active listening and clarification; Obstacles to data collection, including; unavailable dat</w:t>
            </w:r>
            <w:r w:rsidRPr="00B926AF">
              <w:t>a, inconsistent data, confidentiality, security; Data limitations.</w:t>
            </w:r>
          </w:p>
          <w:p w:rsidR="00000000" w:rsidRPr="00B926AF" w:rsidP="00B926AF">
            <w:pPr>
              <w:pStyle w:val="ListBullet"/>
            </w:pPr>
            <w:r w:rsidRPr="00B926AF">
              <w:t>Evaluating data quality - Reliability; Accuracy; Clarity; Validity; Contribution to research; Relevance to research objectives.</w:t>
            </w:r>
          </w:p>
          <w:p w:rsidR="00000000" w:rsidRPr="00B926AF" w:rsidP="00B926AF">
            <w:pPr>
              <w:pStyle w:val="BodyText"/>
            </w:pPr>
            <w:r w:rsidRPr="00B926AF">
              <w:t>T6</w:t>
            </w:r>
            <w:r w:rsidRPr="00B926AF">
              <w:tab/>
              <w:t>Data analysis and presentation encompassing:</w:t>
            </w:r>
          </w:p>
          <w:p w:rsidR="00000000" w:rsidRPr="00B926AF" w:rsidP="00B926AF">
            <w:pPr>
              <w:pStyle w:val="ListBullet"/>
            </w:pPr>
            <w:r w:rsidRPr="00B926AF">
              <w:t>Data analysi</w:t>
            </w:r>
            <w:r w:rsidRPr="00B926AF">
              <w:t>s techniques - Univariate analysis; Multivariate analysis; Decision trees; Genetic Algorithms; Neural Networks; Gap Analysis; Urgency and impact, and the like.</w:t>
            </w:r>
          </w:p>
          <w:p w:rsidR="00000000" w:rsidRPr="00B926AF" w:rsidP="00B926AF">
            <w:pPr>
              <w:pStyle w:val="ListBullet"/>
            </w:pPr>
            <w:r w:rsidRPr="00B926AF">
              <w:t>Data analysis technique selection - Determining the correct analysis technique(s); Determining t</w:t>
            </w:r>
            <w:r w:rsidRPr="00B926AF">
              <w:t>he correct sequence of analysis techniques; Accommodating influencing factors including research objectives, budget, timeline and quality requirements, data limitations, confidentiality, security and the like.</w:t>
            </w:r>
          </w:p>
          <w:p w:rsidR="00000000" w:rsidRPr="00B926AF" w:rsidP="00B926AF">
            <w:pPr>
              <w:pStyle w:val="ListBullet"/>
            </w:pPr>
            <w:r w:rsidRPr="00B926AF">
              <w:t>Data interpretation - Determining results; det</w:t>
            </w:r>
            <w:r w:rsidRPr="00B926AF">
              <w:t>ermining conclusions; Benchmarking; Quality Assurance, including consideration of accuracy, validity, clarity and the like.</w:t>
            </w:r>
          </w:p>
          <w:p w:rsidR="00000000" w:rsidRPr="00B926AF" w:rsidP="00B926AF">
            <w:pPr>
              <w:pStyle w:val="ListBullet"/>
            </w:pPr>
            <w:r w:rsidRPr="00B926AF">
              <w:t>Data presentation:</w:t>
            </w:r>
          </w:p>
          <w:p w:rsidR="00000000" w:rsidRPr="00B926AF" w:rsidP="00B926AF">
            <w:pPr>
              <w:pStyle w:val="ListBullet2"/>
            </w:pPr>
            <w:r w:rsidRPr="00B926AF">
              <w:t>Determining the correct form of presentation for the audience, including; colleagues, scientific community, mark</w:t>
            </w:r>
            <w:r w:rsidRPr="00B926AF">
              <w:t>eting and commercialisation specialists, general community, industry, mixed (i.e. conference audience).</w:t>
            </w:r>
          </w:p>
          <w:p w:rsidR="00000000" w:rsidRPr="00B926AF" w:rsidP="00B926AF">
            <w:pPr>
              <w:pStyle w:val="ListBullet2"/>
            </w:pPr>
            <w:r w:rsidRPr="00B926AF">
              <w:t>Forms of documentary presentation, including reports, journal articles, scientific papers, graphs, tables, diagrams, electronic formats; Forms of verbal presentation, including meetings, client briefings, conferences, support of a new concept, need for fur</w:t>
            </w:r>
            <w:r w:rsidRPr="00B926AF">
              <w:t>ther research, commercialisation opportunity; Quality Assurance, including accuracy, validity, clarity of information presented.</w:t>
            </w:r>
          </w:p>
          <w:p w:rsidR="00000000" w:rsidRPr="00B926AF" w:rsidP="00B926AF">
            <w:pPr>
              <w:pStyle w:val="BodyText"/>
            </w:pPr>
            <w:r w:rsidRPr="00B926AF">
              <w:t>T7</w:t>
            </w:r>
            <w:r w:rsidRPr="00B926AF">
              <w:tab/>
              <w:t>Product development and trials encompassing:</w:t>
            </w:r>
          </w:p>
          <w:p w:rsidR="00000000" w:rsidRPr="00B926AF" w:rsidP="00B926AF">
            <w:pPr>
              <w:pStyle w:val="ListBullet"/>
            </w:pPr>
            <w:r w:rsidRPr="00B926AF">
              <w:t>Identifying client and managerial requirements for production and trials - Req</w:t>
            </w:r>
            <w:r w:rsidRPr="00B926AF">
              <w:t>uired outcome(s); Key performance indicators; Timelines; Financing; Resources; Quality Assurance and the like.</w:t>
            </w:r>
          </w:p>
          <w:p w:rsidR="00000000" w:rsidRPr="00B926AF" w:rsidP="00B926AF">
            <w:pPr>
              <w:pStyle w:val="ListBullet"/>
            </w:pPr>
            <w:r w:rsidRPr="00B926AF">
              <w:t>Influencing factors - Internal business goals and strategies; Technical specifications (chemical, mechanical, environmental); Industrial consider</w:t>
            </w:r>
            <w:r w:rsidRPr="00B926AF">
              <w:t>ations; Regulatory considerations; Legislative considerations; Intellectual Property; Australian &amp; International Standards; Codes of Practice; Market requirements; Resource requirements, including personnel tools and equipment (principles and practices), m</w:t>
            </w:r>
            <w:r w:rsidRPr="00B926AF">
              <w:t>aterials, finances and the like.Product development arrangements - Licensing agreements; Joint Ventures; Sole Ventures and the like.</w:t>
            </w:r>
          </w:p>
          <w:p w:rsidR="00000000" w:rsidRPr="00B926AF" w:rsidP="00B926AF">
            <w:pPr>
              <w:pStyle w:val="ListBullet"/>
            </w:pPr>
            <w:r w:rsidRPr="00B926AF">
              <w:t>Relevant Documentation - Codes of Practice; Standard Operating Procedures; Product formulation documentation; Material safe</w:t>
            </w:r>
            <w:r w:rsidRPr="00B926AF">
              <w:t>ty data sheets (MSDSs); Equipment and Quality manuals; Calibration and maintenance schedules; Enterprise recording and reporting procedures; Material, equipment and product specifications and the like.</w:t>
            </w:r>
          </w:p>
          <w:p w:rsidR="00000000" w:rsidRPr="00B926AF" w:rsidP="00B926AF">
            <w:pPr>
              <w:pStyle w:val="ListBullet"/>
            </w:pPr>
            <w:r w:rsidRPr="00B926AF">
              <w:t>Development &amp; trial processes - Proof of concept; Tria</w:t>
            </w:r>
            <w:r w:rsidRPr="00B926AF">
              <w:t>ling concepts; Definitions/Specifications; Types of development and trial processes, including Phase A product and trial, Phase B product and trial, User trials, Ergonomics and Usability testing; Pre-defined acceptance criteria, confidence limits; Data col</w:t>
            </w:r>
            <w:r w:rsidRPr="00B926AF">
              <w:t>lection &amp; analysis; Production; Evaluation and recommendation formulation.</w:t>
            </w:r>
          </w:p>
          <w:p w:rsidR="00000000" w:rsidRPr="00B926AF" w:rsidP="00B926AF">
            <w:pPr>
              <w:pStyle w:val="BodyText"/>
            </w:pPr>
            <w:r w:rsidRPr="00B926AF">
              <w:t>T8</w:t>
            </w:r>
            <w:r w:rsidRPr="00B926AF">
              <w:tab/>
              <w:t>Intellectual property concepts encompassing:</w:t>
            </w:r>
          </w:p>
          <w:p w:rsidR="00000000" w:rsidRPr="00B926AF" w:rsidP="00B926AF">
            <w:pPr>
              <w:pStyle w:val="ListBullet"/>
            </w:pPr>
            <w:r w:rsidRPr="00B926AF">
              <w:t xml:space="preserve">Intellectual Property and Australian Law - The place of Intellectual Property in Australian Law; Past cases and outcomes; Necessary </w:t>
            </w:r>
            <w:r w:rsidRPr="00B926AF">
              <w:t>considerations and the like.</w:t>
            </w:r>
          </w:p>
          <w:p w:rsidR="00000000" w:rsidRPr="00B926AF" w:rsidP="00B926AF">
            <w:pPr>
              <w:pStyle w:val="ListBullet"/>
            </w:pPr>
            <w:r w:rsidRPr="00B926AF">
              <w:t xml:space="preserve">The nature of Intellectual Property - What is Intellectual Property? What isn’t Intellectual Property?; Why is Intellectual Property relevant?; What can Intellectual Property rights do?; What can’t Intellectual Property rights </w:t>
            </w:r>
            <w:r w:rsidRPr="00B926AF">
              <w:t>do?</w:t>
            </w:r>
          </w:p>
          <w:p w:rsidR="00000000" w:rsidRPr="00B926AF" w:rsidP="00B926AF">
            <w:pPr>
              <w:pStyle w:val="ListBullet"/>
            </w:pPr>
            <w:r w:rsidRPr="00B926AF">
              <w:t>Intellectual Property Rights - Patents; Copyright; Designs; Confidential Information; Other specialty rights and the like.</w:t>
            </w:r>
          </w:p>
          <w:p w:rsidR="00000000" w:rsidRPr="00B926AF" w:rsidP="00B926AF">
            <w:pPr>
              <w:pStyle w:val="ListBullet"/>
            </w:pPr>
            <w:r w:rsidRPr="00B926AF">
              <w:t>Managing Intellectual Property - Identifying Intellectual Property; Deciding what to protect; Strategies for managing Intellectua</w:t>
            </w:r>
            <w:r w:rsidRPr="00B926AF">
              <w:t xml:space="preserve">l Property; How can Intellectual Property rights work together?; Intellectual Property versus time, effort, finances; Sources of Assistance, including Publications, Intellectual Property professionals, Lawyers, Business Advisors, Marketing consultants and </w:t>
            </w:r>
            <w:r w:rsidRPr="00B926AF">
              <w:t>the like.</w:t>
            </w:r>
          </w:p>
          <w:p w:rsidR="00000000" w:rsidRPr="00B926AF" w:rsidP="00B926AF">
            <w:pPr>
              <w:pStyle w:val="ListBullet"/>
            </w:pPr>
            <w:r w:rsidRPr="00B926AF">
              <w:t xml:space="preserve">Enforcement of Intellectual Property - The enforcement process; The role of lawyers; Resolution. </w:t>
            </w:r>
          </w:p>
          <w:p w:rsidR="00000000" w:rsidRPr="00B926AF" w:rsidP="00B926AF">
            <w:pPr>
              <w:pStyle w:val="ListBullet"/>
            </w:pPr>
            <w:r w:rsidRPr="00B926AF">
              <w:t>The changing face of Intellectual Property - Development of Intellectual Property Right Laws; Changes to Intellectual Property Right laws; Extensions of Intellectual Property Rights into non-traditional areas, including cultural, property arenas; The globa</w:t>
            </w:r>
            <w:r w:rsidRPr="00B926AF">
              <w:t>l marketplace and the like.</w:t>
            </w:r>
          </w:p>
          <w:p w:rsidR="00000000" w:rsidRPr="00B926AF" w:rsidP="00B926AF">
            <w:pPr>
              <w:pStyle w:val="BodyText"/>
            </w:pPr>
            <w:r w:rsidRPr="00B926AF">
              <w:t>T9</w:t>
            </w:r>
            <w:r w:rsidRPr="00B926AF">
              <w:tab/>
              <w:t xml:space="preserve">Occupational Health and Safety principles and fundamentals encompassing: </w:t>
            </w:r>
          </w:p>
          <w:p w:rsidR="00000000" w:rsidRPr="00B926AF" w:rsidP="00B926AF">
            <w:pPr>
              <w:pStyle w:val="ListBullet"/>
            </w:pPr>
            <w:r w:rsidRPr="00B926AF">
              <w:t>underlying principles of OH&amp;S</w:t>
            </w:r>
          </w:p>
          <w:p w:rsidR="00000000" w:rsidRPr="00B926AF" w:rsidP="00B926AF">
            <w:pPr>
              <w:pStyle w:val="ListBullet"/>
            </w:pPr>
            <w:r w:rsidRPr="00B926AF">
              <w:t>general aims and objectives of the relevant state or territory legislation relating to OH&amp;S.</w:t>
            </w:r>
          </w:p>
          <w:p w:rsidR="00000000" w:rsidRPr="00B926AF" w:rsidP="00B926AF">
            <w:pPr>
              <w:pStyle w:val="ListBullet"/>
            </w:pPr>
            <w:r w:rsidRPr="00B926AF">
              <w:t>employer and employee respo</w:t>
            </w:r>
            <w:r w:rsidRPr="00B926AF">
              <w:t>nsibilities, rights and obligations.</w:t>
            </w:r>
          </w:p>
          <w:p w:rsidR="00000000" w:rsidRPr="00B926AF" w:rsidP="00B926AF">
            <w:pPr>
              <w:pStyle w:val="ListBullet"/>
            </w:pPr>
            <w:r w:rsidRPr="00B926AF">
              <w:t>major functions of safety committees and representatives.</w:t>
            </w:r>
          </w:p>
          <w:p w:rsidR="00000000" w:rsidRPr="00B926AF" w:rsidP="00B926AF">
            <w:pPr>
              <w:pStyle w:val="ListBullet"/>
            </w:pPr>
            <w:r w:rsidRPr="00B926AF">
              <w:t>powers given to Occupational Health and Safety Inspectors</w:t>
            </w:r>
          </w:p>
          <w:p w:rsidR="00000000" w:rsidRPr="00B926AF" w:rsidP="00B926AF">
            <w:pPr>
              <w:pStyle w:val="ListBullet"/>
            </w:pPr>
            <w:r w:rsidRPr="00B926AF">
              <w:t>housekeeping and potential hazards in relation to improper housekeeping</w:t>
            </w:r>
          </w:p>
          <w:p w:rsidR="00000000" w:rsidRPr="00B926AF" w:rsidP="00B926AF">
            <w:pPr>
              <w:pStyle w:val="ListBullet"/>
            </w:pPr>
            <w:r w:rsidRPr="00B926AF">
              <w:t xml:space="preserve">selecting appropriate personal </w:t>
            </w:r>
            <w:r w:rsidRPr="00B926AF">
              <w:t>protective equipment (PPE) given hazardous situations</w:t>
            </w:r>
          </w:p>
          <w:p w:rsidR="00000000" w:rsidRPr="00B926AF" w:rsidP="00B926AF">
            <w:pPr>
              <w:pStyle w:val="BodyText"/>
            </w:pPr>
            <w:r w:rsidRPr="00B926AF">
              <w:t>T10</w:t>
            </w:r>
            <w:r w:rsidRPr="00B926AF">
              <w:tab/>
              <w:t xml:space="preserve">The work environment encompassing: </w:t>
            </w:r>
          </w:p>
          <w:p w:rsidR="00000000" w:rsidRPr="00B926AF" w:rsidP="00B926AF">
            <w:pPr>
              <w:pStyle w:val="ListBullet"/>
            </w:pPr>
            <w:r w:rsidRPr="00B926AF">
              <w:t>typical hazards associated with a range of work environments</w:t>
            </w:r>
          </w:p>
          <w:p w:rsidR="00000000" w:rsidRPr="00B926AF" w:rsidP="00B926AF">
            <w:pPr>
              <w:pStyle w:val="ListBullet"/>
            </w:pPr>
            <w:r w:rsidRPr="00B926AF">
              <w:t>procedures used to control the risks associated with these hazards</w:t>
            </w:r>
          </w:p>
          <w:p w:rsidR="00000000" w:rsidRPr="00B926AF" w:rsidP="00B926AF">
            <w:pPr>
              <w:pStyle w:val="ListBullet"/>
            </w:pPr>
            <w:r w:rsidRPr="00B926AF">
              <w:t>principles of risk assessment / m</w:t>
            </w:r>
            <w:r w:rsidRPr="00B926AF">
              <w:t>anagement and state the purpose of each.</w:t>
            </w:r>
          </w:p>
          <w:p w:rsidR="00000000" w:rsidRPr="00B926AF" w:rsidP="00B926AF">
            <w:pPr>
              <w:pStyle w:val="ListBullet"/>
            </w:pPr>
            <w:r w:rsidRPr="00B926AF">
              <w:t>hierarchy of OH&amp;S hazard control measures.</w:t>
            </w:r>
          </w:p>
          <w:p w:rsidR="00000000" w:rsidRPr="00B926AF" w:rsidP="00B926AF">
            <w:pPr>
              <w:pStyle w:val="ListBullet"/>
            </w:pPr>
            <w:r w:rsidRPr="00B926AF">
              <w:t>required documentation for risk assessment.</w:t>
            </w:r>
          </w:p>
          <w:p w:rsidR="00000000" w:rsidRPr="00B926AF" w:rsidP="00B926AF">
            <w:pPr>
              <w:pStyle w:val="ListBullet"/>
            </w:pPr>
            <w:r w:rsidRPr="00B926AF">
              <w:t>commonly used workplace safety signs.</w:t>
            </w:r>
          </w:p>
          <w:p w:rsidR="00000000" w:rsidRPr="00B926AF" w:rsidP="00B926AF">
            <w:pPr>
              <w:pStyle w:val="ListBullet"/>
            </w:pPr>
            <w:r w:rsidRPr="00B926AF">
              <w:t>workplace emergencies that pose a threat to health and safety and suitable procedure for a</w:t>
            </w:r>
            <w:r w:rsidRPr="00B926AF">
              <w:t>n emergency workplace evacuation.</w:t>
            </w:r>
          </w:p>
          <w:p w:rsidR="00000000" w:rsidRPr="00B926AF" w:rsidP="00B926AF">
            <w:pPr>
              <w:pStyle w:val="ListBullet"/>
            </w:pPr>
            <w:r w:rsidRPr="00B926AF">
              <w:t>appropriate fire extinguisher for a given type of fire.</w:t>
            </w:r>
          </w:p>
          <w:p w:rsidR="00000000" w:rsidRPr="00B926AF" w:rsidP="00B926AF">
            <w:pPr>
              <w:pStyle w:val="ListBullet"/>
            </w:pPr>
            <w:r w:rsidRPr="00B926AF">
              <w:t>requirements for the location, mounting and maintenance of portable fire extinguishers.</w:t>
            </w:r>
          </w:p>
          <w:p w:rsidR="00000000" w:rsidRPr="00B926AF" w:rsidP="00B926AF">
            <w:pPr>
              <w:pStyle w:val="ListBullet"/>
            </w:pPr>
            <w:r w:rsidRPr="00B926AF">
              <w:t>basic process of fighting a fire.</w:t>
            </w:r>
          </w:p>
          <w:p w:rsidR="00000000" w:rsidRPr="00B926AF" w:rsidP="00B926AF">
            <w:pPr>
              <w:pStyle w:val="ListBullet"/>
            </w:pPr>
            <w:r w:rsidRPr="00B926AF">
              <w:t>safe premises, buildings and security are important in an industrial setting and the consequences of non- compliance with these.</w:t>
            </w:r>
          </w:p>
          <w:p w:rsidR="00000000" w:rsidRPr="00B926AF" w:rsidP="00B926AF">
            <w:pPr>
              <w:pStyle w:val="ListBullet"/>
            </w:pPr>
            <w:r w:rsidRPr="00B926AF">
              <w:t>standard work procedure is and why they are required in some circumstances.</w:t>
            </w:r>
          </w:p>
          <w:p w:rsidR="00000000" w:rsidRPr="00B926AF" w:rsidP="00B926AF">
            <w:pPr>
              <w:pStyle w:val="BodyText"/>
            </w:pPr>
            <w:r w:rsidRPr="00B926AF">
              <w:t>T11</w:t>
            </w:r>
            <w:r w:rsidRPr="00B926AF">
              <w:tab/>
              <w:t>Manual Handling encompassing:</w:t>
            </w:r>
          </w:p>
          <w:p w:rsidR="00000000" w:rsidRPr="00B926AF" w:rsidP="00B926AF">
            <w:pPr>
              <w:pStyle w:val="ListBullet"/>
            </w:pPr>
            <w:r w:rsidRPr="00B926AF">
              <w:t>typical manual h</w:t>
            </w:r>
            <w:r w:rsidRPr="00B926AF">
              <w:t>andling injuries and the effect they can have on lifestyle</w:t>
            </w:r>
          </w:p>
          <w:p w:rsidR="00000000" w:rsidRPr="00B926AF" w:rsidP="00B926AF">
            <w:pPr>
              <w:pStyle w:val="ListBullet"/>
            </w:pPr>
            <w:r w:rsidRPr="00B926AF">
              <w:t>situations that may cause manual handling injuries</w:t>
            </w:r>
          </w:p>
          <w:p w:rsidR="00000000" w:rsidRPr="00B926AF" w:rsidP="00B926AF">
            <w:pPr>
              <w:pStyle w:val="ListBullet"/>
            </w:pPr>
            <w:r w:rsidRPr="00B926AF">
              <w:t>correct procedures for lifting and carrying to prevent manual handling injuries</w:t>
            </w:r>
          </w:p>
          <w:p w:rsidR="00000000" w:rsidRPr="00B926AF" w:rsidP="00B926AF">
            <w:pPr>
              <w:pStyle w:val="ListBullet"/>
            </w:pPr>
            <w:r w:rsidRPr="00B926AF">
              <w:t>Chemicals in the workplace encompassing:</w:t>
            </w:r>
          </w:p>
          <w:p w:rsidR="00000000" w:rsidRPr="00B926AF" w:rsidP="00B926AF">
            <w:pPr>
              <w:pStyle w:val="ListBullet"/>
            </w:pPr>
            <w:r w:rsidRPr="00B926AF">
              <w:t xml:space="preserve">hazardous substances and </w:t>
            </w:r>
            <w:r w:rsidRPr="00B926AF">
              <w:t>dangerous goods.</w:t>
            </w:r>
          </w:p>
          <w:p w:rsidR="00000000" w:rsidRPr="00B926AF" w:rsidP="00B926AF">
            <w:pPr>
              <w:pStyle w:val="ListBullet"/>
            </w:pPr>
            <w:r w:rsidRPr="00B926AF">
              <w:t>Classification of chemicals as hazardous substances and/or dangerous goods</w:t>
            </w:r>
          </w:p>
          <w:p w:rsidR="00000000" w:rsidRPr="00B926AF" w:rsidP="00B926AF">
            <w:pPr>
              <w:pStyle w:val="ListBullet"/>
            </w:pPr>
            <w:r w:rsidRPr="00B926AF">
              <w:t>requirements for labelling of chemicals in the workplace</w:t>
            </w:r>
          </w:p>
          <w:p w:rsidR="00000000" w:rsidRPr="00B926AF" w:rsidP="00B926AF">
            <w:pPr>
              <w:pStyle w:val="ListBullet"/>
            </w:pPr>
            <w:r w:rsidRPr="00B926AF">
              <w:t>safe storage procedures for chemicals</w:t>
            </w:r>
          </w:p>
          <w:p w:rsidR="00000000" w:rsidRPr="00B926AF" w:rsidP="00B926AF">
            <w:pPr>
              <w:pStyle w:val="ListBullet"/>
            </w:pPr>
            <w:r w:rsidRPr="00B926AF">
              <w:t>purpose of and interpretation of material safety data sheet (MSDS)</w:t>
            </w:r>
          </w:p>
          <w:p w:rsidR="00000000" w:rsidRPr="00B926AF" w:rsidP="00B926AF">
            <w:pPr>
              <w:pStyle w:val="BodyText"/>
            </w:pPr>
            <w:r w:rsidRPr="00B926AF">
              <w:t>T1</w:t>
            </w:r>
            <w:r w:rsidRPr="00B926AF">
              <w:t>2</w:t>
            </w:r>
            <w:r w:rsidRPr="00B926AF">
              <w:tab/>
              <w:t>Working at heights encompassing:</w:t>
            </w:r>
          </w:p>
          <w:p w:rsidR="00000000" w:rsidRPr="00B926AF" w:rsidP="00B926AF">
            <w:pPr>
              <w:pStyle w:val="ListBullet"/>
            </w:pPr>
            <w:r w:rsidRPr="00B926AF">
              <w:t>dangers associated with working on ladders and scaffolds</w:t>
            </w:r>
          </w:p>
          <w:p w:rsidR="00000000" w:rsidRPr="00B926AF" w:rsidP="00B926AF">
            <w:pPr>
              <w:pStyle w:val="ListBullet"/>
            </w:pPr>
            <w:r w:rsidRPr="00B926AF">
              <w:t>identification of work area as a height risk and use appropriate safety equipment to prevent a fall</w:t>
            </w:r>
          </w:p>
          <w:p w:rsidR="00000000" w:rsidRPr="00B926AF" w:rsidP="00B926AF">
            <w:pPr>
              <w:pStyle w:val="ListBullet"/>
            </w:pPr>
            <w:r w:rsidRPr="00B926AF">
              <w:t>selecting an appropriate ladder for a given situation and perfo</w:t>
            </w:r>
            <w:r w:rsidRPr="00B926AF">
              <w:t>rm a safety check before use</w:t>
            </w:r>
          </w:p>
          <w:p w:rsidR="00000000" w:rsidRPr="00B926AF" w:rsidP="00B926AF">
            <w:pPr>
              <w:pStyle w:val="ListBullet"/>
            </w:pPr>
            <w:r w:rsidRPr="00B926AF">
              <w:t>precautions that should be taken when ascending and working off a ladder</w:t>
            </w:r>
          </w:p>
          <w:p w:rsidR="00000000" w:rsidRPr="00B926AF" w:rsidP="00B926AF">
            <w:pPr>
              <w:pStyle w:val="ListBullet"/>
            </w:pPr>
            <w:r w:rsidRPr="00B926AF">
              <w:t>precautions that should be taken when working on and around a scaffold and elevated platforms.</w:t>
            </w:r>
          </w:p>
          <w:p w:rsidR="00000000" w:rsidRPr="00B926AF" w:rsidP="00B926AF">
            <w:pPr>
              <w:pStyle w:val="BodyText"/>
            </w:pPr>
            <w:r w:rsidRPr="00B926AF">
              <w:t>T13</w:t>
            </w:r>
            <w:r w:rsidRPr="00B926AF">
              <w:tab/>
              <w:t>Confined spaces encompassing:</w:t>
            </w:r>
          </w:p>
          <w:p w:rsidR="00000000" w:rsidRPr="00B926AF" w:rsidP="00B926AF">
            <w:pPr>
              <w:pStyle w:val="ListBullet"/>
            </w:pPr>
            <w:r w:rsidRPr="00B926AF">
              <w:t xml:space="preserve">hazards associated with </w:t>
            </w:r>
            <w:r w:rsidRPr="00B926AF">
              <w:t>working in a confined space</w:t>
            </w:r>
          </w:p>
          <w:p w:rsidR="00000000" w:rsidRPr="00B926AF" w:rsidP="00B926AF">
            <w:pPr>
              <w:pStyle w:val="ListBullet"/>
            </w:pPr>
            <w:r w:rsidRPr="00B926AF">
              <w:t>identifying workplace situations that could be classified as a confined space</w:t>
            </w:r>
          </w:p>
          <w:p w:rsidR="00000000" w:rsidRPr="00B926AF" w:rsidP="00B926AF">
            <w:pPr>
              <w:pStyle w:val="ListBullet"/>
            </w:pPr>
            <w:r w:rsidRPr="00B926AF">
              <w:t>control measures for working in a designated confined space</w:t>
            </w:r>
          </w:p>
          <w:p w:rsidR="00000000" w:rsidRPr="00B926AF" w:rsidP="00B926AF">
            <w:pPr>
              <w:pStyle w:val="BodyText"/>
            </w:pPr>
            <w:r w:rsidRPr="00B926AF">
              <w:t>T14</w:t>
            </w:r>
            <w:r w:rsidRPr="00B926AF">
              <w:tab/>
              <w:t>Physical and psychological hazards encompassing:</w:t>
            </w:r>
          </w:p>
          <w:p w:rsidR="00000000" w:rsidRPr="00B926AF" w:rsidP="00B926AF">
            <w:pPr>
              <w:pStyle w:val="ListBullet"/>
            </w:pPr>
            <w:r w:rsidRPr="00B926AF">
              <w:t>short and long term effects of excessive noise and techniques to avoid damage to hearing due to excessive noise</w:t>
            </w:r>
          </w:p>
          <w:p w:rsidR="00000000" w:rsidRPr="00B926AF" w:rsidP="00B926AF">
            <w:pPr>
              <w:pStyle w:val="ListBullet"/>
            </w:pPr>
            <w:r w:rsidRPr="00B926AF">
              <w:t>effects of vibration on the human body and work practices to protect against vibration</w:t>
            </w:r>
          </w:p>
          <w:p w:rsidR="00000000" w:rsidRPr="00B926AF" w:rsidP="00B926AF">
            <w:pPr>
              <w:pStyle w:val="ListBullet"/>
            </w:pPr>
            <w:r w:rsidRPr="00B926AF">
              <w:t>effects of thermal stress on the human body and work prac</w:t>
            </w:r>
            <w:r w:rsidRPr="00B926AF">
              <w:t>tices to protect against thermal stress</w:t>
            </w:r>
          </w:p>
          <w:p w:rsidR="00000000" w:rsidRPr="00B926AF" w:rsidP="00B926AF">
            <w:pPr>
              <w:pStyle w:val="ListBullet"/>
            </w:pPr>
            <w:r w:rsidRPr="00B926AF">
              <w:t>effects of ultraviolet (UV) radiation on the human body and work practices to protect against UV radiation.</w:t>
            </w:r>
          </w:p>
          <w:p w:rsidR="00000000" w:rsidRPr="00B926AF" w:rsidP="00B926AF">
            <w:pPr>
              <w:pStyle w:val="ListBullet"/>
            </w:pPr>
            <w:r w:rsidRPr="00B926AF">
              <w:t xml:space="preserve">dangers associated with laser operated equipment and tools and suitable protective measures to overcome the </w:t>
            </w:r>
            <w:r w:rsidRPr="00B926AF">
              <w:t>danger.</w:t>
            </w:r>
          </w:p>
          <w:p w:rsidR="00000000" w:rsidRPr="00B926AF" w:rsidP="00B926AF">
            <w:pPr>
              <w:pStyle w:val="ListBullet"/>
            </w:pPr>
            <w:r w:rsidRPr="00B926AF">
              <w:t>occupational overuse syndrome, state examples of how it occurs and describe means to overcome it</w:t>
            </w:r>
          </w:p>
          <w:p w:rsidR="00000000" w:rsidRPr="00B926AF" w:rsidP="00B926AF">
            <w:pPr>
              <w:pStyle w:val="ListBullet"/>
            </w:pPr>
            <w:r w:rsidRPr="00B926AF">
              <w:t>factors that cause stress in the workplace, symptoms of a person suffering from stress and personal stress management techniques</w:t>
            </w:r>
          </w:p>
          <w:p w:rsidR="00000000" w:rsidRPr="00B926AF" w:rsidP="00B926AF">
            <w:pPr>
              <w:pStyle w:val="ListBullet"/>
            </w:pPr>
            <w:r w:rsidRPr="00B926AF">
              <w:t>detrimental effects an</w:t>
            </w:r>
            <w:r w:rsidRPr="00B926AF">
              <w:t>d dangers of drug and alcohol use in the workplace</w:t>
            </w:r>
          </w:p>
          <w:p w:rsidR="00000000" w:rsidRPr="00B926AF" w:rsidP="00B926AF">
            <w:pPr>
              <w:pStyle w:val="BodyText"/>
            </w:pPr>
            <w:r w:rsidRPr="00B926AF">
              <w:t>T15</w:t>
            </w:r>
            <w:r w:rsidRPr="00B926AF">
              <w:tab/>
              <w:t>Working safely with electricity encompassing:</w:t>
            </w:r>
          </w:p>
          <w:p w:rsidR="00000000" w:rsidRPr="00B926AF" w:rsidP="00B926AF">
            <w:pPr>
              <w:pStyle w:val="ListBullet"/>
            </w:pPr>
            <w:r w:rsidRPr="00B926AF">
              <w:t>effects of electric shock on the human body</w:t>
            </w:r>
          </w:p>
          <w:p w:rsidR="00000000" w:rsidRPr="00B926AF" w:rsidP="00B926AF">
            <w:pPr>
              <w:pStyle w:val="ListBullet"/>
            </w:pPr>
            <w:r w:rsidRPr="00B926AF">
              <w:t>common causes of electrical accidents</w:t>
            </w:r>
          </w:p>
          <w:p w:rsidR="00000000" w:rsidRPr="00B926AF" w:rsidP="00B926AF">
            <w:pPr>
              <w:pStyle w:val="ListBullet"/>
            </w:pPr>
            <w:r w:rsidRPr="00B926AF">
              <w:t>precautions that can minimise the chance of electric shock (earthing, ex</w:t>
            </w:r>
            <w:r w:rsidRPr="00B926AF">
              <w:t>tra low voltage, fuses, circuit breakers and residual current devices – RCDs)</w:t>
            </w:r>
          </w:p>
          <w:p w:rsidR="00000000" w:rsidRPr="00B926AF" w:rsidP="00B926AF">
            <w:pPr>
              <w:pStyle w:val="ListBullet"/>
            </w:pPr>
            <w:r w:rsidRPr="00B926AF">
              <w:t>protection offered by a residual current device (RCD)</w:t>
            </w:r>
          </w:p>
          <w:p w:rsidR="00000000" w:rsidRPr="00B926AF" w:rsidP="00B926AF">
            <w:pPr>
              <w:pStyle w:val="ListBullet"/>
            </w:pPr>
            <w:r w:rsidRPr="00B926AF">
              <w:t>need for ensuring the (safe) isolation of an electrical supply</w:t>
            </w:r>
          </w:p>
          <w:p w:rsidR="00000000" w:rsidRPr="00B926AF" w:rsidP="00B926AF">
            <w:pPr>
              <w:pStyle w:val="ListBullet"/>
            </w:pPr>
            <w:r w:rsidRPr="00B926AF">
              <w:t xml:space="preserve">appropriate method of removing an electric shock victim from </w:t>
            </w:r>
            <w:r w:rsidRPr="00B926AF">
              <w:t>a live electrical situation</w:t>
            </w:r>
          </w:p>
          <w:p w:rsidR="00000000" w:rsidRPr="00B926AF" w:rsidP="00B926AF">
            <w:pPr>
              <w:pStyle w:val="BodyText"/>
            </w:pPr>
            <w:r w:rsidRPr="00B926AF">
              <w:t>T16</w:t>
            </w:r>
            <w:r w:rsidRPr="00B926AF">
              <w:tab/>
              <w:t xml:space="preserve">Life support - CPR in the workplace encompassing: </w:t>
            </w:r>
          </w:p>
          <w:p w:rsidR="00000000" w:rsidRPr="00B926AF" w:rsidP="00B926AF">
            <w:pPr>
              <w:pStyle w:val="ListBullet"/>
            </w:pPr>
            <w:r w:rsidRPr="00B926AF">
              <w:t>First Aid.</w:t>
            </w:r>
          </w:p>
          <w:p w:rsidR="00000000" w:rsidRPr="00B926AF" w:rsidP="00B926AF">
            <w:pPr>
              <w:pStyle w:val="ListBullet"/>
            </w:pPr>
            <w:r w:rsidRPr="00B926AF">
              <w:t>responsibilities of the First Aider.</w:t>
            </w:r>
          </w:p>
          <w:p w:rsidR="00000000" w:rsidRPr="00B926AF" w:rsidP="00B926AF">
            <w:pPr>
              <w:pStyle w:val="ListBullet"/>
            </w:pPr>
            <w:r w:rsidRPr="00B926AF">
              <w:t>priorities of first aid management for any accident or injury.</w:t>
            </w:r>
          </w:p>
          <w:p w:rsidR="00000000" w:rsidRPr="00B926AF" w:rsidP="00B926AF">
            <w:pPr>
              <w:pStyle w:val="ListBullet"/>
            </w:pPr>
            <w:r w:rsidRPr="00B926AF">
              <w:t>procedures required at an accident scene.</w:t>
            </w:r>
          </w:p>
          <w:p w:rsidR="00000000" w:rsidRPr="00B926AF" w:rsidP="00B926AF">
            <w:pPr>
              <w:pStyle w:val="ListBullet"/>
            </w:pPr>
            <w:r w:rsidRPr="00B926AF">
              <w:t>legal and ethical issues, which may impact on the management of care.</w:t>
            </w:r>
          </w:p>
          <w:p w:rsidR="00000000" w:rsidRPr="00B926AF" w:rsidP="00B926AF">
            <w:pPr>
              <w:pStyle w:val="ListBullet"/>
            </w:pPr>
            <w:r w:rsidRPr="00B926AF">
              <w:t>'Duty of Care'.</w:t>
            </w:r>
          </w:p>
          <w:p w:rsidR="00000000" w:rsidRPr="00B926AF" w:rsidP="00B926AF">
            <w:pPr>
              <w:pStyle w:val="ListBullet"/>
            </w:pPr>
            <w:r w:rsidRPr="00B926AF">
              <w:t>examination of a casualty for injuries.</w:t>
            </w:r>
          </w:p>
          <w:p w:rsidR="00000000" w:rsidRPr="00B926AF" w:rsidP="00B926AF">
            <w:pPr>
              <w:pStyle w:val="ListBullet"/>
            </w:pPr>
            <w:r w:rsidRPr="00B926AF">
              <w:t>effect of cardio pulmonary arrest on the body.</w:t>
            </w:r>
          </w:p>
          <w:p w:rsidR="00000000" w:rsidRPr="00B926AF" w:rsidP="00B926AF">
            <w:pPr>
              <w:pStyle w:val="ListBullet"/>
            </w:pPr>
            <w:r w:rsidRPr="00B926AF">
              <w:t>Managing simulated conditions of: airway obstruction; respiratory arrest and cardio</w:t>
            </w:r>
            <w:r w:rsidRPr="00B926AF">
              <w:t xml:space="preserve"> pulmonary arrest,</w:t>
            </w:r>
          </w:p>
          <w:p w:rsidR="00000000" w:rsidRPr="00B926AF" w:rsidP="00B926AF">
            <w:pPr>
              <w:pStyle w:val="ListBullet"/>
            </w:pPr>
            <w:r w:rsidRPr="00B926AF">
              <w:t>single and two-person cardio pulmonary resuscitation (CPR).</w:t>
            </w:r>
          </w:p>
          <w:p w:rsidR="00000000" w:rsidRPr="00B926AF" w:rsidP="00B926AF">
            <w:pPr>
              <w:pStyle w:val="ListBullet"/>
            </w:pPr>
            <w:r w:rsidRPr="00B926AF">
              <w:t>signs and symptoms of an altered level of consciousness</w:t>
            </w:r>
          </w:p>
          <w:p w:rsidR="00000000" w:rsidRPr="00B926AF" w:rsidP="00B926AF">
            <w:pPr>
              <w:pStyle w:val="ListBullet"/>
            </w:pPr>
            <w:r w:rsidRPr="00B926AF">
              <w:t>management of simulation of a casualty with an altered level of consciousness.</w:t>
            </w:r>
          </w:p>
          <w:p w:rsidR="00000000" w:rsidRPr="00B926AF" w:rsidP="00B926AF">
            <w:pPr>
              <w:pStyle w:val="ListBullet"/>
            </w:pPr>
            <w:r w:rsidRPr="00B926AF">
              <w:t>signs and symptoms of shock.</w:t>
            </w:r>
          </w:p>
          <w:p w:rsidR="00000000" w:rsidRPr="00B926AF" w:rsidP="00B926AF">
            <w:pPr>
              <w:pStyle w:val="ListBullet"/>
            </w:pPr>
            <w:r w:rsidRPr="00B926AF">
              <w:t>management of</w:t>
            </w:r>
            <w:r w:rsidRPr="00B926AF">
              <w:t xml:space="preserve"> simulation of a casualty in shock</w:t>
            </w:r>
          </w:p>
        </w:tc>
      </w:tr>
    </w:tbl>
    <w:p w:rsidR="002D0B78" w:rsidP="00B926AF">
      <w:pPr>
        <w:pStyle w:val="BodyText"/>
      </w:pPr>
    </w:p>
    <w:p w:rsidR="002D0B78" w:rsidP="00B926AF">
      <w:pPr>
        <w:pStyle w:val="BodyText"/>
      </w:pPr>
    </w:p>
    <w:p w:rsidR="00000000" w:rsidRPr="00B926AF" w:rsidP="00B926AF">
      <w:pPr>
        <w:pStyle w:val="Heading1"/>
      </w:pPr>
      <w:bookmarkStart w:id="10" w:name="O_444100"/>
      <w:bookmarkEnd w:id="10"/>
      <w:r w:rsidRPr="00B926AF">
        <w:t>Evidence Guide</w:t>
      </w:r>
    </w:p>
    <w:tbl>
      <w:tblPr>
        <w:tblW w:w="0" w:type="auto"/>
        <w:tblLayout w:type="fixed"/>
        <w:tblCellMar>
          <w:left w:w="62" w:type="dxa"/>
          <w:right w:w="62" w:type="dxa"/>
        </w:tblCellMar>
        <w:tblLook w:val="0000"/>
      </w:tblPr>
      <w:tblGrid>
        <w:gridCol w:w="2160"/>
        <w:gridCol w:w="720"/>
        <w:gridCol w:w="540"/>
        <w:gridCol w:w="540"/>
        <w:gridCol w:w="4500"/>
      </w:tblGrid>
      <w:tr w:rsidTr="002D0B7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rPr>
                <w:rStyle w:val="SpecialBold"/>
              </w:rPr>
              <w:t>EVIDENCE GUIDE</w:t>
            </w:r>
          </w:p>
        </w:tc>
      </w:tr>
      <w:tr w:rsidTr="002D0B7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rPr>
                <w:rStyle w:val="SpecialBold"/>
              </w:rPr>
              <w:t>9</w:t>
            </w:r>
            <w:r w:rsidRPr="00B926AF">
              <w:t xml:space="preserve">) This provides essential advice for assessment of the unit and must be read in conjunction with </w:t>
            </w:r>
            <w:r w:rsidRPr="00B926AF">
              <w:t>the performance criteria and the range statement of the unit and the Training Package Assessment Guidelines.</w:t>
            </w:r>
          </w:p>
          <w:p w:rsidR="00000000" w:rsidP="00B926AF">
            <w:pPr>
              <w:pStyle w:val="BodyText"/>
              <w:rPr>
                <w:lang w:val="en-NZ"/>
              </w:rPr>
            </w:pPr>
            <w:r w:rsidRPr="00B926AF">
              <w:t>The Evidence Guide forms an integral part of this unit. It shall be used in conjunction with all components parts of the unit and performed in acco</w:t>
            </w:r>
            <w:r w:rsidRPr="00B926AF">
              <w:t>rdance with the Assessment Guidelines of this Training Package.</w:t>
            </w:r>
          </w:p>
        </w:tc>
      </w:tr>
      <w:tr w:rsidTr="002D0B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rPr>
                <w:rStyle w:val="SpecialBold"/>
              </w:rPr>
              <w:t>9</w:t>
            </w:r>
            <w:r w:rsidRPr="00B926AF">
              <w:t>.</w:t>
            </w:r>
            <w:r w:rsidRPr="00B926AF">
              <w:rPr>
                <w:rStyle w:val="SpecialBold"/>
              </w:rPr>
              <w:t>1</w:t>
            </w:r>
            <w:r w:rsidRPr="00B926AF">
              <w:t xml:space="preserve">) </w:t>
            </w:r>
          </w:p>
          <w:p w:rsidR="00000000" w:rsidRPr="00B926AF" w:rsidP="00B926AF">
            <w:pPr>
              <w:pStyle w:val="BodyText"/>
            </w:pPr>
            <w:r w:rsidRPr="00B926AF">
              <w:t>Longitudinal competency development approaches to asse</w:t>
            </w:r>
            <w:r w:rsidRPr="00B926AF">
              <w:t xml:space="preserve">ssment, such as Profiling, require data to be reliably gathered in a form that can be consistently interpreted over time. This approach is best utilised in Apprenticeship programs and reduces assessment intervention. It is the industry-preferred model for </w:t>
            </w:r>
            <w:r w:rsidRPr="00B926AF">
              <w:t xml:space="preserve">apprenticeships. However, where summative (or final) assessment is used it is to include the application of the competency in the normal work environment or, at a minimum, the application of the competency in a realistically simulated work environment. In </w:t>
            </w:r>
            <w:r w:rsidRPr="00B926AF">
              <w:t>some circumstances, assessment in part or full can occur outside the workplace. However, it must be in accordance with industry and regulatory policy.</w:t>
            </w:r>
          </w:p>
          <w:p w:rsidR="00000000" w:rsidRPr="00B926AF" w:rsidP="00B926AF">
            <w:pPr>
              <w:pStyle w:val="BodyText"/>
            </w:pPr>
            <w:r w:rsidRPr="00B926AF">
              <w:t>Methods chosen for a particular assessment will be influenced by various factors. These include the exten</w:t>
            </w:r>
            <w:r w:rsidRPr="00B926AF">
              <w:t>t of the assessment, the most effective locations for the assessment activities to take place, access to physical resources, additional safety measures that may be required and the critical nature of the competencies being assessed.</w:t>
            </w:r>
          </w:p>
          <w:p w:rsidR="00000000" w:rsidRPr="00B926AF" w:rsidP="00B926AF">
            <w:pPr>
              <w:pStyle w:val="BodyText"/>
            </w:pPr>
            <w:r w:rsidRPr="00B926AF">
              <w:t>The critical safety iss</w:t>
            </w:r>
            <w:r w:rsidRPr="00B926AF">
              <w:t>ues inherent in working with electricity, electrical equipment, gas or any other hazardous substance/material present a challenge for those determining competence. Sources of evidence need to be 'rich' in nature so as to minimise error in judgment.</w:t>
            </w:r>
          </w:p>
          <w:p w:rsidR="00000000" w:rsidP="00B926AF">
            <w:pPr>
              <w:pStyle w:val="BodyText"/>
              <w:rPr>
                <w:lang w:val="en-NZ"/>
              </w:rPr>
            </w:pPr>
            <w:r w:rsidRPr="00B926AF">
              <w:t>Activit</w:t>
            </w:r>
            <w:r w:rsidRPr="00B926AF">
              <w:t xml:space="preserve">ies associated with normal every day work have a bearing on the decision as to how much and how detailed the data gathered will contribute to its 'richness'. Some skills are more critical to safety and operational requirements while the same skills may be </w:t>
            </w:r>
            <w:r w:rsidRPr="00B926AF">
              <w:t>more or less frequently practised. These points are raised for the assessors to consider when choosing an assessment method and developing assessment instruments. Sample assessment instruments are included for Assessors in the Assessment Guidelines of this</w:t>
            </w:r>
            <w:r w:rsidRPr="00B926AF">
              <w:t xml:space="preserve"> Training Package.</w:t>
            </w:r>
          </w:p>
        </w:tc>
      </w:tr>
      <w:tr w:rsidTr="002D0B7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rPr>
                <w:rStyle w:val="SpecialBold"/>
              </w:rPr>
              <w:t xml:space="preserve">Critical aspects of evidence required to demonstrate competency </w:t>
            </w:r>
            <w:r w:rsidRPr="00B926AF">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rPr>
                <w:rStyle w:val="SpecialBold"/>
              </w:rPr>
              <w:t>9</w:t>
            </w:r>
            <w:r w:rsidRPr="00B926AF">
              <w:t>.</w:t>
            </w:r>
            <w:r w:rsidRPr="00B926AF">
              <w:rPr>
                <w:rStyle w:val="SpecialBold"/>
              </w:rPr>
              <w:t>2</w:t>
            </w:r>
            <w:r w:rsidRPr="00B926AF">
              <w:t xml:space="preserve">) </w:t>
            </w:r>
          </w:p>
          <w:p w:rsidR="00000000" w:rsidP="00B926AF">
            <w:pPr>
              <w:pStyle w:val="BodyText"/>
              <w:rPr>
                <w:lang w:val="en-NZ"/>
              </w:rPr>
            </w:pPr>
            <w:r w:rsidRPr="00B926AF">
              <w:t>Before the critical aspects of evidence are considered all prerequisites shall be met.</w:t>
            </w:r>
          </w:p>
        </w:tc>
      </w:tr>
      <w:tr w:rsidTr="002D0B7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926AF">
            <w:pPr>
              <w:pStyle w:val="ListBullet"/>
              <w:rPr>
                <w:lang w:val="en-NZ"/>
              </w:rPr>
            </w:pPr>
            <w:r w:rsidRPr="00B926AF">
              <w:t>A representative body of work performance demonstrated within the timeframes typically expected of the discipline, work function and industrial environment. In particular this shall incorporate evidence that shows a candidate is able to:</w:t>
            </w:r>
          </w:p>
        </w:tc>
      </w:tr>
      <w:tr w:rsidTr="002D0B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926AF" w:rsidP="00B926AF">
            <w:pPr>
              <w:pStyle w:val="ListBullet2"/>
            </w:pPr>
            <w:r w:rsidRPr="00B926AF">
              <w:t>Implement Occupational Health and Safety workplace procedures and practices including the use of risk control measures as specified in the performance criteria and range statement</w:t>
            </w:r>
          </w:p>
          <w:p w:rsidR="00000000" w:rsidRPr="00B926AF" w:rsidP="00B926AF">
            <w:pPr>
              <w:pStyle w:val="ListBullet2"/>
            </w:pPr>
            <w:r w:rsidRPr="00B926AF">
              <w:t>Apply sustainable energy principles and practices as specified in the perfor</w:t>
            </w:r>
            <w:r w:rsidRPr="00B926AF">
              <w:t>mance criteria and range statement</w:t>
            </w:r>
          </w:p>
          <w:p w:rsidR="00000000" w:rsidRPr="00B926AF" w:rsidP="00B926AF">
            <w:pPr>
              <w:pStyle w:val="ListBullet2"/>
            </w:pPr>
            <w:r w:rsidRPr="00B926AF">
              <w:t>Demonstrate an understanding of the essential knowledge and associated skills as described in this unit.  It may be required by some jurisdictions that RTOs provide a percentile graded result for the purpose of regulatory</w:t>
            </w:r>
            <w:r w:rsidRPr="00B926AF">
              <w:t xml:space="preserve"> or licensing requirements.</w:t>
            </w:r>
          </w:p>
          <w:p w:rsidR="00000000" w:rsidRPr="00B926AF" w:rsidP="00B926AF">
            <w:pPr>
              <w:pStyle w:val="ListBullet2"/>
            </w:pPr>
            <w:r w:rsidRPr="00B926AF">
              <w:t>Demonstrate an appropriate level of skills enabling employment</w:t>
            </w:r>
          </w:p>
          <w:p w:rsidR="00000000" w:rsidP="00B926AF">
            <w:pPr>
              <w:pStyle w:val="ListBullet2"/>
              <w:rPr>
                <w:lang w:val="en-NZ"/>
              </w:rPr>
            </w:pPr>
            <w:r w:rsidRPr="00B926AF">
              <w:t>Conduct work observing the relevant Anti Discrimination legislation, regulations, polices and workplace procedures</w:t>
            </w:r>
          </w:p>
        </w:tc>
      </w:tr>
      <w:tr w:rsidTr="002D0B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926AF">
            <w:pPr>
              <w:pStyle w:val="ListBullet"/>
              <w:rPr>
                <w:lang w:val="en-NZ"/>
              </w:rPr>
            </w:pPr>
            <w:r w:rsidRPr="00B926AF">
              <w:t>Demonstrated consistent performance across a representative range of contexts from the prescribed items below:</w:t>
            </w:r>
          </w:p>
        </w:tc>
      </w:tr>
      <w:tr w:rsidTr="002D0B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926AF">
            <w:pPr>
              <w:pStyle w:val="ListBullet2"/>
              <w:rPr>
                <w:lang w:val="en-NZ"/>
              </w:rPr>
            </w:pPr>
            <w:r w:rsidRPr="00B926AF">
              <w:t>Contribute to the trial of a product/application/service as described in 8) and including:</w:t>
            </w:r>
          </w:p>
        </w:tc>
      </w:tr>
      <w:tr w:rsidTr="002D0B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A</w:t>
            </w:r>
          </w:p>
        </w:tc>
        <w:tc>
          <w:tcPr>
            <w:tcW w:w="5040" w:type="dxa"/>
            <w:gridSpan w:val="2"/>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 xml:space="preserve">Demonstrating consistent performance for each Element of the unit </w:t>
            </w:r>
          </w:p>
        </w:tc>
      </w:tr>
      <w:tr w:rsidTr="002D0B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B</w:t>
            </w:r>
          </w:p>
        </w:tc>
        <w:tc>
          <w:tcPr>
            <w:tcW w:w="5040" w:type="dxa"/>
            <w:gridSpan w:val="2"/>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Meeting the performance criteria associated with each Element of the unit by employing techniques, procedures, information and resources available in the workplace</w:t>
            </w:r>
          </w:p>
        </w:tc>
      </w:tr>
      <w:tr w:rsidTr="002D0B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C</w:t>
            </w:r>
          </w:p>
        </w:tc>
        <w:tc>
          <w:tcPr>
            <w:tcW w:w="5040" w:type="dxa"/>
            <w:gridSpan w:val="2"/>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Demonstrating an understanding of the Underpinning Knowledge and Skills identified in the section of this unit titled 'Essential knowledge and associated skills'.</w:t>
            </w:r>
          </w:p>
        </w:tc>
      </w:tr>
      <w:tr w:rsidTr="002D0B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Note:</w:t>
            </w:r>
            <w:r w:rsidRPr="00B926AF">
              <w:br/>
              <w:t>Successful completion of relevant vendor training may be used to contribute to evide</w:t>
            </w:r>
            <w:r w:rsidRPr="00B926AF">
              <w:t>nce on which competency is deemed. In these cases the alignment of outcomes of vendor training with performance criteria and critical aspects of evidence shall be clearly identified.</w:t>
            </w:r>
          </w:p>
        </w:tc>
      </w:tr>
      <w:tr w:rsidTr="002D0B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rPr>
                <w:rStyle w:val="SpecialBold"/>
              </w:rPr>
              <w:t>9</w:t>
            </w:r>
            <w:r w:rsidRPr="00B926AF">
              <w:t>.</w:t>
            </w:r>
            <w:r w:rsidRPr="00B926AF">
              <w:rPr>
                <w:rStyle w:val="SpecialBold"/>
              </w:rPr>
              <w:t>3</w:t>
            </w:r>
            <w:r w:rsidRPr="00B926AF">
              <w:t xml:space="preserve">) </w:t>
            </w:r>
          </w:p>
          <w:p w:rsidR="00000000" w:rsidRPr="00B926AF" w:rsidP="00B926AF">
            <w:pPr>
              <w:pStyle w:val="BodyText"/>
            </w:pPr>
            <w:r w:rsidRPr="00B926AF">
              <w:t>This unit should be assessed as it relates to normal work practice using procedures, information and resources typical of a workplace. This should include:</w:t>
            </w:r>
          </w:p>
          <w:p w:rsidR="00000000" w:rsidRPr="00B926AF" w:rsidP="00B926AF">
            <w:pPr>
              <w:pStyle w:val="ListBullet"/>
            </w:pPr>
            <w:r w:rsidRPr="00B926AF">
              <w:t>OHS policy and work procedures and instructions.</w:t>
            </w:r>
          </w:p>
          <w:p w:rsidR="00000000" w:rsidRPr="00B926AF" w:rsidP="00B926AF">
            <w:pPr>
              <w:pStyle w:val="ListBullet"/>
            </w:pPr>
            <w:r w:rsidRPr="00B926AF">
              <w:t>Suitable work environment, facilities, equipment a</w:t>
            </w:r>
            <w:r w:rsidRPr="00B926AF">
              <w:t>nd materials to undertake actual work as prescribed by this unit.</w:t>
            </w:r>
          </w:p>
          <w:p w:rsidR="00000000" w:rsidRPr="00B926AF" w:rsidP="00B926AF">
            <w:pPr>
              <w:pStyle w:val="BodyText"/>
            </w:pPr>
            <w:r w:rsidRPr="00B926AF">
              <w:t>These should be part of the formal learning/assessment environment.</w:t>
            </w:r>
          </w:p>
          <w:p w:rsidR="00000000" w:rsidRPr="00B926AF" w:rsidP="00B926AF">
            <w:pPr>
              <w:pStyle w:val="BodyText"/>
            </w:pPr>
            <w:r w:rsidRPr="00B926AF">
              <w:t>Note:</w:t>
            </w:r>
          </w:p>
          <w:p w:rsidR="00000000" w:rsidP="00B926AF">
            <w:pPr>
              <w:pStyle w:val="BodyText"/>
              <w:rPr>
                <w:lang w:val="en-NZ"/>
              </w:rPr>
            </w:pPr>
            <w:r w:rsidRPr="00B926AF">
              <w:t>Where simulation is considered a suitable strategy for assessment, conditions must be authentic and as far as possib</w:t>
            </w:r>
            <w:r w:rsidRPr="00B926AF">
              <w:t>le reproduce and replicate the workplace and be consistent with the approved industry simulation policy.</w:t>
            </w:r>
          </w:p>
        </w:tc>
      </w:tr>
      <w:tr w:rsidTr="002D0B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The resources used for assessment should reflect current industry practices in relation to contributing to the trial of a product/application/serv</w:t>
            </w:r>
            <w:r w:rsidRPr="00B926AF">
              <w:t>ice.</w:t>
            </w:r>
          </w:p>
        </w:tc>
      </w:tr>
      <w:tr w:rsidTr="002D0B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rPr>
                <w:rStyle w:val="SpecialBold"/>
              </w:rPr>
              <w:t>9</w:t>
            </w:r>
            <w:r w:rsidRPr="00B926AF">
              <w:t>.</w:t>
            </w:r>
            <w:r w:rsidRPr="00B926AF">
              <w:rPr>
                <w:rStyle w:val="SpecialBold"/>
              </w:rPr>
              <w:t>4</w:t>
            </w:r>
            <w:r w:rsidRPr="00B926AF">
              <w:t xml:space="preserve">) </w:t>
            </w:r>
          </w:p>
          <w:p w:rsidR="00000000" w:rsidRPr="00B926AF" w:rsidP="00B926AF">
            <w:pPr>
              <w:pStyle w:val="BodyText"/>
            </w:pPr>
            <w:r w:rsidRPr="00B926AF">
              <w:t>This unit shall be assessed by methods given in Volume 1, Part 3 'Assessment Guidelines'.</w:t>
            </w:r>
          </w:p>
          <w:p w:rsidR="00000000" w:rsidP="00B926AF">
            <w:pPr>
              <w:pStyle w:val="BodyText"/>
              <w:rPr>
                <w:lang w:val="en-NZ"/>
              </w:rPr>
            </w:pPr>
            <w:r w:rsidRPr="00B926AF">
              <w:t>Note:</w:t>
            </w:r>
            <w:r w:rsidRPr="00B926AF">
              <w:br/>
            </w:r>
            <w:r w:rsidRPr="00B926AF">
              <w:t>Competent performance with inherent safe working practices is expected in the Industry to which this unit applies. This requires assessment in a structured environment which is intended primarily for learning/assessment and incorporates all necessary equip</w:t>
            </w:r>
            <w:r w:rsidRPr="00B926AF">
              <w:t>ment and facilities for learners to develop and demonstrate the essential knowledge and skills described in this unit.</w:t>
            </w:r>
          </w:p>
        </w:tc>
      </w:tr>
      <w:tr w:rsidTr="002D0B7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rPr>
                <w:rStyle w:val="SpecialBold"/>
              </w:rPr>
              <w:t>9</w:t>
            </w:r>
            <w:r w:rsidRPr="00B926AF">
              <w:t>.</w:t>
            </w:r>
            <w:r w:rsidRPr="00B926AF">
              <w:rPr>
                <w:rStyle w:val="SpecialBold"/>
              </w:rPr>
              <w:t>5</w:t>
            </w:r>
            <w:r w:rsidRPr="00B926AF">
              <w:t>)</w:t>
            </w:r>
          </w:p>
        </w:tc>
      </w:tr>
      <w:tr w:rsidTr="002D0B7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For optimisation of training and assessmen</w:t>
            </w:r>
            <w:r w:rsidRPr="00B926AF">
              <w:t>t effort, competency development in this unit may be arranged concurrently with unit:</w:t>
            </w:r>
          </w:p>
        </w:tc>
      </w:tr>
      <w:tr w:rsidTr="002D0B7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BSXFM1504A</w:t>
            </w:r>
          </w:p>
        </w:tc>
        <w:tc>
          <w:tcPr>
            <w:tcW w:w="45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Participate in, lead and facilitate work teams</w:t>
            </w:r>
          </w:p>
        </w:tc>
      </w:tr>
      <w:tr w:rsidTr="002D0B7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UEENEER001B</w:t>
            </w:r>
          </w:p>
        </w:tc>
        <w:tc>
          <w:tcPr>
            <w:tcW w:w="45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Contribute to the planning of a research project</w:t>
            </w:r>
          </w:p>
        </w:tc>
      </w:tr>
      <w:tr w:rsidTr="002D0B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UEENEER002B</w:t>
            </w:r>
          </w:p>
        </w:tc>
        <w:tc>
          <w:tcPr>
            <w:tcW w:w="45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Conduct to the conduct of a research project</w:t>
            </w:r>
          </w:p>
        </w:tc>
      </w:tr>
      <w:tr w:rsidTr="002D0B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UEENEER004B</w:t>
            </w:r>
          </w:p>
        </w:tc>
        <w:tc>
          <w:tcPr>
            <w:tcW w:w="45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Contribute to the trial of a product/application/service</w:t>
            </w:r>
          </w:p>
        </w:tc>
      </w:tr>
      <w:tr w:rsidTr="002D0B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UEENEER005B</w:t>
            </w:r>
          </w:p>
        </w:tc>
        <w:tc>
          <w:tcPr>
            <w:tcW w:w="45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Contribute to intellectual property management</w:t>
            </w:r>
          </w:p>
        </w:tc>
      </w:tr>
      <w:tr w:rsidTr="002D0B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BSBCMN306A</w:t>
            </w:r>
          </w:p>
        </w:tc>
        <w:tc>
          <w:tcPr>
            <w:tcW w:w="45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Produce business documents</w:t>
            </w:r>
          </w:p>
        </w:tc>
      </w:tr>
      <w:tr w:rsidTr="002D0B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BSBSBM405A</w:t>
            </w:r>
          </w:p>
        </w:tc>
        <w:tc>
          <w:tcPr>
            <w:tcW w:w="45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Monitor and manage business operations</w:t>
            </w:r>
          </w:p>
        </w:tc>
      </w:tr>
      <w:tr w:rsidTr="002D0B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UEENEER006B</w:t>
            </w:r>
          </w:p>
        </w:tc>
        <w:tc>
          <w:tcPr>
            <w:tcW w:w="450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Contribute to the commercialisation of a product/application/service</w:t>
            </w:r>
          </w:p>
        </w:tc>
      </w:tr>
      <w:tr w:rsidTr="002D0B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PMBQUAL309A</w:t>
            </w:r>
          </w:p>
        </w:tc>
        <w:tc>
          <w:tcPr>
            <w:tcW w:w="4500"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t>Solve problems using 'quality tools'</w:t>
            </w:r>
          </w:p>
        </w:tc>
      </w:tr>
    </w:tbl>
    <w:p w:rsidR="002D0B78" w:rsidP="00B926AF">
      <w:pPr>
        <w:pStyle w:val="BodyText"/>
      </w:pPr>
    </w:p>
    <w:p w:rsidR="002D0B78" w:rsidP="00B926AF">
      <w:pPr>
        <w:pStyle w:val="BodyText"/>
      </w:pPr>
    </w:p>
    <w:p w:rsidR="00000000" w:rsidRPr="00B926AF" w:rsidP="00B926AF">
      <w:pPr>
        <w:pStyle w:val="Heading1"/>
      </w:pPr>
      <w:bookmarkStart w:id="11" w:name="O_444095"/>
      <w:bookmarkEnd w:id="11"/>
      <w:r w:rsidRPr="00B926AF">
        <w:t>Range Statement</w:t>
      </w:r>
    </w:p>
    <w:tbl>
      <w:tblPr>
        <w:tblW w:w="0" w:type="auto"/>
        <w:tblLayout w:type="fixed"/>
        <w:tblCellMar>
          <w:left w:w="62" w:type="dxa"/>
          <w:right w:w="62" w:type="dxa"/>
        </w:tblCellMar>
        <w:tblLook w:val="0000"/>
      </w:tblPr>
      <w:tblGrid>
        <w:gridCol w:w="2160"/>
        <w:gridCol w:w="6300"/>
      </w:tblGrid>
      <w:tr w:rsidTr="002D0B7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rPr>
                <w:rStyle w:val="SpecialBold"/>
              </w:rPr>
              <w:t>RANGE STATEMENT</w:t>
            </w:r>
          </w:p>
        </w:tc>
      </w:tr>
      <w:tr w:rsidTr="002D0B7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rPr>
                <w:rStyle w:val="SpecialBold"/>
              </w:rPr>
              <w:t>8</w:t>
            </w:r>
            <w:r w:rsidRPr="00B926AF">
              <w:t>) This relates to the unit as a whole providing the range of contexts and conditions to which the performance criteria apply. It allows for different work environments and situations that will affect performance.</w:t>
            </w:r>
          </w:p>
        </w:tc>
      </w:tr>
      <w:tr w:rsidTr="002D0B7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t>This unit describes work conducted by tec</w:t>
            </w:r>
            <w:r w:rsidRPr="00B926AF">
              <w:t>hnical personnel who contribute to the trial and, where necessary, retrial of products, applications and/or services to meet the requirements of a development brief.</w:t>
            </w:r>
          </w:p>
          <w:p w:rsidR="00000000" w:rsidRPr="00B926AF" w:rsidP="00B926AF">
            <w:pPr>
              <w:pStyle w:val="BodyText"/>
            </w:pPr>
            <w:r w:rsidRPr="00B926AF">
              <w:t>Product/application/service design and development briefs may be provided by external and/</w:t>
            </w:r>
            <w:r w:rsidRPr="00B926AF">
              <w:t>or internal clients.</w:t>
            </w:r>
          </w:p>
          <w:p w:rsidR="00000000" w:rsidRPr="00B926AF" w:rsidP="00B926AF">
            <w:pPr>
              <w:pStyle w:val="BodyText"/>
            </w:pPr>
            <w:r w:rsidRPr="00B926AF">
              <w:t xml:space="preserve">Typically the work covered by this unit is performed by high-level technicians, working as part of a product/application/service research and/or design, development and implementation team. This generally involves working closely with </w:t>
            </w:r>
            <w:r w:rsidRPr="00B926AF">
              <w:t>a range of management and production/operations personnel and requires balancing the business and technical sides of the product/application/service being developed.</w:t>
            </w:r>
          </w:p>
          <w:p w:rsidR="00000000" w:rsidRPr="00B926AF" w:rsidP="00B926AF">
            <w:pPr>
              <w:pStyle w:val="BodyText"/>
            </w:pPr>
            <w:r w:rsidRPr="00B926AF">
              <w:t>This unit does not require knowledge of industry sectors, equipment and/or materials other</w:t>
            </w:r>
            <w:r w:rsidRPr="00B926AF">
              <w:t xml:space="preserve"> than that in which the learner works. It assumes an understanding of the operation of all relevant business processes but does not necessarily require them to be the responsibility of the learner.</w:t>
            </w:r>
          </w:p>
          <w:p w:rsidR="00000000" w:rsidRPr="00B926AF" w:rsidP="00B926AF">
            <w:pPr>
              <w:pStyle w:val="BodyText"/>
            </w:pPr>
            <w:r w:rsidRPr="00B926AF">
              <w:t>At this level, personnel should be able to interpret and e</w:t>
            </w:r>
            <w:r w:rsidRPr="00B926AF">
              <w:t xml:space="preserve">xplain those sections of legislation, codes, regulations, Australian Standards and Intellectual Property rights that apply to the tasks undertaken in trailing products/applications/services. They should be aware of enterprise business goals and the impact </w:t>
            </w:r>
            <w:r w:rsidRPr="00B926AF">
              <w:t>of trials on these goals.</w:t>
            </w:r>
          </w:p>
          <w:p w:rsidR="00000000" w:rsidP="00B926AF">
            <w:pPr>
              <w:pStyle w:val="BodyText"/>
              <w:rPr>
                <w:lang w:val="en-NZ"/>
              </w:rPr>
            </w:pPr>
            <w:r w:rsidRPr="00B926AF">
              <w:t>This unit should be demonstrated in accordance with the organisation's:</w:t>
            </w:r>
          </w:p>
        </w:tc>
      </w:tr>
      <w:tr w:rsidTr="002D0B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B926AF" w:rsidP="00B926AF">
            <w:pPr>
              <w:pStyle w:val="ListBullet"/>
            </w:pPr>
            <w:r w:rsidRPr="00B926AF">
              <w:t>Occupational Health and Safety and Workplace Safety policies and procedures</w:t>
            </w:r>
          </w:p>
          <w:p w:rsidR="00000000" w:rsidRPr="00B926AF" w:rsidP="00B926AF">
            <w:pPr>
              <w:pStyle w:val="ListBullet"/>
            </w:pPr>
            <w:r w:rsidRPr="00B926AF">
              <w:t>Goals, values, objectives, plans, systems and processes</w:t>
            </w:r>
          </w:p>
          <w:p w:rsidR="00000000" w:rsidRPr="00B926AF" w:rsidP="00B926AF">
            <w:pPr>
              <w:pStyle w:val="ListBullet"/>
            </w:pPr>
            <w:r w:rsidRPr="00B926AF">
              <w:t>Business and performance plans</w:t>
            </w:r>
          </w:p>
          <w:p w:rsidR="00000000" w:rsidRPr="00B926AF" w:rsidP="00B926AF">
            <w:pPr>
              <w:pStyle w:val="ListBullet"/>
            </w:pPr>
            <w:r w:rsidRPr="00B926AF">
              <w:t>Ethical standards</w:t>
            </w:r>
          </w:p>
          <w:p w:rsidR="00000000" w:rsidRPr="00B926AF" w:rsidP="00B926AF">
            <w:pPr>
              <w:pStyle w:val="ListBullet"/>
            </w:pPr>
            <w:r w:rsidRPr="00B926AF">
              <w:t>Client service standards</w:t>
            </w:r>
          </w:p>
          <w:p w:rsidR="00000000" w:rsidRPr="00B926AF" w:rsidP="00B926AF">
            <w:pPr>
              <w:pStyle w:val="ListBullet"/>
            </w:pPr>
            <w:r w:rsidRPr="00B926AF">
              <w:t>Quality and continuous improvement processes and standards</w:t>
            </w:r>
          </w:p>
          <w:p w:rsidR="00000000" w:rsidP="00B926AF">
            <w:pPr>
              <w:pStyle w:val="ListBullet"/>
              <w:rPr>
                <w:lang w:val="en-NZ"/>
              </w:rPr>
            </w:pPr>
            <w:r w:rsidRPr="00B926AF">
              <w:t>Resources, which may be subject to negotiation</w:t>
            </w:r>
          </w:p>
        </w:tc>
      </w:tr>
      <w:tr w:rsidTr="002D0B7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t>Generic terms used throughout this Vocational Standard shall be regarded as part of the Range Statement in which competency is demonstrated. The definition of these and other terms that apply are given in Volume 2, Part 2.1.</w:t>
            </w:r>
          </w:p>
        </w:tc>
      </w:tr>
    </w:tbl>
    <w:p w:rsidR="002D0B78" w:rsidP="00B926AF">
      <w:pPr>
        <w:pStyle w:val="BodyText"/>
      </w:pPr>
    </w:p>
    <w:p w:rsidR="002D0B78" w:rsidP="00B926AF">
      <w:pPr>
        <w:pStyle w:val="BodyText"/>
      </w:pPr>
    </w:p>
    <w:p w:rsidR="00000000" w:rsidRPr="00B926AF" w:rsidP="00B926AF">
      <w:pPr>
        <w:pStyle w:val="Heading1"/>
      </w:pPr>
      <w:bookmarkStart w:id="12" w:name="O_444090"/>
      <w:bookmarkEnd w:id="12"/>
      <w:r w:rsidRPr="00B926AF">
        <w:t>Unit Secto</w:t>
      </w:r>
      <w:r w:rsidRPr="00B926AF">
        <w:t>r(s)</w:t>
      </w:r>
    </w:p>
    <w:p w:rsidR="00000000" w:rsidRPr="00B926AF" w:rsidP="00B926AF">
      <w:pPr>
        <w:pStyle w:val="BodyText"/>
      </w:pPr>
      <w:r w:rsidRPr="00B926AF">
        <w:t>Not Applicable</w:t>
      </w:r>
    </w:p>
    <w:p w:rsidR="00000000" w:rsidRPr="00B926AF" w:rsidP="00B926AF">
      <w:pPr>
        <w:pStyle w:val="AllowPageBreak"/>
      </w:pPr>
    </w:p>
    <w:p w:rsidR="00000000" w:rsidRPr="00B926AF" w:rsidP="00B926AF">
      <w:pPr>
        <w:pStyle w:val="Heading1"/>
      </w:pPr>
      <w:bookmarkStart w:id="13" w:name="O_444104"/>
      <w:bookmarkEnd w:id="13"/>
      <w:r w:rsidRPr="00B926A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D0B7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rPr>
                <w:rStyle w:val="SpecialBold"/>
              </w:rPr>
              <w:t>2</w:t>
            </w:r>
            <w:r w:rsidRPr="00B926AF">
              <w:t>.</w:t>
            </w:r>
            <w:r w:rsidRPr="00B926AF">
              <w:rPr>
                <w:rStyle w:val="SpecialBold"/>
              </w:rPr>
              <w:t>2</w:t>
            </w:r>
            <w:r w:rsidRPr="00B926AF">
              <w:t xml:space="preserve">) </w:t>
            </w:r>
            <w:r w:rsidRPr="00B926AF">
              <w:rPr>
                <w:rStyle w:val="SpecialBold"/>
              </w:rPr>
              <w:t>Literacy and numeracy skills</w:t>
            </w:r>
          </w:p>
          <w:p w:rsidR="00000000" w:rsidP="00B926AF">
            <w:pPr>
              <w:pStyle w:val="BodyText"/>
              <w:rPr>
                <w:lang w:val="en-NZ"/>
              </w:rPr>
            </w:pPr>
            <w:r w:rsidRPr="00B926AF">
              <w:t>Participants are best equipped to achieve competency in this unit if they have reading, writing and numeracy skills indicated by the following scales. Description of ea</w:t>
            </w:r>
            <w:r w:rsidRPr="00B926AF">
              <w:t xml:space="preserve">ch scale is given in Volume 2, Part 3 'Literacy and Numeracy'. </w:t>
            </w:r>
          </w:p>
        </w:tc>
      </w:tr>
      <w:tr w:rsidTr="002D0B7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Reading</w:t>
            </w:r>
          </w:p>
        </w:tc>
        <w:tc>
          <w:tcPr>
            <w:tcW w:w="1182"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5</w:t>
            </w:r>
          </w:p>
        </w:tc>
        <w:tc>
          <w:tcPr>
            <w:tcW w:w="1739"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Writing</w:t>
            </w:r>
          </w:p>
        </w:tc>
        <w:tc>
          <w:tcPr>
            <w:tcW w:w="1182"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5</w:t>
            </w:r>
          </w:p>
        </w:tc>
        <w:tc>
          <w:tcPr>
            <w:tcW w:w="1721"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t>Numeracy</w:t>
            </w:r>
          </w:p>
        </w:tc>
        <w:tc>
          <w:tcPr>
            <w:tcW w:w="1182"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t>5</w:t>
            </w:r>
          </w:p>
        </w:tc>
      </w:tr>
    </w:tbl>
    <w:p w:rsidR="002D0B78" w:rsidP="00B926AF">
      <w:pPr>
        <w:pStyle w:val="BodyText"/>
      </w:pPr>
    </w:p>
    <w:p w:rsidR="002D0B78" w:rsidP="00B926AF">
      <w:pPr>
        <w:pStyle w:val="BodyText"/>
      </w:pPr>
    </w:p>
    <w:p w:rsidR="00000000" w:rsidRPr="00B926AF" w:rsidP="00B926AF">
      <w:pPr>
        <w:pStyle w:val="Heading1"/>
      </w:pPr>
      <w:bookmarkStart w:id="14" w:name="O_444106"/>
      <w:bookmarkEnd w:id="14"/>
      <w:r w:rsidRPr="00B926AF">
        <w:t>2.2) Literacy and numeracy skills</w:t>
      </w:r>
    </w:p>
    <w:tbl>
      <w:tblPr>
        <w:tblW w:w="0" w:type="auto"/>
        <w:tblLayout w:type="fixed"/>
        <w:tblCellMar>
          <w:left w:w="62" w:type="dxa"/>
          <w:right w:w="62" w:type="dxa"/>
        </w:tblCellMar>
        <w:tblLook w:val="0000"/>
      </w:tblPr>
      <w:tblGrid>
        <w:gridCol w:w="2700"/>
        <w:gridCol w:w="5760"/>
      </w:tblGrid>
      <w:tr w:rsidTr="002D0B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926AF">
            <w:pPr>
              <w:pStyle w:val="BodyText"/>
              <w:rPr>
                <w:lang w:val="en-NZ"/>
              </w:rPr>
            </w:pPr>
            <w:r w:rsidRPr="00B926AF">
              <w:rPr>
                <w:rStyle w:val="SpecialBold"/>
              </w:rPr>
              <w:t>5</w:t>
            </w:r>
            <w:r w:rsidRPr="00B926AF">
              <w:t>)</w:t>
            </w:r>
          </w:p>
        </w:tc>
      </w:tr>
      <w:tr w:rsidTr="002D0B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26AF" w:rsidP="00B926AF">
            <w:pPr>
              <w:pStyle w:val="BodyText"/>
            </w:pPr>
            <w:r w:rsidRPr="00B926AF">
              <w:t>Research</w:t>
            </w:r>
          </w:p>
        </w:tc>
      </w:tr>
    </w:tbl>
    <w:p w:rsidR="002D0B78" w:rsidP="00B926AF">
      <w:pPr>
        <w:pStyle w:val="BodyText"/>
      </w:pPr>
    </w:p>
    <w:p w:rsidR="002D0B78" w:rsidP="00B926AF">
      <w:pPr>
        <w:pStyle w:val="BodyText"/>
      </w:pPr>
    </w:p>
    <w:p w:rsidR="00000000" w:rsidRPr="00B926AF" w:rsidP="00B926AF"/>
    <w:sectPr w:rsidSect="00B926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6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0B78" w:rsidP="002D0B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6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B78" w:rsidP="00B926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D0B78" w:rsidP="00B926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D0B78" w:rsidP="00B926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6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0B78" w:rsidP="002D0B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6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B78" w:rsidP="00B926AF">
    <w:pPr>
      <w:pStyle w:val="Header"/>
      <w:framePr w:wrap="around"/>
    </w:pPr>
    <w:r>
      <w:fldChar w:fldCharType="begin"/>
    </w:r>
    <w:r>
      <w:instrText xml:space="preserve"> TITLE   \* MERGEFORMAT </w:instrText>
    </w:r>
    <w:r>
      <w:fldChar w:fldCharType="separate"/>
    </w:r>
    <w:r>
      <w:t>UEENEER004B Contribute to the trial of a product/application/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0B78" w:rsidP="00B926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3C60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0EA0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56EA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6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26AF"/>
    <w:pPr>
      <w:spacing w:before="360" w:after="60"/>
      <w:outlineLvl w:val="0"/>
    </w:pPr>
    <w:rPr>
      <w:sz w:val="32"/>
    </w:rPr>
  </w:style>
  <w:style w:type="paragraph" w:styleId="Heading2">
    <w:name w:val="heading 2"/>
    <w:basedOn w:val="HeadingBase"/>
    <w:next w:val="BodyText"/>
    <w:link w:val="Heading2Char"/>
    <w:qFormat/>
    <w:rsid w:val="00B926AF"/>
    <w:pPr>
      <w:keepLines/>
      <w:spacing w:before="240" w:after="120"/>
      <w:outlineLvl w:val="1"/>
    </w:pPr>
    <w:rPr>
      <w:sz w:val="28"/>
      <w:szCs w:val="40"/>
    </w:rPr>
  </w:style>
  <w:style w:type="paragraph" w:styleId="Heading3">
    <w:name w:val="heading 3"/>
    <w:basedOn w:val="HeadingBase"/>
    <w:next w:val="BodyText"/>
    <w:link w:val="Heading3Char"/>
    <w:qFormat/>
    <w:rsid w:val="00B926AF"/>
    <w:pPr>
      <w:spacing w:before="180" w:after="120"/>
      <w:outlineLvl w:val="2"/>
    </w:pPr>
    <w:rPr>
      <w:spacing w:val="-10"/>
      <w:kern w:val="32"/>
    </w:rPr>
  </w:style>
  <w:style w:type="paragraph" w:styleId="Heading4">
    <w:name w:val="heading 4"/>
    <w:basedOn w:val="HeadingBase"/>
    <w:next w:val="BodyText"/>
    <w:link w:val="Heading4Char"/>
    <w:qFormat/>
    <w:rsid w:val="00B926AF"/>
    <w:pPr>
      <w:spacing w:before="160" w:after="120"/>
      <w:outlineLvl w:val="3"/>
    </w:pPr>
    <w:rPr>
      <w:sz w:val="22"/>
    </w:rPr>
  </w:style>
  <w:style w:type="paragraph" w:styleId="Heading5">
    <w:name w:val="heading 5"/>
    <w:basedOn w:val="HeadingBase"/>
    <w:next w:val="Normal"/>
    <w:link w:val="Heading5Char"/>
    <w:qFormat/>
    <w:rsid w:val="00B926AF"/>
    <w:pPr>
      <w:spacing w:before="80"/>
      <w:outlineLvl w:val="4"/>
    </w:pPr>
    <w:rPr>
      <w:color w:val="918585"/>
      <w:sz w:val="20"/>
    </w:rPr>
  </w:style>
  <w:style w:type="paragraph" w:styleId="Heading6">
    <w:name w:val="heading 6"/>
    <w:basedOn w:val="HeadingBase"/>
    <w:next w:val="Normal"/>
    <w:link w:val="Heading6Char"/>
    <w:qFormat/>
    <w:rsid w:val="00B926AF"/>
    <w:pPr>
      <w:spacing w:before="60"/>
      <w:outlineLvl w:val="5"/>
    </w:pPr>
    <w:rPr>
      <w:color w:val="918585"/>
      <w:sz w:val="20"/>
    </w:rPr>
  </w:style>
  <w:style w:type="paragraph" w:styleId="Heading7">
    <w:name w:val="heading 7"/>
    <w:basedOn w:val="Normal"/>
    <w:next w:val="Normal"/>
    <w:link w:val="Heading7Char"/>
    <w:qFormat/>
    <w:rsid w:val="00B926AF"/>
    <w:pPr>
      <w:ind w:left="720"/>
      <w:outlineLvl w:val="6"/>
    </w:pPr>
    <w:rPr>
      <w:i/>
    </w:rPr>
  </w:style>
  <w:style w:type="paragraph" w:styleId="Heading8">
    <w:name w:val="heading 8"/>
    <w:basedOn w:val="Normal"/>
    <w:next w:val="Normal"/>
    <w:link w:val="Heading8Char"/>
    <w:qFormat/>
    <w:rsid w:val="00B926AF"/>
    <w:pPr>
      <w:ind w:left="720"/>
      <w:outlineLvl w:val="7"/>
    </w:pPr>
    <w:rPr>
      <w:i/>
    </w:rPr>
  </w:style>
  <w:style w:type="paragraph" w:styleId="Heading9">
    <w:name w:val="heading 9"/>
    <w:basedOn w:val="Normal"/>
    <w:next w:val="Normal"/>
    <w:link w:val="Heading9Char"/>
    <w:qFormat/>
    <w:rsid w:val="00B926AF"/>
    <w:pPr>
      <w:ind w:left="720"/>
      <w:outlineLvl w:val="8"/>
    </w:pPr>
    <w:rPr>
      <w:i/>
    </w:rPr>
  </w:style>
  <w:style w:type="character" w:default="1" w:styleId="DefaultParagraphFont">
    <w:name w:val="Default Paragraph Font"/>
    <w:uiPriority w:val="1"/>
    <w:unhideWhenUsed/>
    <w:rsid w:val="00B926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6AF"/>
  </w:style>
  <w:style w:type="character" w:customStyle="1" w:styleId="Heading1Char">
    <w:name w:val="Heading 1 Char"/>
    <w:basedOn w:val="DefaultParagraphFont"/>
    <w:link w:val="Heading1"/>
    <w:rsid w:val="00B926AF"/>
    <w:rPr>
      <w:rFonts w:ascii="Times New Roman" w:eastAsia="Times New Roman" w:hAnsi="Times New Roman" w:cs="Times New Roman"/>
      <w:b/>
      <w:sz w:val="32"/>
      <w:szCs w:val="20"/>
      <w:lang w:eastAsia="en-US"/>
    </w:rPr>
  </w:style>
  <w:style w:type="paragraph" w:styleId="BodyText">
    <w:name w:val="Body Text"/>
    <w:basedOn w:val="Normal"/>
    <w:link w:val="BodyTextChar"/>
    <w:rsid w:val="00B926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26AF"/>
    <w:rPr>
      <w:rFonts w:ascii="Times New Roman" w:eastAsia="Times New Roman" w:hAnsi="Times New Roman" w:cs="Times New Roman"/>
      <w:sz w:val="24"/>
      <w:lang w:val="en-US" w:eastAsia="en-US"/>
    </w:rPr>
  </w:style>
  <w:style w:type="paragraph" w:styleId="Footer">
    <w:name w:val="footer"/>
    <w:basedOn w:val="Normal"/>
    <w:link w:val="FooterChar"/>
    <w:rsid w:val="00B926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6AF"/>
    <w:rPr>
      <w:rFonts w:ascii="Times New Roman" w:eastAsia="Times New Roman" w:hAnsi="Times New Roman" w:cs="Times New Roman"/>
      <w:sz w:val="16"/>
      <w:lang w:val="en-US" w:eastAsia="en-US"/>
    </w:rPr>
  </w:style>
  <w:style w:type="paragraph" w:styleId="ListBullet">
    <w:name w:val="List Bullet"/>
    <w:basedOn w:val="List"/>
    <w:rsid w:val="00B926AF"/>
    <w:pPr>
      <w:numPr>
        <w:numId w:val="13"/>
      </w:numPr>
      <w:tabs>
        <w:tab w:val="clear" w:pos="340"/>
      </w:tabs>
      <w:spacing w:before="40" w:after="40"/>
    </w:pPr>
  </w:style>
  <w:style w:type="character" w:customStyle="1" w:styleId="SpecialBold">
    <w:name w:val="Special Bold"/>
    <w:basedOn w:val="DefaultParagraphFont"/>
    <w:rsid w:val="00B926AF"/>
    <w:rPr>
      <w:b/>
      <w:spacing w:val="0"/>
    </w:rPr>
  </w:style>
  <w:style w:type="paragraph" w:styleId="ListBullet2">
    <w:name w:val="List Bullet 2"/>
    <w:basedOn w:val="List2"/>
    <w:rsid w:val="00B926AF"/>
    <w:pPr>
      <w:numPr>
        <w:numId w:val="14"/>
      </w:numPr>
      <w:tabs>
        <w:tab w:val="clear" w:pos="680"/>
      </w:tabs>
    </w:pPr>
  </w:style>
  <w:style w:type="paragraph" w:styleId="Header">
    <w:name w:val="header"/>
    <w:basedOn w:val="Normal"/>
    <w:link w:val="HeaderChar"/>
    <w:rsid w:val="00B926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6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26AF"/>
    <w:pPr>
      <w:spacing w:before="240" w:after="120"/>
      <w:outlineLvl w:val="0"/>
    </w:pPr>
    <w:rPr>
      <w:rFonts w:ascii="Times New Roman" w:hAnsi="Times New Roman"/>
      <w:b/>
      <w:sz w:val="28"/>
    </w:rPr>
  </w:style>
  <w:style w:type="paragraph" w:customStyle="1" w:styleId="AllowPageBreak">
    <w:name w:val="AllowPageBreak"/>
    <w:rsid w:val="00B926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26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6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6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6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6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6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26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26AF"/>
    <w:rPr>
      <w:rFonts w:ascii="Courier New" w:eastAsia="Times New Roman" w:hAnsi="Courier New" w:cs="Times New Roman"/>
      <w:i/>
      <w:szCs w:val="20"/>
      <w:lang w:val="en-US" w:eastAsia="en-US"/>
    </w:rPr>
  </w:style>
  <w:style w:type="paragraph" w:customStyle="1" w:styleId="HeadingBase">
    <w:name w:val="Heading Base"/>
    <w:rsid w:val="00B926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6AF"/>
    <w:pPr>
      <w:tabs>
        <w:tab w:val="right" w:leader="dot" w:pos="9072"/>
      </w:tabs>
      <w:ind w:left="567"/>
    </w:pPr>
    <w:rPr>
      <w:szCs w:val="22"/>
    </w:rPr>
  </w:style>
  <w:style w:type="paragraph" w:customStyle="1" w:styleId="TOCBase">
    <w:name w:val="TOC Base"/>
    <w:rsid w:val="00B926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6AF"/>
    <w:pPr>
      <w:tabs>
        <w:tab w:val="right" w:leader="dot" w:pos="9072"/>
      </w:tabs>
      <w:spacing w:before="40" w:after="40"/>
      <w:ind w:left="284"/>
    </w:pPr>
    <w:rPr>
      <w:rFonts w:ascii="Times New Roman" w:hAnsi="Times New Roman"/>
    </w:rPr>
  </w:style>
  <w:style w:type="paragraph" w:styleId="TOC1">
    <w:name w:val="toc 1"/>
    <w:basedOn w:val="TOCBase"/>
    <w:next w:val="Normal"/>
    <w:rsid w:val="00B926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26AF"/>
    <w:pPr>
      <w:spacing w:before="5040"/>
      <w:jc w:val="center"/>
    </w:pPr>
    <w:rPr>
      <w:sz w:val="48"/>
      <w:szCs w:val="72"/>
      <w:lang w:val="en-US"/>
    </w:rPr>
  </w:style>
  <w:style w:type="character" w:customStyle="1" w:styleId="TitleChar">
    <w:name w:val="Title Char"/>
    <w:basedOn w:val="DefaultParagraphFont"/>
    <w:link w:val="Title"/>
    <w:rsid w:val="00B926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6AF"/>
    <w:pPr>
      <w:tabs>
        <w:tab w:val="left" w:pos="3600"/>
        <w:tab w:val="left" w:pos="3958"/>
      </w:tabs>
    </w:pPr>
  </w:style>
  <w:style w:type="paragraph" w:styleId="List">
    <w:name w:val="List"/>
    <w:basedOn w:val="BodyText"/>
    <w:next w:val="BodyText"/>
    <w:rsid w:val="00B926AF"/>
    <w:pPr>
      <w:tabs>
        <w:tab w:val="left" w:pos="340"/>
      </w:tabs>
      <w:spacing w:before="60" w:after="60"/>
      <w:ind w:left="340" w:hanging="340"/>
    </w:pPr>
  </w:style>
  <w:style w:type="paragraph" w:customStyle="1" w:styleId="Note">
    <w:name w:val="Note"/>
    <w:basedOn w:val="BodyText"/>
    <w:rsid w:val="00B926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26AF"/>
    <w:pPr>
      <w:framePr w:wrap="auto" w:hAnchor="text" w:y="6049"/>
    </w:pPr>
    <w:rPr>
      <w:color w:val="000000"/>
      <w:sz w:val="40"/>
    </w:rPr>
  </w:style>
  <w:style w:type="paragraph" w:customStyle="1" w:styleId="TOCTitle">
    <w:name w:val="TOCTitle"/>
    <w:basedOn w:val="Heading1"/>
    <w:rsid w:val="00B926AF"/>
    <w:pPr>
      <w:spacing w:after="240"/>
      <w:jc w:val="center"/>
      <w:outlineLvl w:val="9"/>
    </w:pPr>
    <w:rPr>
      <w:caps/>
    </w:rPr>
  </w:style>
  <w:style w:type="paragraph" w:customStyle="1" w:styleId="Version">
    <w:name w:val="Version"/>
    <w:rsid w:val="00B926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26AF"/>
    <w:pPr>
      <w:keepNext w:val="0"/>
      <w:tabs>
        <w:tab w:val="right" w:pos="4176"/>
      </w:tabs>
      <w:ind w:left="198" w:hanging="198"/>
    </w:pPr>
    <w:rPr>
      <w:rFonts w:ascii="Garamond" w:hAnsi="Garamond"/>
    </w:rPr>
  </w:style>
  <w:style w:type="paragraph" w:styleId="IndexHeading">
    <w:name w:val="index heading"/>
    <w:basedOn w:val="Normal"/>
    <w:next w:val="Index1"/>
    <w:semiHidden/>
    <w:rsid w:val="00B926AF"/>
    <w:pPr>
      <w:spacing w:before="120" w:after="120"/>
    </w:pPr>
    <w:rPr>
      <w:rFonts w:ascii="Arial" w:hAnsi="Arial"/>
      <w:b/>
      <w:color w:val="918585"/>
      <w:sz w:val="24"/>
    </w:rPr>
  </w:style>
  <w:style w:type="paragraph" w:customStyle="1" w:styleId="Chapter">
    <w:name w:val="Chapter"/>
    <w:basedOn w:val="Normal"/>
    <w:rsid w:val="00B926AF"/>
    <w:pPr>
      <w:spacing w:before="240"/>
    </w:pPr>
    <w:rPr>
      <w:rFonts w:ascii="Times New Roman" w:hAnsi="Times New Roman"/>
      <w:smallCaps/>
      <w:spacing w:val="80"/>
      <w:sz w:val="28"/>
    </w:rPr>
  </w:style>
  <w:style w:type="paragraph" w:customStyle="1" w:styleId="InChapter">
    <w:name w:val="InChapter"/>
    <w:basedOn w:val="Heading3"/>
    <w:rsid w:val="00B926AF"/>
    <w:pPr>
      <w:spacing w:after="240"/>
      <w:outlineLvl w:val="9"/>
    </w:pPr>
    <w:rPr>
      <w:noProof/>
    </w:rPr>
  </w:style>
  <w:style w:type="paragraph" w:styleId="Index2">
    <w:name w:val="index 2"/>
    <w:basedOn w:val="Normal"/>
    <w:next w:val="Normal"/>
    <w:semiHidden/>
    <w:rsid w:val="00B926AF"/>
    <w:pPr>
      <w:tabs>
        <w:tab w:val="right" w:pos="4176"/>
      </w:tabs>
      <w:ind w:left="568" w:hanging="284"/>
    </w:pPr>
    <w:rPr>
      <w:rFonts w:ascii="Garamond" w:hAnsi="Garamond"/>
    </w:rPr>
  </w:style>
  <w:style w:type="paragraph" w:customStyle="1" w:styleId="Byline">
    <w:name w:val="Byline"/>
    <w:rsid w:val="00B926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6AF"/>
    <w:pPr>
      <w:tabs>
        <w:tab w:val="clear" w:pos="3600"/>
        <w:tab w:val="clear" w:pos="3958"/>
      </w:tabs>
      <w:jc w:val="right"/>
    </w:pPr>
  </w:style>
  <w:style w:type="character" w:styleId="Emphasis">
    <w:name w:val="Emphasis"/>
    <w:basedOn w:val="DefaultParagraphFont"/>
    <w:qFormat/>
    <w:rsid w:val="00B926AF"/>
    <w:rPr>
      <w:i/>
    </w:rPr>
  </w:style>
  <w:style w:type="paragraph" w:styleId="Caption">
    <w:name w:val="caption"/>
    <w:basedOn w:val="BodyText"/>
    <w:next w:val="Normal"/>
    <w:qFormat/>
    <w:rsid w:val="00B926AF"/>
    <w:pPr>
      <w:framePr w:w="2268" w:hSpace="181" w:vSpace="181" w:wrap="around" w:vAnchor="text" w:hAnchor="page" w:x="1135" w:y="285" w:anchorLock="1"/>
    </w:pPr>
    <w:rPr>
      <w:i/>
    </w:rPr>
  </w:style>
  <w:style w:type="paragraph" w:customStyle="1" w:styleId="MiniTOCTitle">
    <w:name w:val="MiniTOCTitle"/>
    <w:basedOn w:val="Heading4"/>
    <w:rsid w:val="00B926AF"/>
    <w:pPr>
      <w:spacing w:before="240"/>
      <w:outlineLvl w:val="9"/>
    </w:pPr>
    <w:rPr>
      <w:noProof/>
      <w:sz w:val="24"/>
    </w:rPr>
  </w:style>
  <w:style w:type="paragraph" w:customStyle="1" w:styleId="MiniTOCItem">
    <w:name w:val="MiniTOCItem"/>
    <w:basedOn w:val="ListBullet"/>
    <w:rsid w:val="00B926AF"/>
    <w:pPr>
      <w:numPr>
        <w:numId w:val="0"/>
      </w:numPr>
      <w:tabs>
        <w:tab w:val="right" w:leader="dot" w:pos="6521"/>
      </w:tabs>
      <w:spacing w:before="0" w:after="0"/>
    </w:pPr>
  </w:style>
  <w:style w:type="paragraph" w:customStyle="1" w:styleId="TOFTitle">
    <w:name w:val="TOFTitle"/>
    <w:basedOn w:val="TOCTitle"/>
    <w:rsid w:val="00B926AF"/>
  </w:style>
  <w:style w:type="paragraph" w:styleId="TableofFigures">
    <w:name w:val="table of figures"/>
    <w:basedOn w:val="Normal"/>
    <w:next w:val="Normal"/>
    <w:semiHidden/>
    <w:rsid w:val="00B926AF"/>
    <w:pPr>
      <w:tabs>
        <w:tab w:val="right" w:leader="dot" w:pos="9072"/>
      </w:tabs>
      <w:ind w:left="970" w:hanging="403"/>
    </w:pPr>
    <w:rPr>
      <w:rFonts w:ascii="Times New Roman" w:hAnsi="Times New Roman"/>
      <w:b/>
    </w:rPr>
  </w:style>
  <w:style w:type="paragraph" w:styleId="ListNumber">
    <w:name w:val="List Number"/>
    <w:basedOn w:val="List"/>
    <w:rsid w:val="00B926AF"/>
    <w:pPr>
      <w:numPr>
        <w:numId w:val="11"/>
      </w:numPr>
    </w:pPr>
  </w:style>
  <w:style w:type="character" w:customStyle="1" w:styleId="WingdingSymbols">
    <w:name w:val="Wingding Symbols"/>
    <w:rsid w:val="00B926AF"/>
    <w:rPr>
      <w:rFonts w:ascii="Wingdings" w:hAnsi="Wingdings"/>
    </w:rPr>
  </w:style>
  <w:style w:type="paragraph" w:customStyle="1" w:styleId="TableHeading">
    <w:name w:val="Table Heading"/>
    <w:basedOn w:val="HeadingBase"/>
    <w:rsid w:val="00B926AF"/>
    <w:pPr>
      <w:keepLines/>
      <w:pBdr>
        <w:bottom w:val="single" w:sz="6" w:space="1" w:color="918585"/>
      </w:pBdr>
      <w:spacing w:before="240"/>
    </w:pPr>
  </w:style>
  <w:style w:type="character" w:customStyle="1" w:styleId="HotSpot">
    <w:name w:val="HotSpot"/>
    <w:rsid w:val="00B926AF"/>
    <w:rPr>
      <w:color w:val="0033CC"/>
      <w:u w:val="none"/>
    </w:rPr>
  </w:style>
  <w:style w:type="paragraph" w:customStyle="1" w:styleId="BodyTextRight">
    <w:name w:val="Body Text Right"/>
    <w:basedOn w:val="BodyText"/>
    <w:rsid w:val="00B926AF"/>
    <w:pPr>
      <w:spacing w:before="0" w:after="0"/>
      <w:jc w:val="right"/>
    </w:pPr>
  </w:style>
  <w:style w:type="paragraph" w:styleId="Index3">
    <w:name w:val="index 3"/>
    <w:basedOn w:val="ListNumber2"/>
    <w:next w:val="Normal"/>
    <w:semiHidden/>
    <w:rsid w:val="00B926AF"/>
    <w:pPr>
      <w:numPr>
        <w:numId w:val="0"/>
      </w:numPr>
      <w:tabs>
        <w:tab w:val="right" w:leader="dot" w:pos="4176"/>
      </w:tabs>
    </w:pPr>
  </w:style>
  <w:style w:type="paragraph" w:styleId="ListNumber2">
    <w:name w:val="List Number 2"/>
    <w:basedOn w:val="List2"/>
    <w:rsid w:val="00B926AF"/>
    <w:pPr>
      <w:numPr>
        <w:numId w:val="10"/>
      </w:numPr>
      <w:tabs>
        <w:tab w:val="clear" w:pos="1060"/>
      </w:tabs>
    </w:pPr>
  </w:style>
  <w:style w:type="paragraph" w:customStyle="1" w:styleId="MarginNote">
    <w:name w:val="Margin Note"/>
    <w:basedOn w:val="BodyText"/>
    <w:rsid w:val="00B926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6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6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26AF"/>
    <w:rPr>
      <w:sz w:val="32"/>
    </w:rPr>
  </w:style>
  <w:style w:type="paragraph" w:customStyle="1" w:styleId="HeadingProcedure">
    <w:name w:val="Heading Procedure"/>
    <w:basedOn w:val="HeadingBase"/>
    <w:next w:val="Normal"/>
    <w:rsid w:val="00B926AF"/>
    <w:pPr>
      <w:tabs>
        <w:tab w:val="left" w:pos="0"/>
      </w:tabs>
      <w:spacing w:before="120" w:after="60"/>
    </w:pPr>
    <w:rPr>
      <w:i/>
      <w:color w:val="918585"/>
      <w:sz w:val="22"/>
    </w:rPr>
  </w:style>
  <w:style w:type="paragraph" w:customStyle="1" w:styleId="TableBodyText">
    <w:name w:val="Table Body Text"/>
    <w:basedOn w:val="BodyText"/>
    <w:rsid w:val="00B926AF"/>
    <w:pPr>
      <w:spacing w:before="60" w:after="60"/>
    </w:pPr>
  </w:style>
  <w:style w:type="paragraph" w:styleId="ListContinue">
    <w:name w:val="List Continue"/>
    <w:basedOn w:val="List"/>
    <w:rsid w:val="00B926AF"/>
    <w:pPr>
      <w:ind w:firstLine="0"/>
    </w:pPr>
  </w:style>
  <w:style w:type="paragraph" w:customStyle="1" w:styleId="ListNote">
    <w:name w:val="List Note"/>
    <w:basedOn w:val="List"/>
    <w:rsid w:val="00B926AF"/>
    <w:pPr>
      <w:pBdr>
        <w:top w:val="single" w:sz="6" w:space="2" w:color="918585"/>
        <w:bottom w:val="single" w:sz="6" w:space="2" w:color="918585"/>
      </w:pBdr>
      <w:tabs>
        <w:tab w:val="left" w:pos="1021"/>
      </w:tabs>
      <w:ind w:firstLine="0"/>
    </w:pPr>
  </w:style>
  <w:style w:type="paragraph" w:customStyle="1" w:styleId="Warning">
    <w:name w:val="Warning"/>
    <w:basedOn w:val="BodyText"/>
    <w:rsid w:val="00B926AF"/>
    <w:pPr>
      <w:shd w:val="clear" w:color="auto" w:fill="D9D9D9"/>
      <w:tabs>
        <w:tab w:val="left" w:pos="992"/>
      </w:tabs>
      <w:ind w:left="119" w:right="119"/>
    </w:pPr>
    <w:rPr>
      <w:sz w:val="20"/>
    </w:rPr>
  </w:style>
  <w:style w:type="paragraph" w:customStyle="1" w:styleId="MarginIcons">
    <w:name w:val="Margin Icons"/>
    <w:basedOn w:val="BodyText"/>
    <w:rsid w:val="00B926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6AF"/>
    <w:rPr>
      <w:rFonts w:ascii="Courier New" w:hAnsi="Courier New"/>
    </w:rPr>
  </w:style>
  <w:style w:type="paragraph" w:customStyle="1" w:styleId="NoteBullet">
    <w:name w:val="Note Bullet"/>
    <w:basedOn w:val="Note"/>
    <w:rsid w:val="00B926AF"/>
    <w:pPr>
      <w:tabs>
        <w:tab w:val="clear" w:pos="680"/>
      </w:tabs>
      <w:spacing w:before="60" w:after="60"/>
    </w:pPr>
  </w:style>
  <w:style w:type="paragraph" w:customStyle="1" w:styleId="SubHeading2">
    <w:name w:val="SubHeading2"/>
    <w:basedOn w:val="HeadingBase"/>
    <w:rsid w:val="00B926AF"/>
    <w:pPr>
      <w:spacing w:before="240" w:after="60"/>
    </w:pPr>
    <w:rPr>
      <w:sz w:val="20"/>
    </w:rPr>
  </w:style>
  <w:style w:type="paragraph" w:customStyle="1" w:styleId="SubHeading1">
    <w:name w:val="SubHeading1"/>
    <w:basedOn w:val="HeadingBase"/>
    <w:rsid w:val="00B926AF"/>
    <w:pPr>
      <w:spacing w:before="240" w:after="60"/>
    </w:pPr>
    <w:rPr>
      <w:color w:val="918585"/>
      <w:sz w:val="22"/>
    </w:rPr>
  </w:style>
  <w:style w:type="paragraph" w:customStyle="1" w:styleId="SideHeading">
    <w:name w:val="Side Heading"/>
    <w:basedOn w:val="HeadingBase"/>
    <w:rsid w:val="00B926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6AF"/>
    <w:pPr>
      <w:numPr>
        <w:numId w:val="12"/>
      </w:numPr>
    </w:pPr>
  </w:style>
  <w:style w:type="paragraph" w:styleId="PlainText">
    <w:name w:val="Plain Text"/>
    <w:basedOn w:val="Normal"/>
    <w:link w:val="PlainTextChar"/>
    <w:rsid w:val="00B926AF"/>
    <w:rPr>
      <w:sz w:val="20"/>
    </w:rPr>
  </w:style>
  <w:style w:type="character" w:customStyle="1" w:styleId="PlainTextChar">
    <w:name w:val="Plain Text Char"/>
    <w:basedOn w:val="DefaultParagraphFont"/>
    <w:link w:val="PlainText"/>
    <w:rsid w:val="00B926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26AF"/>
    <w:rPr>
      <w:b/>
      <w:smallCaps/>
    </w:rPr>
  </w:style>
  <w:style w:type="paragraph" w:customStyle="1" w:styleId="TableListNumber">
    <w:name w:val="Table List Number"/>
    <w:basedOn w:val="ListNumber"/>
    <w:rsid w:val="00B926AF"/>
    <w:pPr>
      <w:numPr>
        <w:numId w:val="0"/>
      </w:numPr>
    </w:pPr>
  </w:style>
  <w:style w:type="paragraph" w:styleId="TOC4">
    <w:name w:val="toc 4"/>
    <w:basedOn w:val="TOCBase"/>
    <w:next w:val="Normal"/>
    <w:semiHidden/>
    <w:rsid w:val="00B926AF"/>
    <w:pPr>
      <w:tabs>
        <w:tab w:val="right" w:leader="dot" w:pos="9071"/>
      </w:tabs>
      <w:ind w:left="1701"/>
    </w:pPr>
  </w:style>
  <w:style w:type="paragraph" w:customStyle="1" w:styleId="ListAlpha">
    <w:name w:val="List Alpha"/>
    <w:basedOn w:val="List"/>
    <w:rsid w:val="00B926AF"/>
    <w:pPr>
      <w:numPr>
        <w:numId w:val="9"/>
      </w:numPr>
    </w:pPr>
  </w:style>
  <w:style w:type="paragraph" w:customStyle="1" w:styleId="ListAlpha2">
    <w:name w:val="List Alpha 2"/>
    <w:basedOn w:val="List2"/>
    <w:rsid w:val="00B926AF"/>
    <w:pPr>
      <w:numPr>
        <w:numId w:val="8"/>
      </w:numPr>
    </w:pPr>
  </w:style>
  <w:style w:type="paragraph" w:styleId="List2">
    <w:name w:val="List 2"/>
    <w:basedOn w:val="BodyText"/>
    <w:rsid w:val="00B926AF"/>
    <w:pPr>
      <w:tabs>
        <w:tab w:val="left" w:pos="680"/>
      </w:tabs>
      <w:spacing w:before="60" w:after="60"/>
      <w:ind w:left="680" w:hanging="340"/>
    </w:pPr>
  </w:style>
  <w:style w:type="paragraph" w:styleId="List3">
    <w:name w:val="List 3"/>
    <w:basedOn w:val="BodyText"/>
    <w:rsid w:val="00B926AF"/>
    <w:pPr>
      <w:tabs>
        <w:tab w:val="left" w:pos="1021"/>
      </w:tabs>
      <w:spacing w:before="60" w:after="60"/>
      <w:ind w:left="1020" w:hanging="340"/>
    </w:pPr>
  </w:style>
  <w:style w:type="paragraph" w:styleId="List4">
    <w:name w:val="List 4"/>
    <w:basedOn w:val="BodyText"/>
    <w:rsid w:val="00B926AF"/>
    <w:pPr>
      <w:tabs>
        <w:tab w:val="left" w:pos="1361"/>
      </w:tabs>
      <w:spacing w:before="60" w:after="60"/>
      <w:ind w:left="1361" w:hanging="340"/>
    </w:pPr>
  </w:style>
  <w:style w:type="paragraph" w:styleId="List5">
    <w:name w:val="List 5"/>
    <w:basedOn w:val="BodyText"/>
    <w:rsid w:val="00B926AF"/>
    <w:pPr>
      <w:tabs>
        <w:tab w:val="left" w:pos="1701"/>
      </w:tabs>
      <w:spacing w:before="60" w:after="60"/>
      <w:ind w:left="1701" w:hanging="340"/>
    </w:pPr>
  </w:style>
  <w:style w:type="paragraph" w:styleId="ListBullet3">
    <w:name w:val="List Bullet 3"/>
    <w:basedOn w:val="List3"/>
    <w:rsid w:val="00B926AF"/>
    <w:pPr>
      <w:numPr>
        <w:numId w:val="15"/>
      </w:numPr>
      <w:tabs>
        <w:tab w:val="clear" w:pos="1021"/>
      </w:tabs>
      <w:ind w:left="1037" w:hanging="357"/>
    </w:pPr>
  </w:style>
  <w:style w:type="paragraph" w:styleId="ListBullet4">
    <w:name w:val="List Bullet 4"/>
    <w:basedOn w:val="List4"/>
    <w:rsid w:val="00B926AF"/>
    <w:pPr>
      <w:numPr>
        <w:numId w:val="3"/>
      </w:numPr>
    </w:pPr>
  </w:style>
  <w:style w:type="paragraph" w:styleId="ListBullet5">
    <w:name w:val="List Bullet 5"/>
    <w:basedOn w:val="List5"/>
    <w:rsid w:val="00B926AF"/>
    <w:pPr>
      <w:numPr>
        <w:numId w:val="4"/>
      </w:numPr>
    </w:pPr>
  </w:style>
  <w:style w:type="paragraph" w:styleId="ListContinue2">
    <w:name w:val="List Continue 2"/>
    <w:basedOn w:val="List2"/>
    <w:rsid w:val="00B926AF"/>
    <w:pPr>
      <w:ind w:firstLine="0"/>
    </w:pPr>
  </w:style>
  <w:style w:type="paragraph" w:styleId="ListContinue3">
    <w:name w:val="List Continue 3"/>
    <w:basedOn w:val="List3"/>
    <w:rsid w:val="00B926AF"/>
    <w:pPr>
      <w:ind w:left="1021" w:firstLine="0"/>
    </w:pPr>
  </w:style>
  <w:style w:type="paragraph" w:styleId="ListContinue4">
    <w:name w:val="List Continue 4"/>
    <w:basedOn w:val="List4"/>
    <w:rsid w:val="00B926AF"/>
    <w:pPr>
      <w:ind w:firstLine="0"/>
    </w:pPr>
  </w:style>
  <w:style w:type="paragraph" w:styleId="ListContinue5">
    <w:name w:val="List Continue 5"/>
    <w:basedOn w:val="List5"/>
    <w:rsid w:val="00B926AF"/>
    <w:pPr>
      <w:ind w:firstLine="0"/>
    </w:pPr>
  </w:style>
  <w:style w:type="paragraph" w:styleId="ListNumber3">
    <w:name w:val="List Number 3"/>
    <w:basedOn w:val="List3"/>
    <w:rsid w:val="00B926AF"/>
    <w:pPr>
      <w:numPr>
        <w:numId w:val="5"/>
      </w:numPr>
    </w:pPr>
  </w:style>
  <w:style w:type="paragraph" w:styleId="ListNumber4">
    <w:name w:val="List Number 4"/>
    <w:basedOn w:val="List4"/>
    <w:rsid w:val="00B926AF"/>
    <w:pPr>
      <w:numPr>
        <w:numId w:val="6"/>
      </w:numPr>
    </w:pPr>
  </w:style>
  <w:style w:type="paragraph" w:styleId="ListNumber5">
    <w:name w:val="List Number 5"/>
    <w:basedOn w:val="List5"/>
    <w:rsid w:val="00B926AF"/>
    <w:pPr>
      <w:numPr>
        <w:numId w:val="7"/>
      </w:numPr>
    </w:pPr>
  </w:style>
  <w:style w:type="paragraph" w:styleId="BlockText">
    <w:name w:val="Block Text"/>
    <w:basedOn w:val="Normal"/>
    <w:rsid w:val="00B926AF"/>
    <w:pPr>
      <w:spacing w:after="120"/>
      <w:ind w:left="1440" w:right="1440"/>
    </w:pPr>
  </w:style>
  <w:style w:type="character" w:customStyle="1" w:styleId="Subscript">
    <w:name w:val="Subscript"/>
    <w:basedOn w:val="DefaultParagraphFont"/>
    <w:rsid w:val="00B926AF"/>
    <w:rPr>
      <w:sz w:val="16"/>
      <w:vertAlign w:val="subscript"/>
    </w:rPr>
  </w:style>
  <w:style w:type="character" w:customStyle="1" w:styleId="Superscript">
    <w:name w:val="Superscript"/>
    <w:basedOn w:val="DefaultParagraphFont"/>
    <w:rsid w:val="00B926AF"/>
    <w:rPr>
      <w:sz w:val="16"/>
      <w:vertAlign w:val="superscript"/>
    </w:rPr>
  </w:style>
  <w:style w:type="character" w:customStyle="1" w:styleId="Symbols">
    <w:name w:val="Symbols"/>
    <w:basedOn w:val="DefaultParagraphFont"/>
    <w:rsid w:val="00B926AF"/>
    <w:rPr>
      <w:rFonts w:ascii="Symbol" w:hAnsi="Symbol"/>
    </w:rPr>
  </w:style>
  <w:style w:type="character" w:customStyle="1" w:styleId="MenuOptions">
    <w:name w:val="Menu Options"/>
    <w:basedOn w:val="DefaultParagraphFont"/>
    <w:rsid w:val="00B926AF"/>
    <w:rPr>
      <w:rFonts w:ascii="Arial Narrow" w:hAnsi="Arial Narrow"/>
      <w:smallCaps/>
    </w:rPr>
  </w:style>
  <w:style w:type="character" w:customStyle="1" w:styleId="Buttons">
    <w:name w:val="Buttons"/>
    <w:basedOn w:val="DefaultParagraphFont"/>
    <w:rsid w:val="00B926AF"/>
    <w:rPr>
      <w:b/>
    </w:rPr>
  </w:style>
  <w:style w:type="character" w:customStyle="1" w:styleId="Underlined">
    <w:name w:val="Underlined"/>
    <w:basedOn w:val="DefaultParagraphFont"/>
    <w:rsid w:val="00B926AF"/>
    <w:rPr>
      <w:u w:val="single"/>
    </w:rPr>
  </w:style>
  <w:style w:type="paragraph" w:customStyle="1" w:styleId="TableBodyTextRight">
    <w:name w:val="Table Body Text Right"/>
    <w:basedOn w:val="TableBodyText"/>
    <w:rsid w:val="00B926AF"/>
    <w:pPr>
      <w:widowControl w:val="0"/>
      <w:autoSpaceDE w:val="0"/>
      <w:autoSpaceDN w:val="0"/>
      <w:adjustRightInd w:val="0"/>
      <w:jc w:val="right"/>
    </w:pPr>
    <w:rPr>
      <w:rFonts w:cs="Arial"/>
      <w:szCs w:val="18"/>
    </w:rPr>
  </w:style>
  <w:style w:type="paragraph" w:customStyle="1" w:styleId="CopyrightText">
    <w:name w:val="Copyright Text"/>
    <w:basedOn w:val="BodyText"/>
    <w:rsid w:val="00B926AF"/>
    <w:rPr>
      <w:sz w:val="18"/>
    </w:rPr>
  </w:style>
  <w:style w:type="paragraph" w:customStyle="1" w:styleId="BodySmallRight">
    <w:name w:val="Body Small Right"/>
    <w:basedOn w:val="BodyTextRight"/>
    <w:rsid w:val="00B926AF"/>
    <w:rPr>
      <w:sz w:val="18"/>
      <w:szCs w:val="18"/>
    </w:rPr>
  </w:style>
  <w:style w:type="paragraph" w:customStyle="1" w:styleId="MarginEdition">
    <w:name w:val="Margin Edition"/>
    <w:basedOn w:val="MarginNote"/>
    <w:rsid w:val="00B926AF"/>
    <w:pPr>
      <w:spacing w:before="0" w:after="0"/>
    </w:pPr>
    <w:rPr>
      <w:rFonts w:ascii="Times New Roman" w:hAnsi="Times New Roman"/>
      <w:color w:val="999999"/>
    </w:rPr>
  </w:style>
  <w:style w:type="paragraph" w:customStyle="1" w:styleId="Spacer">
    <w:name w:val="Spacer"/>
    <w:basedOn w:val="Normal"/>
    <w:rsid w:val="00B926AF"/>
    <w:rPr>
      <w:sz w:val="2"/>
      <w:szCs w:val="2"/>
    </w:rPr>
  </w:style>
  <w:style w:type="character" w:customStyle="1" w:styleId="Small">
    <w:name w:val="Small"/>
    <w:basedOn w:val="DefaultParagraphFont"/>
    <w:rsid w:val="00B926AF"/>
    <w:rPr>
      <w:sz w:val="16"/>
    </w:rPr>
  </w:style>
  <w:style w:type="paragraph" w:customStyle="1" w:styleId="WideTable">
    <w:name w:val="Wide Table"/>
    <w:basedOn w:val="Normal"/>
    <w:rsid w:val="00B926AF"/>
    <w:pPr>
      <w:ind w:left="-1418"/>
    </w:pPr>
    <w:rPr>
      <w:sz w:val="2"/>
      <w:szCs w:val="2"/>
    </w:rPr>
  </w:style>
  <w:style w:type="character" w:styleId="PageNumber">
    <w:name w:val="page number"/>
    <w:basedOn w:val="DefaultParagraphFont"/>
    <w:rsid w:val="00B926AF"/>
  </w:style>
  <w:style w:type="paragraph" w:styleId="Quote">
    <w:name w:val="Quote"/>
    <w:basedOn w:val="Heading1"/>
    <w:link w:val="QuoteChar"/>
    <w:qFormat/>
    <w:rsid w:val="00B926AF"/>
    <w:rPr>
      <w:b w:val="0"/>
      <w:sz w:val="72"/>
      <w:szCs w:val="72"/>
      <w:lang w:val="en-NZ"/>
    </w:rPr>
  </w:style>
  <w:style w:type="character" w:customStyle="1" w:styleId="QuoteChar">
    <w:name w:val="Quote Char"/>
    <w:basedOn w:val="DefaultParagraphFont"/>
    <w:link w:val="Quote"/>
    <w:rsid w:val="00B926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6AF"/>
    <w:pPr>
      <w:pageBreakBefore/>
    </w:pPr>
  </w:style>
  <w:style w:type="paragraph" w:customStyle="1" w:styleId="Border">
    <w:name w:val="Border"/>
    <w:basedOn w:val="Normal"/>
    <w:qFormat/>
    <w:rsid w:val="00B926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6AF"/>
    <w:rPr>
      <w:b/>
      <w:bCs/>
      <w:i/>
      <w:iCs/>
      <w:color w:val="auto"/>
    </w:rPr>
  </w:style>
  <w:style w:type="paragraph" w:styleId="IntenseQuote">
    <w:name w:val="Intense Quote"/>
    <w:basedOn w:val="Normal"/>
    <w:next w:val="Normal"/>
    <w:link w:val="IntenseQuoteChar"/>
    <w:uiPriority w:val="30"/>
    <w:qFormat/>
    <w:rsid w:val="00B926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6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26AF"/>
    <w:rPr>
      <w:smallCaps/>
      <w:color w:val="auto"/>
      <w:u w:val="single"/>
    </w:rPr>
  </w:style>
  <w:style w:type="character" w:styleId="IntenseReference">
    <w:name w:val="Intense Reference"/>
    <w:basedOn w:val="DefaultParagraphFont"/>
    <w:uiPriority w:val="32"/>
    <w:qFormat/>
    <w:rsid w:val="00B926AF"/>
    <w:rPr>
      <w:b/>
      <w:bCs/>
      <w:smallCaps/>
      <w:color w:val="auto"/>
      <w:spacing w:val="5"/>
      <w:u w:val="single"/>
    </w:rPr>
  </w:style>
  <w:style w:type="paragraph" w:customStyle="1" w:styleId="2ColumnHeading">
    <w:name w:val="2Column Heading"/>
    <w:basedOn w:val="BodyText"/>
    <w:qFormat/>
    <w:rsid w:val="00B926AF"/>
    <w:pPr>
      <w:spacing w:after="60"/>
      <w:ind w:left="-2268"/>
    </w:pPr>
    <w:rPr>
      <w:b/>
    </w:rPr>
  </w:style>
  <w:style w:type="paragraph" w:customStyle="1" w:styleId="Heading1TOC">
    <w:name w:val="Heading1 TOC"/>
    <w:basedOn w:val="Normal"/>
    <w:qFormat/>
    <w:rsid w:val="00B926AF"/>
    <w:pPr>
      <w:spacing w:before="240" w:after="120"/>
    </w:pPr>
    <w:rPr>
      <w:rFonts w:ascii="Times New Roman" w:hAnsi="Times New Roman"/>
      <w:b/>
      <w:sz w:val="32"/>
    </w:rPr>
  </w:style>
  <w:style w:type="paragraph" w:customStyle="1" w:styleId="Heading2TOC">
    <w:name w:val="Heading2 TOC"/>
    <w:basedOn w:val="Normal"/>
    <w:qFormat/>
    <w:rsid w:val="00B926AF"/>
    <w:pPr>
      <w:spacing w:before="240" w:after="60"/>
    </w:pPr>
    <w:rPr>
      <w:rFonts w:ascii="Times New Roman" w:hAnsi="Times New Roman"/>
      <w:b/>
      <w:sz w:val="28"/>
    </w:rPr>
  </w:style>
  <w:style w:type="character" w:customStyle="1" w:styleId="Underline">
    <w:name w:val="Underline"/>
    <w:basedOn w:val="DefaultParagraphFont"/>
    <w:qFormat/>
    <w:rsid w:val="00B926AF"/>
    <w:rPr>
      <w:u w:val="single"/>
    </w:rPr>
  </w:style>
  <w:style w:type="character" w:customStyle="1" w:styleId="BoldandItalics">
    <w:name w:val="Bold and Italics"/>
    <w:qFormat/>
    <w:rsid w:val="00B926AF"/>
    <w:rPr>
      <w:b/>
      <w:i/>
      <w:u w:val="none"/>
    </w:rPr>
  </w:style>
  <w:style w:type="paragraph" w:styleId="BalloonText">
    <w:name w:val="Balloon Text"/>
    <w:basedOn w:val="Normal"/>
    <w:link w:val="BalloonTextChar"/>
    <w:rsid w:val="00B926AF"/>
    <w:rPr>
      <w:rFonts w:ascii="Tahoma" w:hAnsi="Tahoma" w:cs="Tahoma"/>
      <w:sz w:val="16"/>
      <w:szCs w:val="16"/>
    </w:rPr>
  </w:style>
  <w:style w:type="character" w:customStyle="1" w:styleId="BalloonTextChar">
    <w:name w:val="Balloon Text Char"/>
    <w:basedOn w:val="DefaultParagraphFont"/>
    <w:link w:val="BalloonText"/>
    <w:rsid w:val="00B926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26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26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3718</Words>
  <Characters>23929</Characters>
  <Application>Microsoft Office Word</Application>
  <DocSecurity>0</DocSecurity>
  <Lines>670</Lines>
  <Paragraphs>297</Paragraphs>
  <ScaleCrop>false</ScaleCrop>
  <Company>Author-it Software Corporation Ltd.</Company>
  <LinksUpToDate>false</LinksUpToDate>
  <CharactersWithSpaces>27496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UEENEER004B Contribute to the trial of a product/application/ service</dc:title>
  <dc:subject>Approved</dc:subject>
  <dc:creator>EE-Oz Training Standards</dc:creator>
  <cp:keywords>Release: 2</cp:keywords>
  <dc:description>Copyright © 1996-2007 Author-it Software Corporation Ltd., all rights reserved.</dc:description>
  <cp:lastModifiedBy>Windows User</cp:lastModifiedBy>
  <cp:revision>3</cp:revision>
  <dcterms:created xsi:type="dcterms:W3CDTF">2012-05-26T12:01:00Z</dcterms:created>
  <dcterms:modified xsi:type="dcterms:W3CDTF">2012-05-26T12:01:00Z</dcterms:modified>
</cp:coreProperties>
</file>