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367A" w:rsidP="00FC367A">
      <w:pPr>
        <w:pStyle w:val="Title"/>
      </w:pPr>
      <w:r>
        <w:fldChar w:fldCharType="begin"/>
      </w:r>
      <w:r>
        <w:instrText xml:space="preserve"> TITLE   \* MERGEFORMAT </w:instrText>
      </w:r>
      <w:r>
        <w:fldChar w:fldCharType="separate"/>
      </w:r>
      <w:r>
        <w:t>UEENEEP024A Attach cords and plugs to electrical equipment for connection to a single phase 230 Volt supply</w:t>
      </w:r>
      <w:r>
        <w:fldChar w:fldCharType="end"/>
      </w:r>
    </w:p>
    <w:p w:rsidR="00FC367A" w:rsidP="00FC367A">
      <w:pPr>
        <w:pStyle w:val="Version"/>
        <w:sectPr w:rsidSect="00CD19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D1917" w:rsidP="00CD1917">
      <w:pPr>
        <w:pStyle w:val="SuperHeading"/>
      </w:pPr>
      <w:r w:rsidRPr="00CD1917">
        <w:t>UEENEEP024A Attach cords and plugs to electrical equipment for connection to a single phase 230 Volt supply</w:t>
      </w:r>
    </w:p>
    <w:p w:rsidR="00000000" w:rsidRPr="00CD1917" w:rsidP="00CD1917">
      <w:pPr>
        <w:pStyle w:val="Heading1"/>
      </w:pPr>
      <w:bookmarkStart w:id="1" w:name="O_584977"/>
      <w:bookmarkEnd w:id="1"/>
      <w:r w:rsidRPr="00CD1917">
        <w:t>Modification History</w:t>
      </w:r>
    </w:p>
    <w:p w:rsidR="00000000" w:rsidRPr="00CD1917" w:rsidP="00CD1917">
      <w:pPr>
        <w:pStyle w:val="BodyText"/>
      </w:pPr>
      <w:r w:rsidRPr="00CD1917">
        <w:t>Not Applicable</w:t>
      </w:r>
    </w:p>
    <w:p w:rsidR="00000000" w:rsidRPr="00CD1917" w:rsidP="00CD1917">
      <w:pPr>
        <w:pStyle w:val="AllowPageBreak"/>
      </w:pPr>
    </w:p>
    <w:p w:rsidR="00000000" w:rsidRPr="00CD1917" w:rsidP="00CD1917">
      <w:pPr>
        <w:pStyle w:val="Heading1"/>
      </w:pPr>
      <w:bookmarkStart w:id="2" w:name="O_584976"/>
      <w:bookmarkEnd w:id="2"/>
      <w:r w:rsidRPr="00CD1917">
        <w:t>Unit Descriptor</w:t>
      </w:r>
    </w:p>
    <w:tbl>
      <w:tblPr>
        <w:tblW w:w="0" w:type="auto"/>
        <w:tblLayout w:type="fixed"/>
        <w:tblCellMar>
          <w:left w:w="62" w:type="dxa"/>
          <w:right w:w="62" w:type="dxa"/>
        </w:tblCellMar>
        <w:tblLook w:val="0000"/>
      </w:tblPr>
      <w:tblGrid>
        <w:gridCol w:w="2700"/>
        <w:gridCol w:w="5760"/>
      </w:tblGrid>
      <w:tr w:rsidTr="00FC36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1917" w:rsidP="00CD1917">
            <w:pPr>
              <w:pStyle w:val="BodyText"/>
            </w:pPr>
            <w:r w:rsidRPr="00CD191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CD1917" w:rsidP="00CD1917">
            <w:pPr>
              <w:pStyle w:val="BodyText"/>
            </w:pPr>
            <w:r w:rsidRPr="00CD1917">
              <w:rPr>
                <w:rStyle w:val="SpecialBold"/>
              </w:rPr>
              <w:t>1</w:t>
            </w:r>
            <w:r w:rsidRPr="00CD1917">
              <w:t xml:space="preserve">) </w:t>
            </w:r>
          </w:p>
          <w:p w:rsidR="00000000" w:rsidP="00CD1917">
            <w:pPr>
              <w:pStyle w:val="BodyText"/>
              <w:rPr>
                <w:lang w:val="en-NZ"/>
              </w:rPr>
            </w:pPr>
            <w:r w:rsidRPr="00CD1917">
              <w:rPr>
                <w:rStyle w:val="SpecialBold"/>
              </w:rPr>
              <w:t>1</w:t>
            </w:r>
            <w:r w:rsidRPr="00CD1917">
              <w:t>.</w:t>
            </w:r>
            <w:r w:rsidRPr="00CD1917">
              <w:rPr>
                <w:rStyle w:val="SpecialBold"/>
              </w:rPr>
              <w:t>1</w:t>
            </w:r>
            <w:r w:rsidRPr="00CD1917">
              <w:t xml:space="preserve">) </w:t>
            </w:r>
            <w:r w:rsidRPr="00CD1917">
              <w:rPr>
                <w:rStyle w:val="SpecialBold"/>
              </w:rPr>
              <w:t>Descriptor</w:t>
            </w:r>
          </w:p>
        </w:tc>
      </w:tr>
      <w:tr w:rsidTr="00FC36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D1917" w:rsidP="00CD1917">
            <w:pPr>
              <w:pStyle w:val="BodyText"/>
            </w:pPr>
            <w:r w:rsidRPr="00CD1917">
              <w:t>This unit covers attaching flexible cords and plugs to electrical equipment for connection to supplies up to 230V a.c. This may be incidental to or a primary and regular function of work related to a principle function in the workplace. It encompasses work</w:t>
            </w:r>
            <w:r w:rsidRPr="00CD1917">
              <w:t>ing safely, identifying plug configurations, selecting and using testing and measuring devices, terminating and connecting cords/plugs and conductors, safety testing and reporting.</w:t>
            </w:r>
          </w:p>
        </w:tc>
      </w:tr>
    </w:tbl>
    <w:p w:rsidR="00FC367A" w:rsidP="00CD1917">
      <w:pPr>
        <w:pStyle w:val="BodyText"/>
      </w:pPr>
    </w:p>
    <w:p w:rsidR="00FC367A" w:rsidP="00CD1917">
      <w:pPr>
        <w:pStyle w:val="BodyText"/>
      </w:pPr>
    </w:p>
    <w:p w:rsidR="00000000" w:rsidRPr="00CD1917" w:rsidP="00CD1917">
      <w:pPr>
        <w:pStyle w:val="Heading1"/>
      </w:pPr>
      <w:bookmarkStart w:id="3" w:name="O_584975"/>
      <w:bookmarkEnd w:id="3"/>
      <w:r w:rsidRPr="00CD1917">
        <w:t>Application of the Unit</w:t>
      </w:r>
    </w:p>
    <w:tbl>
      <w:tblPr>
        <w:tblW w:w="0" w:type="auto"/>
        <w:tblLayout w:type="fixed"/>
        <w:tblCellMar>
          <w:left w:w="62" w:type="dxa"/>
          <w:right w:w="62" w:type="dxa"/>
        </w:tblCellMar>
        <w:tblLook w:val="0000"/>
      </w:tblPr>
      <w:tblGrid>
        <w:gridCol w:w="2700"/>
        <w:gridCol w:w="5760"/>
      </w:tblGrid>
      <w:tr w:rsidTr="00FC36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1917" w:rsidP="00CD1917">
            <w:pPr>
              <w:pStyle w:val="BodyText"/>
            </w:pPr>
            <w:r w:rsidRPr="00CD191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rPr>
                <w:rStyle w:val="SpecialBold"/>
              </w:rPr>
              <w:t>4</w:t>
            </w:r>
            <w:r w:rsidRPr="00CD1917">
              <w:t>)</w:t>
            </w:r>
          </w:p>
        </w:tc>
      </w:tr>
      <w:tr w:rsidTr="00FC36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D1917" w:rsidP="00CD1917">
            <w:pPr>
              <w:pStyle w:val="BodyText"/>
            </w:pPr>
            <w:r w:rsidRPr="00CD1917">
              <w:t>This unit applies to any formal recognition for this standard at the aligned AQF 2 level or higher.</w:t>
            </w:r>
          </w:p>
        </w:tc>
      </w:tr>
    </w:tbl>
    <w:p w:rsidR="00FC367A" w:rsidP="00CD1917">
      <w:pPr>
        <w:pStyle w:val="BodyText"/>
      </w:pPr>
    </w:p>
    <w:p w:rsidR="00FC367A" w:rsidP="00CD1917">
      <w:pPr>
        <w:pStyle w:val="BodyText"/>
      </w:pPr>
    </w:p>
    <w:p w:rsidR="00000000" w:rsidRPr="00CD1917" w:rsidP="00CD1917">
      <w:pPr>
        <w:pStyle w:val="Heading1"/>
      </w:pPr>
      <w:bookmarkStart w:id="4" w:name="O_584974"/>
      <w:bookmarkEnd w:id="4"/>
      <w:r w:rsidRPr="00CD1917">
        <w:t>Licensing/Regulatory Information</w:t>
      </w:r>
    </w:p>
    <w:tbl>
      <w:tblPr>
        <w:tblW w:w="0" w:type="auto"/>
        <w:tblLayout w:type="fixed"/>
        <w:tblCellMar>
          <w:left w:w="62" w:type="dxa"/>
          <w:right w:w="62" w:type="dxa"/>
        </w:tblCellMar>
        <w:tblLook w:val="0000"/>
      </w:tblPr>
      <w:tblGrid>
        <w:gridCol w:w="8460"/>
      </w:tblGrid>
      <w:tr w:rsidTr="00FC367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rPr>
                <w:rStyle w:val="SpecialBold"/>
              </w:rPr>
              <w:t>1</w:t>
            </w:r>
            <w:r w:rsidRPr="00CD1917">
              <w:t>.</w:t>
            </w:r>
            <w:r w:rsidRPr="00CD1917">
              <w:rPr>
                <w:rStyle w:val="SpecialBold"/>
              </w:rPr>
              <w:t>2</w:t>
            </w:r>
            <w:r w:rsidRPr="00CD1917">
              <w:t xml:space="preserve">) </w:t>
            </w:r>
            <w:r w:rsidRPr="00CD1917">
              <w:rPr>
                <w:rStyle w:val="SpecialBold"/>
              </w:rPr>
              <w:t>License to practice</w:t>
            </w:r>
          </w:p>
        </w:tc>
      </w:tr>
      <w:tr w:rsidTr="00FC367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D1917" w:rsidP="00CD1917">
            <w:pPr>
              <w:pStyle w:val="BodyText"/>
            </w:pPr>
            <w:r w:rsidRPr="00CD1917">
              <w:t xml:space="preserve">The skills and knowledge described in this unit may require a license to practice in the workplace. However, practice in this unit is subject to regulations directly related to occupational health and safety and where applicable contracts of training such </w:t>
            </w:r>
            <w:r w:rsidRPr="00CD1917">
              <w:t>as apprenticeships.</w:t>
            </w:r>
          </w:p>
          <w:p w:rsidR="00000000" w:rsidRPr="00CD1917" w:rsidP="00CD1917">
            <w:pPr>
              <w:pStyle w:val="BodyText"/>
            </w:pPr>
            <w:r w:rsidRPr="00CD1917">
              <w:t>Note:</w:t>
            </w:r>
            <w:r w:rsidRPr="00CD1917">
              <w:br/>
              <w:t>Candidates are to meet regulator eligibility requirements by providing formal confirmation from the relevant state/territory regulator for the respective work class and scope of work prior to developing and being conferred compete</w:t>
            </w:r>
            <w:r w:rsidRPr="00CD1917">
              <w:t>nt.</w:t>
            </w:r>
          </w:p>
        </w:tc>
      </w:tr>
    </w:tbl>
    <w:p w:rsidR="00FC367A" w:rsidP="00CD1917">
      <w:pPr>
        <w:pStyle w:val="BodyText"/>
      </w:pPr>
    </w:p>
    <w:p w:rsidR="00FC367A" w:rsidP="00CD1917">
      <w:pPr>
        <w:pStyle w:val="BodyText"/>
      </w:pPr>
    </w:p>
    <w:p w:rsidR="00000000" w:rsidRPr="00CD1917" w:rsidP="00CD1917">
      <w:pPr>
        <w:pStyle w:val="Heading1"/>
      </w:pPr>
      <w:bookmarkStart w:id="5" w:name="O_584973"/>
      <w:bookmarkEnd w:id="5"/>
      <w:r w:rsidRPr="00CD1917">
        <w:t>Pre-Requisites</w:t>
      </w:r>
    </w:p>
    <w:tbl>
      <w:tblPr>
        <w:tblW w:w="0" w:type="auto"/>
        <w:tblLayout w:type="fixed"/>
        <w:tblCellMar>
          <w:left w:w="62" w:type="dxa"/>
          <w:right w:w="62" w:type="dxa"/>
        </w:tblCellMar>
        <w:tblLook w:val="0000"/>
      </w:tblPr>
      <w:tblGrid>
        <w:gridCol w:w="2700"/>
        <w:gridCol w:w="1350"/>
        <w:gridCol w:w="4410"/>
      </w:tblGrid>
      <w:tr w:rsidTr="00FC36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1917" w:rsidP="00CD1917">
            <w:pPr>
              <w:pStyle w:val="BodyText"/>
            </w:pPr>
            <w:r w:rsidRPr="00CD191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rPr>
                <w:rStyle w:val="SpecialBold"/>
              </w:rPr>
              <w:t xml:space="preserve">2) </w:t>
            </w:r>
          </w:p>
        </w:tc>
      </w:tr>
      <w:tr w:rsidTr="00FC36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D1917">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rPr>
                <w:rStyle w:val="SpecialBold"/>
              </w:rPr>
              <w:t>2.1) Competencies</w:t>
            </w:r>
          </w:p>
        </w:tc>
      </w:tr>
      <w:tr w:rsidTr="00FC36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xml:space="preserve">Granting competency in this unit shall be made only after competency in the following unit(s) has/have been confirmed. </w:t>
            </w:r>
          </w:p>
        </w:tc>
      </w:tr>
      <w:tr w:rsidTr="00FC36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UEENEEE101A</w:t>
            </w:r>
          </w:p>
        </w:tc>
        <w:tc>
          <w:tcPr>
            <w:tcW w:w="4410" w:type="dxa"/>
            <w:tcBorders>
              <w:top w:val="nil"/>
              <w:left w:val="nil"/>
              <w:bottom w:val="nil"/>
              <w:right w:val="nil"/>
            </w:tcBorders>
            <w:tcMar>
              <w:top w:w="0" w:type="dxa"/>
              <w:left w:w="62" w:type="dxa"/>
              <w:bottom w:w="0" w:type="dxa"/>
              <w:right w:w="62" w:type="dxa"/>
            </w:tcMar>
          </w:tcPr>
          <w:p w:rsidR="00000000" w:rsidRPr="00CD1917" w:rsidP="00CD1917">
            <w:pPr>
              <w:pStyle w:val="BodyText"/>
            </w:pPr>
            <w:r w:rsidRPr="00CD1917">
              <w:t>Apply Occupational Health and Safety regulations, codes and practices in the workplace</w:t>
            </w:r>
          </w:p>
        </w:tc>
      </w:tr>
    </w:tbl>
    <w:p w:rsidR="00000000" w:rsidRPr="00CD1917" w:rsidP="00CD1917">
      <w:pPr>
        <w:pStyle w:val="BodyText"/>
      </w:pPr>
    </w:p>
    <w:p w:rsidR="00000000" w:rsidRPr="00CD1917" w:rsidP="00CD1917">
      <w:pPr>
        <w:pStyle w:val="AllowPageBreak"/>
      </w:pPr>
    </w:p>
    <w:p w:rsidR="00000000" w:rsidRPr="00CD1917" w:rsidP="00CD1917">
      <w:pPr>
        <w:pStyle w:val="Heading1"/>
      </w:pPr>
      <w:bookmarkStart w:id="6" w:name="O_584972"/>
      <w:bookmarkEnd w:id="6"/>
      <w:r w:rsidRPr="00CD1917">
        <w:t>Employability Skills Information</w:t>
      </w:r>
    </w:p>
    <w:tbl>
      <w:tblPr>
        <w:tblW w:w="0" w:type="auto"/>
        <w:tblLayout w:type="fixed"/>
        <w:tblCellMar>
          <w:left w:w="62" w:type="dxa"/>
          <w:right w:w="62" w:type="dxa"/>
        </w:tblCellMar>
        <w:tblLook w:val="0000"/>
      </w:tblPr>
      <w:tblGrid>
        <w:gridCol w:w="2700"/>
        <w:gridCol w:w="5760"/>
      </w:tblGrid>
      <w:tr w:rsidTr="00FC36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D1917" w:rsidP="00CD1917">
            <w:pPr>
              <w:pStyle w:val="BodyText"/>
            </w:pPr>
            <w:r w:rsidRPr="00CD191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CD1917" w:rsidP="00CD1917">
            <w:pPr>
              <w:pStyle w:val="BodyText"/>
            </w:pPr>
            <w:r w:rsidRPr="00CD1917">
              <w:rPr>
                <w:rStyle w:val="SpecialBold"/>
              </w:rPr>
              <w:t>3</w:t>
            </w:r>
            <w:r w:rsidRPr="00CD1917">
              <w:t>)</w:t>
            </w:r>
          </w:p>
          <w:p w:rsidR="00000000" w:rsidRPr="00CD1917" w:rsidP="00CD1917">
            <w:pPr>
              <w:pStyle w:val="BodyText"/>
            </w:pPr>
            <w:r w:rsidRPr="00CD1917">
              <w:t>This unit contains Employability Skills</w:t>
            </w:r>
          </w:p>
          <w:p w:rsidR="00000000" w:rsidRPr="00CD1917" w:rsidP="00CD1917">
            <w:pPr>
              <w:pStyle w:val="BodyText"/>
            </w:pPr>
            <w:r w:rsidRPr="00CD191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D1917">
              <w:t>requirements.</w:t>
            </w:r>
          </w:p>
        </w:tc>
      </w:tr>
    </w:tbl>
    <w:p w:rsidR="00FC367A" w:rsidP="00CD1917">
      <w:pPr>
        <w:pStyle w:val="BodyText"/>
      </w:pPr>
    </w:p>
    <w:p w:rsidR="00FC367A" w:rsidP="00CD1917">
      <w:pPr>
        <w:pStyle w:val="BodyText"/>
      </w:pPr>
    </w:p>
    <w:p w:rsidR="00000000" w:rsidRPr="00CD1917" w:rsidP="00CD1917">
      <w:pPr>
        <w:pStyle w:val="Heading1"/>
      </w:pPr>
      <w:bookmarkStart w:id="7" w:name="O_584971"/>
      <w:bookmarkEnd w:id="7"/>
      <w:r w:rsidRPr="00CD1917">
        <w:t>Elements and Performance Criteria Pre-Content</w:t>
      </w:r>
    </w:p>
    <w:tbl>
      <w:tblPr>
        <w:tblW w:w="0" w:type="auto"/>
        <w:tblLayout w:type="fixed"/>
        <w:tblCellMar>
          <w:left w:w="62" w:type="dxa"/>
          <w:right w:w="62" w:type="dxa"/>
        </w:tblCellMar>
        <w:tblLook w:val="0000"/>
      </w:tblPr>
      <w:tblGrid>
        <w:gridCol w:w="1924"/>
        <w:gridCol w:w="6660"/>
      </w:tblGrid>
      <w:tr w:rsidTr="00FC367A">
        <w:tblPrEx>
          <w:tblW w:w="0" w:type="auto"/>
          <w:tblLayout w:type="fixed"/>
          <w:tblCellMar>
            <w:left w:w="62" w:type="dxa"/>
            <w:right w:w="62" w:type="dxa"/>
          </w:tblCellMar>
          <w:tblLook w:val="0000"/>
        </w:tblPrEx>
        <w:tc>
          <w:tcPr>
            <w:tcW w:w="1924" w:type="dxa"/>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rPr>
                <w:rStyle w:val="SpecialBold"/>
              </w:rPr>
              <w:t>6</w:t>
            </w:r>
            <w:r w:rsidRPr="00CD1917">
              <w:t>) Elements describe the essential outcomes of a unit of competency</w:t>
            </w:r>
          </w:p>
        </w:tc>
        <w:tc>
          <w:tcPr>
            <w:tcW w:w="6660" w:type="dxa"/>
            <w:tcBorders>
              <w:top w:val="nil"/>
              <w:left w:val="nil"/>
              <w:bottom w:val="nil"/>
              <w:right w:val="nil"/>
            </w:tcBorders>
            <w:tcMar>
              <w:top w:w="0" w:type="dxa"/>
              <w:left w:w="62" w:type="dxa"/>
              <w:bottom w:w="0" w:type="dxa"/>
              <w:right w:w="62" w:type="dxa"/>
            </w:tcMar>
          </w:tcPr>
          <w:p w:rsidR="00000000" w:rsidRPr="00CD1917" w:rsidP="00CD1917">
            <w:pPr>
              <w:pStyle w:val="BodyText"/>
            </w:pPr>
            <w:r w:rsidRPr="00CD1917">
              <w:t>Performance criteria describe the required performance needed to demonstrate achievement of the Element. Ass</w:t>
            </w:r>
            <w:r w:rsidRPr="00CD1917">
              <w:t>essment of performance is to be consistent with the evidence guide.</w:t>
            </w:r>
          </w:p>
        </w:tc>
      </w:tr>
    </w:tbl>
    <w:p w:rsidR="00000000" w:rsidRPr="00CD1917" w:rsidP="00CD1917">
      <w:pPr>
        <w:pStyle w:val="BodyText"/>
      </w:pPr>
    </w:p>
    <w:p w:rsidR="00000000" w:rsidRPr="00CD1917" w:rsidP="00CD1917">
      <w:pPr>
        <w:pStyle w:val="AllowPageBreak"/>
      </w:pPr>
    </w:p>
    <w:p w:rsidR="00000000" w:rsidRPr="00CD1917" w:rsidP="00CD1917">
      <w:pPr>
        <w:pStyle w:val="Heading1"/>
      </w:pPr>
      <w:bookmarkStart w:id="8" w:name="O_584970"/>
      <w:bookmarkEnd w:id="8"/>
      <w:r w:rsidRPr="00CD1917">
        <w:t>Elements and Performance Criteria</w:t>
      </w:r>
    </w:p>
    <w:tbl>
      <w:tblPr>
        <w:tblW w:w="0" w:type="auto"/>
        <w:tblCellMar>
          <w:left w:w="62" w:type="dxa"/>
          <w:right w:w="62" w:type="dxa"/>
        </w:tblCellMar>
        <w:tblLook w:val="0000"/>
      </w:tblPr>
      <w:tblGrid>
        <w:gridCol w:w="628"/>
        <w:gridCol w:w="2566"/>
        <w:gridCol w:w="471"/>
        <w:gridCol w:w="5531"/>
      </w:tblGrid>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ELEMENT</w:t>
            </w:r>
          </w:p>
        </w:tc>
        <w:tc>
          <w:tcPr>
            <w:tcW w:w="0" w:type="auto"/>
            <w:gridSpan w:val="3"/>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PERFORMANCE CRITERIA</w:t>
            </w:r>
          </w:p>
        </w:tc>
      </w:tr>
      <w:tr w:rsidTr="00FC367A">
        <w:tblPrEx>
          <w:tblW w:w="0" w:type="auto"/>
          <w:tblCellMar>
            <w:left w:w="62" w:type="dxa"/>
            <w:right w:w="62" w:type="dxa"/>
          </w:tblCellMar>
          <w:tblLook w:val="0000"/>
        </w:tblPrEx>
        <w:trPr>
          <w:trHeight w:val="750"/>
        </w:trPr>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1</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Plan and prepare to attach flexible cord(s) and plug(s).</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1.1</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Work is planned and prepared to ensure OHS policies and procedures are followed, and the work is appropriately sequenced in accordance with requirements.</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1.2</w:t>
            </w:r>
          </w:p>
        </w:tc>
        <w:tc>
          <w:tcPr>
            <w:tcW w:w="0" w:type="auto"/>
            <w:tcBorders>
              <w:top w:val="nil"/>
              <w:left w:val="nil"/>
              <w:bottom w:val="nil"/>
              <w:right w:val="nil"/>
            </w:tcBorders>
            <w:tcMar>
              <w:top w:w="0" w:type="dxa"/>
              <w:left w:w="62" w:type="dxa"/>
              <w:bottom w:w="0" w:type="dxa"/>
              <w:right w:w="62" w:type="dxa"/>
            </w:tcMar>
          </w:tcPr>
          <w:p w:rsidR="00000000" w:rsidRPr="00CD1917" w:rsidP="00CD1917">
            <w:pPr>
              <w:pStyle w:val="BodyText"/>
            </w:pPr>
            <w:r w:rsidRPr="00CD1917">
              <w:t xml:space="preserve">Condition and ratings </w:t>
            </w:r>
            <w:r w:rsidRPr="00CD1917">
              <w:t>under which the flexible cords and plugs are to operate is determined from requirements and in consultation with appropriate personnel followed by written instruction.</w:t>
            </w:r>
          </w:p>
          <w:p w:rsidR="00000000" w:rsidP="00CD1917">
            <w:pPr>
              <w:pStyle w:val="BodyText"/>
              <w:rPr>
                <w:lang w:val="en-NZ"/>
              </w:rPr>
            </w:pP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1.3</w:t>
            </w:r>
          </w:p>
        </w:tc>
        <w:tc>
          <w:tcPr>
            <w:tcW w:w="0" w:type="auto"/>
            <w:tcBorders>
              <w:top w:val="nil"/>
              <w:left w:val="nil"/>
              <w:bottom w:val="nil"/>
              <w:right w:val="nil"/>
            </w:tcBorders>
            <w:tcMar>
              <w:top w:w="0" w:type="dxa"/>
              <w:left w:w="62" w:type="dxa"/>
              <w:bottom w:w="0" w:type="dxa"/>
              <w:right w:w="62" w:type="dxa"/>
            </w:tcMar>
          </w:tcPr>
          <w:p w:rsidR="00000000" w:rsidRPr="00CD1917" w:rsidP="00CD1917">
            <w:pPr>
              <w:pStyle w:val="BodyText"/>
            </w:pPr>
            <w:r w:rsidRPr="00CD1917">
              <w:t xml:space="preserve">Flexible cords and plugs are selected to comply with standards and requirements </w:t>
            </w:r>
            <w:r w:rsidRPr="00CD1917">
              <w:t>for the condition and rating to be determined.</w:t>
            </w:r>
          </w:p>
          <w:p w:rsidR="00000000" w:rsidP="00CD1917">
            <w:pPr>
              <w:pStyle w:val="BodyText"/>
              <w:rPr>
                <w:lang w:val="en-NZ"/>
              </w:rPr>
            </w:pPr>
          </w:p>
        </w:tc>
      </w:tr>
      <w:tr w:rsidTr="00FC367A">
        <w:tblPrEx>
          <w:tblW w:w="0" w:type="auto"/>
          <w:tblCellMar>
            <w:left w:w="62" w:type="dxa"/>
            <w:right w:w="62" w:type="dxa"/>
          </w:tblCellMar>
          <w:tblLook w:val="0000"/>
        </w:tblPrEx>
        <w:trPr>
          <w:trHeight w:val="633"/>
        </w:trPr>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1.4</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Materials necessary to complete the work are obtained in accordance with established procedures and checked against job requirements.</w:t>
            </w:r>
          </w:p>
        </w:tc>
      </w:tr>
      <w:tr w:rsidTr="00FC367A">
        <w:tblPrEx>
          <w:tblW w:w="0" w:type="auto"/>
          <w:tblCellMar>
            <w:left w:w="62" w:type="dxa"/>
            <w:right w:w="62" w:type="dxa"/>
          </w:tblCellMar>
          <w:tblLook w:val="0000"/>
        </w:tblPrEx>
        <w:trPr>
          <w:trHeight w:val="700"/>
        </w:trPr>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1.5</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Tools, equipment and testing devices needed to carry out the work are obtained in accordance with established procedures and checked for correct operation and safety.</w:t>
            </w:r>
          </w:p>
        </w:tc>
      </w:tr>
      <w:tr w:rsidTr="00FC367A">
        <w:tblPrEx>
          <w:tblW w:w="0" w:type="auto"/>
          <w:tblCellMar>
            <w:left w:w="62" w:type="dxa"/>
            <w:right w:w="62" w:type="dxa"/>
          </w:tblCellMar>
          <w:tblLook w:val="0000"/>
        </w:tblPrEx>
        <w:trPr>
          <w:trHeight w:val="616"/>
        </w:trPr>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1.6</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Flexible cord(s) is prepared without damage to insulation and conductors and in ac</w:t>
            </w:r>
            <w:r w:rsidRPr="00CD1917">
              <w:t>cordance with requirements.</w:t>
            </w:r>
          </w:p>
        </w:tc>
      </w:tr>
      <w:tr w:rsidTr="00FC367A">
        <w:tblPrEx>
          <w:tblW w:w="0" w:type="auto"/>
          <w:tblCellMar>
            <w:left w:w="62" w:type="dxa"/>
            <w:right w:w="62" w:type="dxa"/>
          </w:tblCellMar>
          <w:tblLook w:val="0000"/>
        </w:tblPrEx>
        <w:trPr>
          <w:trHeight w:val="615"/>
        </w:trPr>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2</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Attach flexible cord(s) and plug(s).</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2.1</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OHS policies and procedures are followed.</w:t>
            </w:r>
          </w:p>
        </w:tc>
      </w:tr>
      <w:tr w:rsidTr="00FC367A">
        <w:tblPrEx>
          <w:tblW w:w="0" w:type="auto"/>
          <w:tblCellMar>
            <w:left w:w="62" w:type="dxa"/>
            <w:right w:w="62" w:type="dxa"/>
          </w:tblCellMar>
          <w:tblLook w:val="0000"/>
        </w:tblPrEx>
        <w:trPr>
          <w:trHeight w:val="732"/>
        </w:trPr>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2.2</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Single insulated metal framed equipment is earthed in accordance with requirements.</w:t>
            </w:r>
          </w:p>
        </w:tc>
      </w:tr>
      <w:tr w:rsidTr="00FC367A">
        <w:tblPrEx>
          <w:tblW w:w="0" w:type="auto"/>
          <w:tblCellMar>
            <w:left w:w="62" w:type="dxa"/>
            <w:right w:w="62" w:type="dxa"/>
          </w:tblCellMar>
          <w:tblLook w:val="0000"/>
        </w:tblPrEx>
        <w:trPr>
          <w:trHeight w:val="682"/>
        </w:trPr>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2.3</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The integrity of double insulated equipment is maintained in accordance with requirements.</w:t>
            </w:r>
          </w:p>
        </w:tc>
      </w:tr>
      <w:tr w:rsidTr="00FC367A">
        <w:tblPrEx>
          <w:tblW w:w="0" w:type="auto"/>
          <w:tblCellMar>
            <w:left w:w="62" w:type="dxa"/>
            <w:right w:w="62" w:type="dxa"/>
          </w:tblCellMar>
          <w:tblLook w:val="0000"/>
        </w:tblPrEx>
        <w:trPr>
          <w:trHeight w:val="906"/>
        </w:trPr>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2.4</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Conductors are connected to terminals in accordance with requirements to ensure the required polarity is affected.</w:t>
            </w:r>
          </w:p>
        </w:tc>
      </w:tr>
      <w:tr w:rsidTr="00FC367A">
        <w:tblPrEx>
          <w:tblW w:w="0" w:type="auto"/>
          <w:tblCellMar>
            <w:left w:w="62" w:type="dxa"/>
            <w:right w:w="62" w:type="dxa"/>
          </w:tblCellMar>
          <w:tblLook w:val="0000"/>
        </w:tblPrEx>
        <w:trPr>
          <w:trHeight w:val="1080"/>
        </w:trPr>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3</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Test equipment for operation and safety.</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3.1</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Appropriate tests of the cord(s) and plug(s) connected to the electrical equipment are conducted in accordance with requirements and to established procedures to ensure safe installation and operation.</w:t>
            </w:r>
          </w:p>
        </w:tc>
      </w:tr>
      <w:tr w:rsidTr="00FC367A">
        <w:tblPrEx>
          <w:tblW w:w="0" w:type="auto"/>
          <w:tblCellMar>
            <w:left w:w="62" w:type="dxa"/>
            <w:right w:w="62" w:type="dxa"/>
          </w:tblCellMar>
          <w:tblLook w:val="0000"/>
        </w:tblPrEx>
        <w:trPr>
          <w:trHeight w:val="782"/>
        </w:trPr>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3.2</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xml:space="preserve">Ongoing checks of the quality of work are </w:t>
            </w:r>
            <w:r w:rsidRPr="00CD1917">
              <w:t>undertaken in accordance with established procedures.</w:t>
            </w:r>
          </w:p>
        </w:tc>
      </w:tr>
      <w:tr w:rsidTr="00FC367A">
        <w:tblPrEx>
          <w:tblW w:w="0" w:type="auto"/>
          <w:tblCellMar>
            <w:left w:w="62" w:type="dxa"/>
            <w:right w:w="62" w:type="dxa"/>
          </w:tblCellMar>
          <w:tblLook w:val="0000"/>
        </w:tblPrEx>
        <w:trPr>
          <w:trHeight w:val="873"/>
        </w:trPr>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4</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Locate and repair fault(s) in attached flexible cord(s) and plug(s).</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4.1</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Electrical equipment and attached flexib</w:t>
            </w:r>
            <w:r w:rsidRPr="00CD1917">
              <w:t>le cord(s) and plug(s) are isolated, where necessary, in accordance with established procedures.</w:t>
            </w:r>
          </w:p>
        </w:tc>
      </w:tr>
      <w:tr w:rsidTr="00FC367A">
        <w:tblPrEx>
          <w:tblW w:w="0" w:type="auto"/>
          <w:tblCellMar>
            <w:left w:w="62" w:type="dxa"/>
            <w:right w:w="62" w:type="dxa"/>
          </w:tblCellMar>
          <w:tblLook w:val="0000"/>
        </w:tblPrEx>
        <w:trPr>
          <w:trHeight w:val="799"/>
        </w:trPr>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4.2</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Other OHS policies and procedures are followed.</w:t>
            </w:r>
          </w:p>
        </w:tc>
      </w:tr>
      <w:tr w:rsidTr="00FC367A">
        <w:tblPrEx>
          <w:tblW w:w="0" w:type="auto"/>
          <w:tblCellMar>
            <w:left w:w="62" w:type="dxa"/>
            <w:right w:w="62" w:type="dxa"/>
          </w:tblCellMar>
          <w:tblLook w:val="0000"/>
        </w:tblPrEx>
        <w:trPr>
          <w:trHeight w:val="934"/>
        </w:trPr>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4.3</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Visual checks of the attached flexible cord(s) and plug(s) are carried out in accordance with established procedures to detect any abnormal or obvious damage or fault.</w:t>
            </w:r>
          </w:p>
        </w:tc>
      </w:tr>
      <w:tr w:rsidTr="00FC367A">
        <w:tblPrEx>
          <w:tblW w:w="0" w:type="auto"/>
          <w:tblCellMar>
            <w:left w:w="62" w:type="dxa"/>
            <w:right w:w="62" w:type="dxa"/>
          </w:tblCellMar>
          <w:tblLook w:val="0000"/>
        </w:tblPrEx>
        <w:trPr>
          <w:trHeight w:val="783"/>
        </w:trPr>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4.4</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Fault(s) in attached flexible cord(s) and plug(s) are confirmed and components to</w:t>
            </w:r>
            <w:r w:rsidRPr="00CD1917">
              <w:t xml:space="preserve"> be replaced are determined and details recorded in accordance with established procedures.</w:t>
            </w:r>
          </w:p>
        </w:tc>
      </w:tr>
      <w:tr w:rsidTr="00FC367A">
        <w:tblPrEx>
          <w:tblW w:w="0" w:type="auto"/>
          <w:tblCellMar>
            <w:left w:w="62" w:type="dxa"/>
            <w:right w:w="62" w:type="dxa"/>
          </w:tblCellMar>
          <w:tblLook w:val="0000"/>
        </w:tblPrEx>
        <w:trPr>
          <w:trHeight w:val="817"/>
        </w:trPr>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4.5</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Fault(s) in attached flexible cord(s) and plug(s) are repaired in accordance with established procedures, where necessary.</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4.6</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Approval is obtained in accordance with established procedures from appropriate personnel, before any contingencies are implemented.</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5</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Provide status report(s).</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5.1</w:t>
            </w:r>
          </w:p>
        </w:tc>
        <w:tc>
          <w:tcPr>
            <w:tcW w:w="0" w:type="auto"/>
            <w:tcBorders>
              <w:top w:val="nil"/>
              <w:left w:val="nil"/>
              <w:bottom w:val="nil"/>
              <w:right w:val="nil"/>
            </w:tcBorders>
            <w:tcMar>
              <w:top w:w="0" w:type="dxa"/>
              <w:left w:w="62" w:type="dxa"/>
              <w:bottom w:w="0" w:type="dxa"/>
              <w:right w:w="62" w:type="dxa"/>
            </w:tcMar>
          </w:tcPr>
          <w:p w:rsidR="00000000" w:rsidRPr="00CD1917" w:rsidP="00CD1917">
            <w:pPr>
              <w:pStyle w:val="BodyText"/>
            </w:pPr>
            <w:r w:rsidRPr="00CD1917">
              <w:t>Status report(s) are completed and notified in accordance with established procedures.</w:t>
            </w:r>
          </w:p>
        </w:tc>
      </w:tr>
    </w:tbl>
    <w:p w:rsidR="00FC367A" w:rsidP="00CD1917">
      <w:pPr>
        <w:pStyle w:val="BodyText"/>
      </w:pPr>
    </w:p>
    <w:p w:rsidR="00FC367A" w:rsidP="00CD1917">
      <w:pPr>
        <w:pStyle w:val="BodyText"/>
      </w:pPr>
    </w:p>
    <w:p w:rsidR="00000000" w:rsidRPr="00CD1917" w:rsidP="00CD1917">
      <w:pPr>
        <w:pStyle w:val="Heading1"/>
      </w:pPr>
      <w:bookmarkStart w:id="9" w:name="O_584969"/>
      <w:bookmarkEnd w:id="9"/>
      <w:r w:rsidRPr="00CD1917">
        <w:t>Required Skills and Knowledge</w:t>
      </w:r>
    </w:p>
    <w:tbl>
      <w:tblPr>
        <w:tblW w:w="0" w:type="auto"/>
        <w:tblCellMar>
          <w:left w:w="62" w:type="dxa"/>
          <w:right w:w="62" w:type="dxa"/>
        </w:tblCellMar>
        <w:tblLook w:val="0000"/>
      </w:tblPr>
      <w:tblGrid>
        <w:gridCol w:w="3980"/>
        <w:gridCol w:w="5216"/>
      </w:tblGrid>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rPr>
                <w:rStyle w:val="SpecialBold"/>
              </w:rPr>
              <w:t>REQUIRED SKILLS AND KNOWLEDGE</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p>
        </w:tc>
      </w:tr>
      <w:tr w:rsidTr="00FC367A">
        <w:tblPrEx>
          <w:tblW w:w="0" w:type="auto"/>
          <w:tblCellMar>
            <w:left w:w="62" w:type="dxa"/>
            <w:right w:w="62" w:type="dxa"/>
          </w:tblCellMar>
          <w:tblLook w:val="0000"/>
        </w:tblPrEx>
        <w:trPr>
          <w:trHeight w:val="735"/>
        </w:trPr>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rPr>
                <w:rStyle w:val="SpecialBold"/>
              </w:rPr>
              <w:t xml:space="preserve">7) </w:t>
            </w:r>
            <w:r w:rsidRPr="00CD1917">
              <w:t>This describes the essential skills and knowledge and their level, required for this unit.</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p>
        </w:tc>
      </w:tr>
      <w:tr w:rsidTr="00FC367A">
        <w:tblPrEx>
          <w:tblW w:w="0" w:type="auto"/>
          <w:tblCellMar>
            <w:left w:w="62" w:type="dxa"/>
            <w:right w:w="62" w:type="dxa"/>
          </w:tblCellMar>
          <w:tblLook w:val="0000"/>
        </w:tblPrEx>
        <w:trPr>
          <w:trHeight w:val="1058"/>
        </w:trPr>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Evidence shall show that knowledge has been acquired of safe working practices and attaching cords and plugs to electrical equipment for connection to a single phase 230 Volt supply.</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p>
        </w:tc>
      </w:tr>
      <w:tr w:rsidTr="00FC367A">
        <w:tblPrEx>
          <w:tblW w:w="0" w:type="auto"/>
          <w:tblCellMar>
            <w:left w:w="62" w:type="dxa"/>
            <w:right w:w="62" w:type="dxa"/>
          </w:tblCellMar>
          <w:tblLook w:val="0000"/>
        </w:tblPrEx>
        <w:trPr>
          <w:trHeight w:val="649"/>
        </w:trPr>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All knowledge and skills detailed in this unit should be contextualised</w:t>
            </w:r>
            <w:r w:rsidRPr="00CD1917">
              <w:t xml:space="preserve"> to current industry practices and technologies.</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p>
        </w:tc>
      </w:tr>
      <w:tr w:rsidTr="00FC367A">
        <w:tblPrEx>
          <w:tblW w:w="0" w:type="auto"/>
          <w:tblCellMar>
            <w:left w:w="62" w:type="dxa"/>
            <w:right w:w="62" w:type="dxa"/>
          </w:tblCellMar>
          <w:tblLook w:val="0000"/>
        </w:tblPrEx>
        <w:trPr>
          <w:trHeight w:val="427"/>
        </w:trPr>
        <w:tc>
          <w:tcPr>
            <w:tcW w:w="0" w:type="auto"/>
            <w:tcBorders>
              <w:top w:val="nil"/>
              <w:left w:val="nil"/>
              <w:bottom w:val="nil"/>
              <w:right w:val="nil"/>
            </w:tcBorders>
            <w:tcMar>
              <w:top w:w="0" w:type="dxa"/>
              <w:left w:w="62" w:type="dxa"/>
              <w:bottom w:w="0" w:type="dxa"/>
              <w:right w:w="62" w:type="dxa"/>
            </w:tcMar>
          </w:tcPr>
          <w:p w:rsidR="00000000" w:rsidRPr="00CD1917" w:rsidP="00CD1917">
            <w:pPr>
              <w:pStyle w:val="BodyText"/>
            </w:pPr>
            <w:r w:rsidRPr="00CD1917">
              <w:rPr>
                <w:rStyle w:val="SpecialBold"/>
              </w:rPr>
              <w:t xml:space="preserve">KS01-EP024A      </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rPr>
                <w:rStyle w:val="SpecialBold"/>
              </w:rPr>
              <w:t>Flexible cords and plugs to 230 V</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Evidence shall show an understanding of flexible cords and plugs to 230 V to an extent indicated by the following aspects</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xml:space="preserve">T1 Safety encompassing: </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OH&amp;S and electrical safety requirements</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requirements of AS/NZS 4836:2001 Safe working practices on low voltage installations</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T2 The basic electrical circuit encompassing:</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simple electric circuit (supply, control device and load)</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symbol, units of measurement and the abbreviation for electromotive force, potential difference, current and resistance.</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drawing of a basic electrical circuit using correct symbols</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using multiples and submultiples for voltage, current and resista</w:t>
            </w:r>
            <w:r w:rsidRPr="00CD1917">
              <w:t>nce values</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a.c and d.c supplies</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single phase electrical loads</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electrical circuit protection devices</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T3 Relationships in an electrical circuit encompassing:</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relationship between voltage, current and resistance (Ohm’s law)</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changes in circuit parameters for altered values of voltage, current and resistance</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electrical power in relationship to d.c. or resistive a.c. circuits</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xml:space="preserve">T4 Test Equipment - resistance measurement encompassing: </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types of electrical test equipment</w:t>
            </w:r>
            <w:r w:rsidRPr="00CD1917">
              <w:t xml:space="preserve"> used for resistance measurement (analogue and digital multimeters, insulation resistance testers and continuity testers)</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selection of appropriate electrical test instrument for continuity and insulation resistance measurement</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using analogue and di</w:t>
            </w:r>
            <w:r w:rsidRPr="00CD1917">
              <w:t>gital multimeters for resistance measurement (ensuring zero setting, correct scale selection, avoidance of parallax error and estimation of between division readings for analogue multimeters)</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continuity tests and using a continuity tester to check the polarity of a three core extension cord</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insulation resistance tests and minimum values for insulation resistance for low voltage equipment</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reasons for insulation resistance testing is co</w:t>
            </w:r>
            <w:r w:rsidRPr="00CD1917">
              <w:t>nducted at higher than supply voltage (AS/NZS3000 requirements)</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using insulation resistance hand held tester</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care and storage of electrical instruments</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regulatory requirements in regard to the maintenance and testing of test instrumentation for</w:t>
            </w:r>
            <w:r w:rsidRPr="00CD1917">
              <w:t xml:space="preserve"> resistance measurement.</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T5 Selection of flexible cords and plugs to suit given applications encompassing:</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types , structures and applications of common cores (parallel two core unsheathed  (‘figure 8’) cords, light duty sheathed, ordinary duty sheat</w:t>
            </w:r>
            <w:r w:rsidRPr="00CD1917">
              <w:t>hed, heavy duty sheathed and textile braided)</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determining the current rating of a range of commonly used flexible cords</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xml:space="preserve">* service duty </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purpose of colour coding and the recommended single phase colour code and the conventional code used in the most common alternative colours</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selection of appropriate flexible cords for a range of single phase appliances in regard to application, load,</w:t>
            </w:r>
            <w:r w:rsidRPr="00CD1917">
              <w:t xml:space="preserve"> and service duty</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identification of correct plug and socket polarities for the range of commonly used 230 volt plug socket combinations</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xml:space="preserve">* factors affecting the choice of plugs and sockets including IP rating </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selection of the correct plug and soc</w:t>
            </w:r>
            <w:r w:rsidRPr="00CD1917">
              <w:t>ket combinations for a range of applications including use in damp areas</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T6 Connecting flexible cords and plugs to appliances encompassing:</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design features of plugs and sockets which protect the conductor terminations from undue force when disconnecting a cord - tortuous path</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cord preparation - not to mark/damage the inner core when stripping the sheath for termination, double the end of</w:t>
            </w:r>
            <w:r w:rsidRPr="00CD1917">
              <w:t xml:space="preserve"> the conductor to be terminated</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purpose of earthing</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xml:space="preserve">* structure of double insulated appliances, symbol, reasons they should not be earthed, and maintenance of the integrity of the double insulation </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preparation of the surfaces at an earthing conn</w:t>
            </w:r>
            <w:r w:rsidRPr="00CD1917">
              <w:t>ection before and after completion of the termination including terminations exposed to corrosion, and those for which no specific earthing terminal is provided</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fitting a range of various plugs and sockets with attention to requirements, colour code, p</w:t>
            </w:r>
            <w:r w:rsidRPr="00CD1917">
              <w:t>olarity, and correct termination of conductors with the sheath well into the body, and the cord grip anchored</w:t>
            </w:r>
          </w:p>
        </w:tc>
      </w:tr>
      <w:tr w:rsidTr="00FC367A">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terminate cords to several appliances utilising the appropriate cord type and rating</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T7 Testing encompassing:</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importance of conducting both visual and electrical tests to ensure leads are safe and appropriate for connection to supply in regard to physical condition, sufficiently high insulation resistance, continuity, arrangements for protection against indirect</w:t>
            </w:r>
            <w:r w:rsidRPr="00CD1917">
              <w:t xml:space="preserve"> contact are undamaged and in place, appropriate IP rating, and arrangements for protection against dangers of mechanical movement as relevant are undamaged and in place</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check polarity of plug, and for any abnormal or obvious damage or fault</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minimu</w:t>
            </w:r>
            <w:r w:rsidRPr="00CD1917">
              <w:t>m acceptable value of insulation resistance between active neutral and earth</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conduct insulation resistance and continuity tests prior to, and after, connecting cords and plugs to appliances</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fault finding attached cords and plugs, and cord extension leads</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T8 Producing documentation and reports encompassing:</w:t>
            </w: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p>
        </w:tc>
      </w:tr>
      <w:tr w:rsidTr="00FC367A">
        <w:tblPrEx>
          <w:tblW w:w="0" w:type="auto"/>
          <w:tblCellMar>
            <w:left w:w="62" w:type="dxa"/>
            <w:right w:w="62" w:type="dxa"/>
          </w:tblCellMar>
          <w:tblLook w:val="0000"/>
        </w:tblPrEx>
        <w:trPr>
          <w:trHeight w:val="331"/>
        </w:trPr>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nature and content of, and the need to produce, status reports and documents</w:t>
            </w:r>
          </w:p>
        </w:tc>
      </w:tr>
      <w:tr w:rsidTr="00FC36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D1917" w:rsidP="00CD1917">
            <w:pPr>
              <w:pStyle w:val="BodyText"/>
            </w:pPr>
            <w:r w:rsidRPr="00CD1917">
              <w:t>* Producing status reports and documents</w:t>
            </w:r>
          </w:p>
        </w:tc>
      </w:tr>
    </w:tbl>
    <w:p w:rsidR="00000000" w:rsidRPr="00CD1917" w:rsidP="00CD1917">
      <w:pPr>
        <w:pStyle w:val="BodyText"/>
      </w:pPr>
    </w:p>
    <w:p w:rsidR="00000000" w:rsidRPr="00CD1917" w:rsidP="00CD1917">
      <w:pPr>
        <w:pStyle w:val="AllowPageBreak"/>
      </w:pPr>
    </w:p>
    <w:p w:rsidR="00000000" w:rsidRPr="00CD1917" w:rsidP="00CD1917">
      <w:pPr>
        <w:pStyle w:val="Heading1"/>
      </w:pPr>
      <w:bookmarkStart w:id="10" w:name="O_584968"/>
      <w:bookmarkEnd w:id="10"/>
      <w:r w:rsidRPr="00CD1917">
        <w:t>Evidence Guide</w:t>
      </w:r>
    </w:p>
    <w:tbl>
      <w:tblPr>
        <w:tblW w:w="0" w:type="auto"/>
        <w:tblLayout w:type="fixed"/>
        <w:tblCellMar>
          <w:left w:w="62" w:type="dxa"/>
          <w:right w:w="62" w:type="dxa"/>
        </w:tblCellMar>
        <w:tblLook w:val="0000"/>
      </w:tblPr>
      <w:tblGrid>
        <w:gridCol w:w="2160"/>
        <w:gridCol w:w="236"/>
        <w:gridCol w:w="1148"/>
        <w:gridCol w:w="4680"/>
        <w:gridCol w:w="360"/>
      </w:tblGrid>
      <w:tr w:rsidTr="00FC367A">
        <w:tblPrEx>
          <w:tblW w:w="0" w:type="auto"/>
          <w:tblLayout w:type="fixed"/>
          <w:tblCellMar>
            <w:left w:w="62" w:type="dxa"/>
            <w:right w:w="62" w:type="dxa"/>
          </w:tblCellMar>
          <w:tblLook w:val="0000"/>
        </w:tblPrEx>
        <w:trPr>
          <w:gridAfter w:val="1"/>
          <w:wAfter w:w="360" w:type="dxa"/>
          <w:tblHeader/>
        </w:trPr>
        <w:tc>
          <w:tcPr>
            <w:tcW w:w="8224" w:type="dxa"/>
            <w:gridSpan w:val="4"/>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rPr>
                <w:rStyle w:val="SpecialBold"/>
              </w:rPr>
              <w:t>EVIDENCE GUIDE</w:t>
            </w:r>
          </w:p>
        </w:tc>
      </w:tr>
      <w:tr w:rsidTr="00FC367A">
        <w:tblPrEx>
          <w:tblW w:w="0" w:type="auto"/>
          <w:tblLayout w:type="fixed"/>
          <w:tblCellMar>
            <w:left w:w="62" w:type="dxa"/>
            <w:right w:w="62" w:type="dxa"/>
          </w:tblCellMar>
          <w:tblLook w:val="0000"/>
        </w:tblPrEx>
        <w:trPr>
          <w:gridAfter w:val="1"/>
          <w:wAfter w:w="360" w:type="dxa"/>
        </w:trPr>
        <w:tc>
          <w:tcPr>
            <w:tcW w:w="8224" w:type="dxa"/>
            <w:gridSpan w:val="4"/>
            <w:tcBorders>
              <w:top w:val="nil"/>
              <w:left w:val="nil"/>
              <w:bottom w:val="nil"/>
              <w:right w:val="nil"/>
            </w:tcBorders>
            <w:tcMar>
              <w:top w:w="0" w:type="dxa"/>
              <w:left w:w="62" w:type="dxa"/>
              <w:bottom w:w="0" w:type="dxa"/>
              <w:right w:w="62" w:type="dxa"/>
            </w:tcMar>
          </w:tcPr>
          <w:p w:rsidR="00000000" w:rsidRPr="00CD1917" w:rsidP="00CD1917">
            <w:pPr>
              <w:pStyle w:val="BodyText"/>
            </w:pPr>
            <w:r w:rsidRPr="00CD1917">
              <w:rPr>
                <w:rStyle w:val="SpecialBold"/>
              </w:rPr>
              <w:t>9</w:t>
            </w:r>
            <w:r w:rsidRPr="00CD1917">
              <w:t xml:space="preserve">) The evidence guide provides advice on assessment and must be read in conjunction with the Performance </w:t>
            </w:r>
            <w:r w:rsidRPr="00CD1917">
              <w:t>Criteria, Required Skills and Knowledge, the Range Statement and the Assessment Guidelines for this Training Package.</w:t>
            </w:r>
          </w:p>
          <w:p w:rsidR="00000000" w:rsidP="00CD1917">
            <w:pPr>
              <w:pStyle w:val="BodyText"/>
              <w:rPr>
                <w:lang w:val="en-NZ"/>
              </w:rPr>
            </w:pPr>
            <w:r w:rsidRPr="00CD1917">
              <w:t>The Evidence Guide forms an integral part of this Unit and shall be used in conjunction with all components parts of this unit and perform</w:t>
            </w:r>
            <w:r w:rsidRPr="00CD1917">
              <w:t>ed in accordance with the Assessment Guidelines of this Training Package.</w:t>
            </w:r>
          </w:p>
        </w:tc>
      </w:tr>
      <w:tr w:rsidTr="00FC367A">
        <w:tblPrEx>
          <w:tblW w:w="0" w:type="auto"/>
          <w:tblLayout w:type="fixed"/>
          <w:tblCellMar>
            <w:left w:w="62" w:type="dxa"/>
            <w:right w:w="62" w:type="dxa"/>
          </w:tblCellMar>
          <w:tblLook w:val="0000"/>
        </w:tblPrEx>
        <w:trPr>
          <w:gridAfter w:val="1"/>
          <w:wAfter w:w="360" w:type="dxa"/>
        </w:trPr>
        <w:tc>
          <w:tcPr>
            <w:tcW w:w="2160" w:type="dxa"/>
            <w:tcBorders>
              <w:top w:val="nil"/>
              <w:left w:val="nil"/>
              <w:bottom w:val="nil"/>
              <w:right w:val="nil"/>
            </w:tcBorders>
            <w:tcMar>
              <w:top w:w="0" w:type="dxa"/>
              <w:left w:w="62" w:type="dxa"/>
              <w:bottom w:w="0" w:type="dxa"/>
              <w:right w:w="62" w:type="dxa"/>
            </w:tcMar>
          </w:tcPr>
          <w:p w:rsidR="00000000" w:rsidRPr="00CD1917" w:rsidP="00CD1917">
            <w:pPr>
              <w:pStyle w:val="BodyText"/>
            </w:pPr>
            <w:r w:rsidRPr="00CD1917">
              <w:rPr>
                <w:rStyle w:val="SpecialBold"/>
              </w:rPr>
              <w:t>Overview of Assessment</w:t>
            </w:r>
          </w:p>
        </w:tc>
        <w:tc>
          <w:tcPr>
            <w:tcW w:w="6064" w:type="dxa"/>
            <w:gridSpan w:val="3"/>
            <w:tcBorders>
              <w:top w:val="nil"/>
              <w:left w:val="nil"/>
              <w:bottom w:val="nil"/>
              <w:right w:val="nil"/>
            </w:tcBorders>
            <w:tcMar>
              <w:top w:w="0" w:type="dxa"/>
              <w:left w:w="62" w:type="dxa"/>
              <w:bottom w:w="0" w:type="dxa"/>
              <w:right w:w="62" w:type="dxa"/>
            </w:tcMar>
          </w:tcPr>
          <w:p w:rsidR="00000000" w:rsidRPr="00CD1917" w:rsidP="00CD1917">
            <w:pPr>
              <w:pStyle w:val="BodyText"/>
            </w:pPr>
            <w:r w:rsidRPr="00CD1917">
              <w:rPr>
                <w:rStyle w:val="SpecialBold"/>
              </w:rPr>
              <w:t>9</w:t>
            </w:r>
            <w:r w:rsidRPr="00CD1917">
              <w:t>.</w:t>
            </w:r>
            <w:r w:rsidRPr="00CD1917">
              <w:rPr>
                <w:rStyle w:val="SpecialBold"/>
              </w:rPr>
              <w:t>1</w:t>
            </w:r>
            <w:r w:rsidRPr="00CD1917">
              <w:t xml:space="preserve">) </w:t>
            </w:r>
          </w:p>
          <w:p w:rsidR="00000000" w:rsidRPr="00CD1917" w:rsidP="00CD1917">
            <w:pPr>
              <w:pStyle w:val="BodyText"/>
            </w:pPr>
            <w:r w:rsidRPr="00CD1917">
              <w:t>Longitudinal competency development approaches to assessment, such as Profiling, require data to be reliably gathered in a form that can be consisten</w:t>
            </w:r>
            <w:r w:rsidRPr="00CD1917">
              <w:t>tly interpreted over time. This approach is best utilised in Apprenticeship programs and reduces assessment intervention. It is the industry-preferred model for apprenticeships. However, where summative (or final) assessment is used it is to include the ap</w:t>
            </w:r>
            <w:r w:rsidRPr="00CD1917">
              <w:t>plication of the competency in the normal work environment or, at a minimum, the application of the competency in a realistically simulated work environment. In some circumstances, assessment in part or full can occur outside the workplace. However, it mus</w:t>
            </w:r>
            <w:r w:rsidRPr="00CD1917">
              <w:t>t be in accordance with industry and regulatory policy.</w:t>
            </w:r>
          </w:p>
          <w:p w:rsidR="00000000" w:rsidRPr="00CD1917" w:rsidP="00CD1917">
            <w:pPr>
              <w:pStyle w:val="BodyText"/>
            </w:pPr>
            <w:r w:rsidRPr="00CD1917">
              <w:t xml:space="preserve">Methods chosen for a particular assessment will be influenced by various factors. These include the extent of the assessment, the most effective locations for the assessment activities to take place, </w:t>
            </w:r>
            <w:r w:rsidRPr="00CD1917">
              <w:t>access to physical resources, additional safety measures that may be required and the critical nature of the competencies being assessed.</w:t>
            </w:r>
          </w:p>
          <w:p w:rsidR="00000000" w:rsidRPr="00CD1917" w:rsidP="00CD1917">
            <w:pPr>
              <w:pStyle w:val="BodyText"/>
            </w:pPr>
            <w:r w:rsidRPr="00CD1917">
              <w:t>The critical safety issues inherent in working with electricity, electrical equipment, gas or any other hazardous subs</w:t>
            </w:r>
            <w:r w:rsidRPr="00CD1917">
              <w:t>tance/material present a challenge for those determining competence. Sources of evidence need to be 'rich' in nature to minimise error in judgment.</w:t>
            </w:r>
          </w:p>
          <w:p w:rsidR="00000000" w:rsidP="00CD1917">
            <w:pPr>
              <w:pStyle w:val="BodyText"/>
              <w:rPr>
                <w:lang w:val="en-NZ"/>
              </w:rPr>
            </w:pPr>
            <w:r w:rsidRPr="00CD1917">
              <w:t>Activities associated with normal everyday work influence decisions about how/how much the data gathered will contribute to its 'richness'. Some skills are more critical to safety and operational requirements while the same skills may be more or less frequ</w:t>
            </w:r>
            <w:r w:rsidRPr="00CD1917">
              <w:t>ently practised. These points are raised for the assessors to consider when choosing an assessment method and developing assessment instruments. Sample assessment instruments are included for Assessors in the Assessment Guidelines of this Training Package.</w:t>
            </w:r>
          </w:p>
        </w:tc>
      </w:tr>
      <w:tr w:rsidTr="00FC367A">
        <w:tblPrEx>
          <w:tblW w:w="0" w:type="auto"/>
          <w:tblLayout w:type="fixed"/>
          <w:tblCellMar>
            <w:left w:w="62" w:type="dxa"/>
            <w:right w:w="62" w:type="dxa"/>
          </w:tblCellMar>
          <w:tblLook w:val="0000"/>
        </w:tblPrEx>
        <w:trPr>
          <w:gridAfter w:val="1"/>
          <w:wAfter w:w="360" w:type="dxa"/>
        </w:trPr>
        <w:tc>
          <w:tcPr>
            <w:tcW w:w="2160" w:type="dxa"/>
            <w:vMerge w:val="restart"/>
            <w:tcBorders>
              <w:top w:val="nil"/>
              <w:left w:val="nil"/>
              <w:bottom w:val="nil"/>
              <w:right w:val="nil"/>
            </w:tcBorders>
            <w:tcMar>
              <w:top w:w="0" w:type="dxa"/>
              <w:left w:w="62" w:type="dxa"/>
              <w:bottom w:w="0" w:type="dxa"/>
              <w:right w:w="62" w:type="dxa"/>
            </w:tcMar>
          </w:tcPr>
          <w:p w:rsidR="00000000" w:rsidRPr="00CD1917" w:rsidP="00CD1917">
            <w:pPr>
              <w:pStyle w:val="BodyText"/>
            </w:pPr>
            <w:r w:rsidRPr="00CD1917">
              <w:rPr>
                <w:rStyle w:val="SpecialBold"/>
              </w:rPr>
              <w:t>Critical aspects of evidence required to demonstrate competency in this unit</w:t>
            </w:r>
          </w:p>
        </w:tc>
        <w:tc>
          <w:tcPr>
            <w:tcW w:w="6064" w:type="dxa"/>
            <w:gridSpan w:val="3"/>
            <w:tcBorders>
              <w:top w:val="nil"/>
              <w:left w:val="nil"/>
              <w:bottom w:val="nil"/>
              <w:right w:val="nil"/>
            </w:tcBorders>
            <w:tcMar>
              <w:top w:w="0" w:type="dxa"/>
              <w:left w:w="62" w:type="dxa"/>
              <w:bottom w:w="0" w:type="dxa"/>
              <w:right w:w="62" w:type="dxa"/>
            </w:tcMar>
          </w:tcPr>
          <w:p w:rsidR="00000000" w:rsidRPr="00CD1917" w:rsidP="00CD1917">
            <w:pPr>
              <w:pStyle w:val="BodyText"/>
            </w:pPr>
            <w:r w:rsidRPr="00CD1917">
              <w:rPr>
                <w:rStyle w:val="SpecialBold"/>
              </w:rPr>
              <w:t>9</w:t>
            </w:r>
            <w:r w:rsidRPr="00CD1917">
              <w:t>.</w:t>
            </w:r>
            <w:r w:rsidRPr="00CD1917">
              <w:rPr>
                <w:rStyle w:val="SpecialBold"/>
              </w:rPr>
              <w:t>2</w:t>
            </w:r>
            <w:r w:rsidRPr="00CD1917">
              <w:t xml:space="preserve">) </w:t>
            </w:r>
          </w:p>
          <w:p w:rsidR="00000000" w:rsidP="00CD1917">
            <w:pPr>
              <w:pStyle w:val="BodyText"/>
              <w:rPr>
                <w:lang w:val="en-NZ"/>
              </w:rPr>
            </w:pPr>
            <w:r w:rsidRPr="00CD1917">
              <w:t>Before the critical aspects of evidence are considered all prerequisites shall be met.</w:t>
            </w:r>
          </w:p>
        </w:tc>
      </w:tr>
      <w:tr w:rsidTr="00FC367A">
        <w:tblPrEx>
          <w:tblW w:w="0" w:type="auto"/>
          <w:tblLayout w:type="fixed"/>
          <w:tblCellMar>
            <w:left w:w="62" w:type="dxa"/>
            <w:right w:w="62" w:type="dxa"/>
          </w:tblCellMar>
          <w:tblLook w:val="0000"/>
        </w:tblPrEx>
        <w:trPr>
          <w:gridAfter w:val="1"/>
          <w:wAfter w:w="360" w:type="dxa"/>
        </w:trPr>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64" w:type="dxa"/>
            <w:gridSpan w:val="3"/>
            <w:tcBorders>
              <w:top w:val="nil"/>
              <w:left w:val="nil"/>
              <w:bottom w:val="nil"/>
              <w:right w:val="nil"/>
            </w:tcBorders>
            <w:tcMar>
              <w:top w:w="0" w:type="dxa"/>
              <w:left w:w="62" w:type="dxa"/>
              <w:bottom w:w="0" w:type="dxa"/>
              <w:right w:w="62" w:type="dxa"/>
            </w:tcMar>
          </w:tcPr>
          <w:p w:rsidR="00000000" w:rsidRPr="00CD1917" w:rsidP="00CD1917">
            <w:pPr>
              <w:pStyle w:val="BodyText"/>
            </w:pPr>
            <w:r w:rsidRPr="00CD1917">
              <w:t>Evidence for competence in this unit shall be considered holistically.  Each e</w:t>
            </w:r>
            <w:r w:rsidRPr="00CD1917">
              <w:t>lement and associated performance criteria shall be demonstrated on at least two occasions in accordance with the 'Assessment Guidelines - UEE07'.  Evidence shall also comprise:</w:t>
            </w:r>
          </w:p>
          <w:p w:rsidR="00000000" w:rsidP="00CD1917">
            <w:pPr>
              <w:pStyle w:val="ListBullet"/>
              <w:rPr>
                <w:lang w:val="en-NZ"/>
              </w:rPr>
            </w:pPr>
            <w:r w:rsidRPr="00CD1917">
              <w:t xml:space="preserve">A representative body of work performance demonstrated within the timeframes </w:t>
            </w:r>
            <w:r w:rsidRPr="00CD1917">
              <w:t>typically expected of the discipline, work function and industrial environment. In particular this shall incorporate evidence that shows a candidate is able to:</w:t>
            </w:r>
          </w:p>
        </w:tc>
      </w:tr>
      <w:tr w:rsidTr="00FC367A">
        <w:tblPrEx>
          <w:tblW w:w="0" w:type="auto"/>
          <w:tblLayout w:type="fixed"/>
          <w:tblCellMar>
            <w:left w:w="62" w:type="dxa"/>
            <w:right w:w="62" w:type="dxa"/>
          </w:tblCellMar>
          <w:tblLook w:val="0000"/>
        </w:tblPrEx>
        <w:trPr>
          <w:gridAfter w:val="1"/>
          <w:wAfter w:w="360" w:type="dxa"/>
        </w:trPr>
        <w:tc>
          <w:tcPr>
            <w:tcW w:w="2160" w:type="dxa"/>
            <w:tcBorders>
              <w:top w:val="nil"/>
              <w:left w:val="nil"/>
              <w:bottom w:val="nil"/>
              <w:right w:val="nil"/>
            </w:tcBorders>
            <w:tcMar>
              <w:top w:w="0" w:type="dxa"/>
              <w:left w:w="62" w:type="dxa"/>
              <w:bottom w:w="0" w:type="dxa"/>
              <w:right w:w="62" w:type="dxa"/>
            </w:tcMar>
          </w:tcPr>
          <w:p w:rsidR="00000000" w:rsidP="00CD1917">
            <w:pPr>
              <w:pStyle w:val="BodyText"/>
              <w:rPr>
                <w:lang w:val="en-NZ"/>
              </w:rPr>
            </w:pPr>
          </w:p>
        </w:tc>
        <w:tc>
          <w:tcPr>
            <w:tcW w:w="6064" w:type="dxa"/>
            <w:gridSpan w:val="3"/>
            <w:tcBorders>
              <w:top w:val="nil"/>
              <w:left w:val="nil"/>
              <w:bottom w:val="nil"/>
              <w:right w:val="nil"/>
            </w:tcBorders>
            <w:tcMar>
              <w:top w:w="0" w:type="dxa"/>
              <w:left w:w="62" w:type="dxa"/>
              <w:bottom w:w="0" w:type="dxa"/>
              <w:right w:w="62" w:type="dxa"/>
            </w:tcMar>
          </w:tcPr>
          <w:p w:rsidR="00000000" w:rsidRPr="00CD1917" w:rsidP="00CD1917">
            <w:pPr>
              <w:pStyle w:val="ListBullet2"/>
            </w:pPr>
            <w:r w:rsidRPr="00CD1917">
              <w:t xml:space="preserve">Implement Occupational Health and Safety workplace procedures and practices including </w:t>
            </w:r>
            <w:r w:rsidRPr="00CD1917">
              <w:t>the use of risk control measures as specified in the performance criteria and range statement</w:t>
            </w:r>
          </w:p>
          <w:p w:rsidR="00000000" w:rsidRPr="00CD1917" w:rsidP="00CD1917">
            <w:pPr>
              <w:pStyle w:val="ListBullet2"/>
            </w:pPr>
            <w:r w:rsidRPr="00CD1917">
              <w:t>Apply sustainable energy principles and practices as specified in the performance criteria and range statement</w:t>
            </w:r>
          </w:p>
          <w:p w:rsidR="00000000" w:rsidRPr="00CD1917" w:rsidP="00CD1917">
            <w:pPr>
              <w:pStyle w:val="ListBullet2"/>
            </w:pPr>
            <w:r w:rsidRPr="00CD1917">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CD1917" w:rsidP="00CD1917">
            <w:pPr>
              <w:pStyle w:val="ListBullet2"/>
            </w:pPr>
            <w:r w:rsidRPr="00CD1917">
              <w:t>Demonst</w:t>
            </w:r>
            <w:r w:rsidRPr="00CD1917">
              <w:t>rate an appropriate level of skills enabling employment</w:t>
            </w:r>
          </w:p>
          <w:p w:rsidR="00000000" w:rsidP="00CD1917">
            <w:pPr>
              <w:pStyle w:val="ListBullet2"/>
              <w:rPr>
                <w:lang w:val="en-NZ"/>
              </w:rPr>
            </w:pPr>
            <w:r w:rsidRPr="00CD1917">
              <w:t>Conduct work observing the relevant Anti Discrimination legislation, regulations, polices and workplace procedures</w:t>
            </w:r>
          </w:p>
        </w:tc>
      </w:tr>
      <w:tr w:rsidTr="00FC367A">
        <w:tblPrEx>
          <w:tblW w:w="0" w:type="auto"/>
          <w:tblLayout w:type="fixed"/>
          <w:tblCellMar>
            <w:left w:w="62" w:type="dxa"/>
            <w:right w:w="62" w:type="dxa"/>
          </w:tblCellMar>
          <w:tblLook w:val="0000"/>
        </w:tblPrEx>
        <w:trPr>
          <w:gridAfter w:val="1"/>
          <w:wAfter w:w="360" w:type="dxa"/>
        </w:trPr>
        <w:tc>
          <w:tcPr>
            <w:tcW w:w="2160" w:type="dxa"/>
            <w:tcBorders>
              <w:top w:val="nil"/>
              <w:left w:val="nil"/>
              <w:bottom w:val="nil"/>
              <w:right w:val="nil"/>
            </w:tcBorders>
            <w:tcMar>
              <w:top w:w="0" w:type="dxa"/>
              <w:left w:w="62" w:type="dxa"/>
              <w:bottom w:w="0" w:type="dxa"/>
              <w:right w:w="62" w:type="dxa"/>
            </w:tcMar>
          </w:tcPr>
          <w:p w:rsidR="00000000" w:rsidP="00CD1917">
            <w:pPr>
              <w:pStyle w:val="BodyText"/>
              <w:rPr>
                <w:lang w:val="en-NZ"/>
              </w:rPr>
            </w:pPr>
          </w:p>
        </w:tc>
        <w:tc>
          <w:tcPr>
            <w:tcW w:w="6064" w:type="dxa"/>
            <w:gridSpan w:val="3"/>
            <w:tcBorders>
              <w:top w:val="nil"/>
              <w:left w:val="nil"/>
              <w:bottom w:val="nil"/>
              <w:right w:val="nil"/>
            </w:tcBorders>
            <w:tcMar>
              <w:top w:w="0" w:type="dxa"/>
              <w:left w:w="62" w:type="dxa"/>
              <w:bottom w:w="0" w:type="dxa"/>
              <w:right w:w="62" w:type="dxa"/>
            </w:tcMar>
          </w:tcPr>
          <w:p w:rsidR="00000000" w:rsidP="00CD1917">
            <w:pPr>
              <w:pStyle w:val="ListBullet"/>
              <w:rPr>
                <w:lang w:val="en-NZ"/>
              </w:rPr>
            </w:pPr>
            <w:r w:rsidRPr="00CD1917">
              <w:t>Demonstrated consistent performance across a representative range of contexts fr</w:t>
            </w:r>
            <w:r w:rsidRPr="00CD1917">
              <w:t>om the prescribed items below:</w:t>
            </w:r>
          </w:p>
        </w:tc>
      </w:tr>
      <w:tr w:rsidTr="00FC367A">
        <w:tblPrEx>
          <w:tblW w:w="0" w:type="auto"/>
          <w:tblLayout w:type="fixed"/>
          <w:tblCellMar>
            <w:left w:w="62" w:type="dxa"/>
            <w:right w:w="62" w:type="dxa"/>
          </w:tblCellMar>
          <w:tblLook w:val="0000"/>
        </w:tblPrEx>
        <w:trPr>
          <w:gridAfter w:val="1"/>
          <w:wAfter w:w="360" w:type="dxa"/>
        </w:trPr>
        <w:tc>
          <w:tcPr>
            <w:tcW w:w="2160" w:type="dxa"/>
            <w:tcBorders>
              <w:top w:val="nil"/>
              <w:left w:val="nil"/>
              <w:bottom w:val="nil"/>
              <w:right w:val="nil"/>
            </w:tcBorders>
            <w:tcMar>
              <w:top w:w="0" w:type="dxa"/>
              <w:left w:w="62" w:type="dxa"/>
              <w:bottom w:w="0" w:type="dxa"/>
              <w:right w:w="62" w:type="dxa"/>
            </w:tcMar>
          </w:tcPr>
          <w:p w:rsidR="00000000" w:rsidP="00CD1917">
            <w:pPr>
              <w:pStyle w:val="BodyText"/>
              <w:rPr>
                <w:lang w:val="en-NZ"/>
              </w:rPr>
            </w:pPr>
          </w:p>
        </w:tc>
        <w:tc>
          <w:tcPr>
            <w:tcW w:w="6064" w:type="dxa"/>
            <w:gridSpan w:val="3"/>
            <w:tcBorders>
              <w:top w:val="nil"/>
              <w:left w:val="nil"/>
              <w:bottom w:val="nil"/>
              <w:right w:val="nil"/>
            </w:tcBorders>
            <w:tcMar>
              <w:top w:w="0" w:type="dxa"/>
              <w:left w:w="62" w:type="dxa"/>
              <w:bottom w:w="0" w:type="dxa"/>
              <w:right w:w="62" w:type="dxa"/>
            </w:tcMar>
          </w:tcPr>
          <w:p w:rsidR="00000000" w:rsidP="00CD1917">
            <w:pPr>
              <w:pStyle w:val="ListBullet2"/>
              <w:rPr>
                <w:lang w:val="en-NZ"/>
              </w:rPr>
            </w:pPr>
            <w:r w:rsidRPr="00CD1917">
              <w:t>Attach cords and plugs to electrical equipment for connection to a single phase 230 Volt supply as described in 8) and including:</w:t>
            </w:r>
          </w:p>
        </w:tc>
      </w:tr>
      <w:tr w:rsidTr="00FC36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8" w:type="dxa"/>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A</w:t>
            </w:r>
          </w:p>
        </w:tc>
        <w:tc>
          <w:tcPr>
            <w:tcW w:w="5040" w:type="dxa"/>
            <w:gridSpan w:val="2"/>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Demonstrating consistent performance for each element of the unit</w:t>
            </w:r>
          </w:p>
        </w:tc>
      </w:tr>
      <w:tr w:rsidTr="00FC36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8" w:type="dxa"/>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B</w:t>
            </w:r>
          </w:p>
        </w:tc>
        <w:tc>
          <w:tcPr>
            <w:tcW w:w="5040" w:type="dxa"/>
            <w:gridSpan w:val="2"/>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Meeting the performance criteria associated with each element of competence by employing the techniques, procedures, information and resources available in the workplace</w:t>
            </w:r>
          </w:p>
        </w:tc>
      </w:tr>
      <w:tr w:rsidTr="00FC36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8" w:type="dxa"/>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C</w:t>
            </w:r>
          </w:p>
        </w:tc>
        <w:tc>
          <w:tcPr>
            <w:tcW w:w="5040" w:type="dxa"/>
            <w:gridSpan w:val="2"/>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xml:space="preserve">Demonstrating an understanding of the underpinning knowledge and skills shown in </w:t>
            </w:r>
            <w:r w:rsidRPr="00CD1917">
              <w:t>the Essential Knowledge and Associated Skills section of the unit</w:t>
            </w:r>
          </w:p>
        </w:tc>
      </w:tr>
      <w:tr w:rsidTr="00FC36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8" w:type="dxa"/>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D</w:t>
            </w:r>
          </w:p>
        </w:tc>
        <w:tc>
          <w:tcPr>
            <w:tcW w:w="5040" w:type="dxa"/>
            <w:gridSpan w:val="2"/>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Planning and preparing to attach flexible cord(s) and plug(s) up to 230 V a.c</w:t>
            </w:r>
          </w:p>
        </w:tc>
      </w:tr>
      <w:tr w:rsidTr="00FC36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8" w:type="dxa"/>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E</w:t>
            </w:r>
          </w:p>
        </w:tc>
        <w:tc>
          <w:tcPr>
            <w:tcW w:w="5040" w:type="dxa"/>
            <w:gridSpan w:val="2"/>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Attaching, replacing and repairing flexible cord(s) and plugs(s) to equipment, safely up to 230 V a.c</w:t>
            </w:r>
          </w:p>
        </w:tc>
      </w:tr>
      <w:tr w:rsidTr="00FC36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8" w:type="dxa"/>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F</w:t>
            </w:r>
          </w:p>
        </w:tc>
        <w:tc>
          <w:tcPr>
            <w:tcW w:w="5040" w:type="dxa"/>
            <w:gridSpan w:val="2"/>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Testing flexible cord(s), plugs(s) and connected equipment for operation and safety up to 230 V a.c., including polarity and continuity testing</w:t>
            </w:r>
          </w:p>
        </w:tc>
      </w:tr>
      <w:tr w:rsidTr="00FC36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8" w:type="dxa"/>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G</w:t>
            </w:r>
          </w:p>
        </w:tc>
        <w:tc>
          <w:tcPr>
            <w:tcW w:w="5040" w:type="dxa"/>
            <w:gridSpan w:val="2"/>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Finding and repairing fault(s) in attached flexible cord(s) and plug(s) i</w:t>
            </w:r>
            <w:r w:rsidRPr="00CD1917">
              <w:t>n accordance with established procedures</w:t>
            </w:r>
          </w:p>
        </w:tc>
      </w:tr>
      <w:tr w:rsidTr="00FC36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8" w:type="dxa"/>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H</w:t>
            </w:r>
          </w:p>
        </w:tc>
        <w:tc>
          <w:tcPr>
            <w:tcW w:w="5040" w:type="dxa"/>
            <w:gridSpan w:val="2"/>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Providing status report(s)</w:t>
            </w:r>
          </w:p>
        </w:tc>
      </w:tr>
      <w:tr w:rsidTr="00FC36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8" w:type="dxa"/>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I</w:t>
            </w:r>
          </w:p>
        </w:tc>
        <w:tc>
          <w:tcPr>
            <w:tcW w:w="5040" w:type="dxa"/>
            <w:gridSpan w:val="2"/>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Dealing with unplanned events by drawing on essential knowledge and skills to provide appropriate solutions incorporated in a holistic assessment with the above listed items</w:t>
            </w:r>
          </w:p>
        </w:tc>
      </w:tr>
      <w:tr w:rsidTr="00FC36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4" w:type="dxa"/>
            <w:gridSpan w:val="4"/>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No</w:t>
            </w:r>
            <w:r w:rsidRPr="00CD1917">
              <w:t>te:</w:t>
            </w:r>
            <w:r w:rsidRPr="00CD1917">
              <w:br/>
              <w:t>Successful completion of relevant vendor training may be used to contribute to evidence on which competency is deemed. In these cases the alignment of outcomes of vendor training with performance criteria and critical aspects of evidence shall be clear</w:t>
            </w:r>
            <w:r w:rsidRPr="00CD1917">
              <w:t>ly identified</w:t>
            </w:r>
          </w:p>
        </w:tc>
      </w:tr>
      <w:tr w:rsidTr="00FC36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D1917" w:rsidP="00CD1917">
            <w:pPr>
              <w:pStyle w:val="BodyText"/>
            </w:pPr>
            <w:r w:rsidRPr="00CD1917">
              <w:rPr>
                <w:rStyle w:val="SpecialBold"/>
              </w:rPr>
              <w:t>Context of and specific resources for assessment</w:t>
            </w:r>
          </w:p>
        </w:tc>
        <w:tc>
          <w:tcPr>
            <w:tcW w:w="6424" w:type="dxa"/>
            <w:gridSpan w:val="4"/>
            <w:tcBorders>
              <w:top w:val="nil"/>
              <w:left w:val="nil"/>
              <w:bottom w:val="nil"/>
              <w:right w:val="nil"/>
            </w:tcBorders>
            <w:tcMar>
              <w:top w:w="0" w:type="dxa"/>
              <w:left w:w="62" w:type="dxa"/>
              <w:bottom w:w="0" w:type="dxa"/>
              <w:right w:w="62" w:type="dxa"/>
            </w:tcMar>
          </w:tcPr>
          <w:p w:rsidR="00000000" w:rsidRPr="00CD1917" w:rsidP="00CD1917">
            <w:pPr>
              <w:pStyle w:val="BodyText"/>
            </w:pPr>
            <w:r w:rsidRPr="00CD1917">
              <w:rPr>
                <w:rStyle w:val="SpecialBold"/>
              </w:rPr>
              <w:t>9</w:t>
            </w:r>
            <w:r w:rsidRPr="00CD1917">
              <w:t>.</w:t>
            </w:r>
            <w:r w:rsidRPr="00CD1917">
              <w:rPr>
                <w:rStyle w:val="SpecialBold"/>
              </w:rPr>
              <w:t>3</w:t>
            </w:r>
            <w:r w:rsidRPr="00CD1917">
              <w:t xml:space="preserve">) </w:t>
            </w:r>
          </w:p>
          <w:p w:rsidR="00000000" w:rsidRPr="00CD1917" w:rsidP="00CD1917">
            <w:pPr>
              <w:pStyle w:val="BodyText"/>
            </w:pPr>
            <w:r w:rsidRPr="00CD1917">
              <w:t>This unit should be assessed as it relates to normal work practice using procedures, information and resources typical of a workplace. This should include:</w:t>
            </w:r>
          </w:p>
          <w:p w:rsidR="00000000" w:rsidRPr="00CD1917" w:rsidP="00CD1917">
            <w:pPr>
              <w:pStyle w:val="ListBullet"/>
            </w:pPr>
            <w:r w:rsidRPr="00CD1917">
              <w:t>OHS policy and work procedures and instructions.</w:t>
            </w:r>
          </w:p>
          <w:p w:rsidR="00000000" w:rsidRPr="00CD1917" w:rsidP="00CD1917">
            <w:pPr>
              <w:pStyle w:val="ListBullet"/>
            </w:pPr>
            <w:r w:rsidRPr="00CD1917">
              <w:t>Suitable work environment, facilities, equipment and materials to undertake actual work as prescribed by this unit.</w:t>
            </w:r>
          </w:p>
          <w:p w:rsidR="00000000" w:rsidRPr="00CD1917" w:rsidP="00CD1917">
            <w:pPr>
              <w:pStyle w:val="ListBullet"/>
            </w:pPr>
            <w:r w:rsidRPr="00CD1917">
              <w:t>Workplace evidence to be produced in an industry/regulator approved recording system (logbo</w:t>
            </w:r>
            <w:r w:rsidRPr="00CD1917">
              <w:t>ok) confirming skills development under appropriate supervision</w:t>
            </w:r>
          </w:p>
          <w:p w:rsidR="00000000" w:rsidRPr="00CD1917" w:rsidP="00CD1917">
            <w:pPr>
              <w:pStyle w:val="BodyText"/>
            </w:pPr>
            <w:r w:rsidRPr="00CD1917">
              <w:t>These should be part of the formal learning/assessment environment.</w:t>
            </w:r>
          </w:p>
          <w:p w:rsidR="00000000" w:rsidRPr="00CD1917" w:rsidP="00CD1917">
            <w:pPr>
              <w:pStyle w:val="BodyText"/>
            </w:pPr>
            <w:r w:rsidRPr="00CD1917">
              <w:t>Note:</w:t>
            </w:r>
          </w:p>
          <w:p w:rsidR="00000000" w:rsidP="00CD1917">
            <w:pPr>
              <w:pStyle w:val="BodyText"/>
              <w:rPr>
                <w:lang w:val="en-NZ"/>
              </w:rPr>
            </w:pPr>
            <w:r w:rsidRPr="00CD1917">
              <w:t>Where simulation is considered a suitable strategy for assessment, conditions must be authentic and as far as possible</w:t>
            </w:r>
            <w:r w:rsidRPr="00CD1917">
              <w:t xml:space="preserve"> reproduce and replicate the workplace and be consistent with the approved industry simulation policy.</w:t>
            </w:r>
          </w:p>
        </w:tc>
      </w:tr>
      <w:tr w:rsidTr="00FC36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4" w:type="dxa"/>
            <w:gridSpan w:val="4"/>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 xml:space="preserve">The resources used for assessment should reflect current industry practices in relation to attaching cords and plugs to electrical equipment </w:t>
            </w:r>
            <w:r w:rsidRPr="00CD1917">
              <w:t>for connection to a single phase 230 Volt supply.</w:t>
            </w:r>
          </w:p>
        </w:tc>
      </w:tr>
      <w:tr w:rsidTr="00FC36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D1917" w:rsidP="00CD1917">
            <w:pPr>
              <w:pStyle w:val="BodyText"/>
            </w:pPr>
            <w:r w:rsidRPr="00CD1917">
              <w:rPr>
                <w:rStyle w:val="SpecialBold"/>
              </w:rPr>
              <w:t>Method of assessment</w:t>
            </w:r>
          </w:p>
        </w:tc>
        <w:tc>
          <w:tcPr>
            <w:tcW w:w="6424" w:type="dxa"/>
            <w:gridSpan w:val="4"/>
            <w:tcBorders>
              <w:top w:val="nil"/>
              <w:left w:val="nil"/>
              <w:bottom w:val="nil"/>
              <w:right w:val="nil"/>
            </w:tcBorders>
            <w:tcMar>
              <w:top w:w="0" w:type="dxa"/>
              <w:left w:w="62" w:type="dxa"/>
              <w:bottom w:w="0" w:type="dxa"/>
              <w:right w:w="62" w:type="dxa"/>
            </w:tcMar>
          </w:tcPr>
          <w:p w:rsidR="00000000" w:rsidRPr="00CD1917" w:rsidP="00CD1917">
            <w:pPr>
              <w:pStyle w:val="BodyText"/>
            </w:pPr>
            <w:r w:rsidRPr="00CD1917">
              <w:rPr>
                <w:rStyle w:val="SpecialBold"/>
              </w:rPr>
              <w:t>9</w:t>
            </w:r>
            <w:r w:rsidRPr="00CD1917">
              <w:t>.</w:t>
            </w:r>
            <w:r w:rsidRPr="00CD1917">
              <w:rPr>
                <w:rStyle w:val="SpecialBold"/>
              </w:rPr>
              <w:t>4</w:t>
            </w:r>
            <w:r w:rsidRPr="00CD1917">
              <w:t xml:space="preserve">) </w:t>
            </w:r>
          </w:p>
          <w:p w:rsidR="00000000" w:rsidRPr="00CD1917" w:rsidP="00CD1917">
            <w:pPr>
              <w:pStyle w:val="BodyText"/>
            </w:pPr>
            <w:r w:rsidRPr="00CD1917">
              <w:t>This unit shall be assessed by methods given in Volume 1, Part 3 'Assessment Guidelines'.</w:t>
            </w:r>
          </w:p>
          <w:p w:rsidR="00000000" w:rsidP="00CD1917">
            <w:pPr>
              <w:pStyle w:val="BodyText"/>
              <w:rPr>
                <w:lang w:val="en-NZ"/>
              </w:rPr>
            </w:pPr>
            <w:r w:rsidRPr="00CD1917">
              <w:t>Note:</w:t>
            </w:r>
            <w:r w:rsidRPr="00CD1917">
              <w:br/>
              <w:t>Competent performance with inherent safe working practices is expected in the In</w:t>
            </w:r>
            <w:r w:rsidRPr="00CD1917">
              <w:t>dustry to which this unit applies. This requires assessment in a structured environment which is intended primarily for learning/assessment and incorporates all necessary equipment and facilities for learners to develop and demonstrate the essential knowle</w:t>
            </w:r>
            <w:r w:rsidRPr="00CD1917">
              <w:t>dge and skills described in this unit.</w:t>
            </w:r>
          </w:p>
        </w:tc>
      </w:tr>
      <w:tr w:rsidTr="00FC367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D1917" w:rsidP="00CD1917">
            <w:pPr>
              <w:pStyle w:val="BodyText"/>
            </w:pPr>
            <w:r w:rsidRPr="00CD1917">
              <w:rPr>
                <w:rStyle w:val="SpecialBold"/>
              </w:rPr>
              <w:t>Concurrent assessment and relationship with other units</w:t>
            </w:r>
          </w:p>
        </w:tc>
        <w:tc>
          <w:tcPr>
            <w:tcW w:w="6424" w:type="dxa"/>
            <w:gridSpan w:val="4"/>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rPr>
                <w:rStyle w:val="SpecialBold"/>
              </w:rPr>
              <w:t>9</w:t>
            </w:r>
            <w:r w:rsidRPr="00CD1917">
              <w:t>.</w:t>
            </w:r>
            <w:r w:rsidRPr="00CD1917">
              <w:rPr>
                <w:rStyle w:val="SpecialBold"/>
              </w:rPr>
              <w:t>5</w:t>
            </w:r>
            <w:r w:rsidRPr="00CD1917">
              <w:t>)</w:t>
            </w:r>
          </w:p>
        </w:tc>
      </w:tr>
      <w:tr w:rsidTr="00FC367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4" w:type="dxa"/>
            <w:gridSpan w:val="4"/>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There are no concurrent assessment recommendations for this unit</w:t>
            </w:r>
          </w:p>
        </w:tc>
      </w:tr>
      <w:tr w:rsidTr="00FC367A">
        <w:tblPrEx>
          <w:tblW w:w="0" w:type="auto"/>
          <w:tblLayout w:type="fixed"/>
          <w:tblCellMar>
            <w:left w:w="62" w:type="dxa"/>
            <w:right w:w="62" w:type="dxa"/>
          </w:tblCellMar>
          <w:tblLook w:val="0000"/>
        </w:tblPrEx>
        <w:trPr>
          <w:gridAfter w:val="1"/>
          <w:wAfter w:w="360" w:type="dxa"/>
        </w:trPr>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CD1917" w:rsidP="00CD1917">
            <w:pPr>
              <w:pStyle w:val="BodyText"/>
            </w:pPr>
          </w:p>
        </w:tc>
      </w:tr>
    </w:tbl>
    <w:p w:rsidR="00FC367A" w:rsidP="00CD1917">
      <w:pPr>
        <w:pStyle w:val="BodyText"/>
      </w:pPr>
    </w:p>
    <w:p w:rsidR="00FC367A" w:rsidP="00CD1917">
      <w:pPr>
        <w:pStyle w:val="BodyText"/>
      </w:pPr>
    </w:p>
    <w:p w:rsidR="00000000" w:rsidRPr="00CD1917" w:rsidP="00CD1917">
      <w:pPr>
        <w:pStyle w:val="Heading1"/>
      </w:pPr>
      <w:bookmarkStart w:id="11" w:name="O_584967"/>
      <w:bookmarkEnd w:id="11"/>
      <w:r w:rsidRPr="00CD1917">
        <w:t>Range Statement</w:t>
      </w:r>
    </w:p>
    <w:tbl>
      <w:tblPr>
        <w:tblW w:w="0" w:type="auto"/>
        <w:tblLayout w:type="fixed"/>
        <w:tblCellMar>
          <w:left w:w="62" w:type="dxa"/>
          <w:right w:w="62" w:type="dxa"/>
        </w:tblCellMar>
        <w:tblLook w:val="0000"/>
      </w:tblPr>
      <w:tblGrid>
        <w:gridCol w:w="8584"/>
      </w:tblGrid>
      <w:tr w:rsidTr="00FC367A">
        <w:tblPrEx>
          <w:tblW w:w="0" w:type="auto"/>
          <w:tblLayout w:type="fixed"/>
          <w:tblCellMar>
            <w:left w:w="62" w:type="dxa"/>
            <w:right w:w="62" w:type="dxa"/>
          </w:tblCellMar>
          <w:tblLook w:val="0000"/>
        </w:tblPrEx>
        <w:trPr>
          <w:tblHeader/>
        </w:trPr>
        <w:tc>
          <w:tcPr>
            <w:tcW w:w="8584" w:type="dxa"/>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rPr>
                <w:rStyle w:val="SpecialBold"/>
              </w:rPr>
              <w:t>RANGE STATEMENT</w:t>
            </w:r>
          </w:p>
        </w:tc>
      </w:tr>
      <w:tr w:rsidTr="00FC367A">
        <w:tblPrEx>
          <w:tblW w:w="0" w:type="auto"/>
          <w:tblLayout w:type="fixed"/>
          <w:tblCellMar>
            <w:left w:w="62" w:type="dxa"/>
            <w:right w:w="62" w:type="dxa"/>
          </w:tblCellMar>
          <w:tblLook w:val="0000"/>
        </w:tblPrEx>
        <w:tc>
          <w:tcPr>
            <w:tcW w:w="8584" w:type="dxa"/>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rPr>
                <w:rStyle w:val="SpecialBold"/>
              </w:rPr>
              <w:t>8</w:t>
            </w:r>
            <w:r w:rsidRPr="00CD1917">
              <w:t>) This relates to the unit as a whole providing the range of contexts and conditions to which the performance criteria apply. It allows for different work environments and situations that will affect performance.</w:t>
            </w:r>
          </w:p>
        </w:tc>
      </w:tr>
      <w:tr w:rsidTr="00FC367A">
        <w:tblPrEx>
          <w:tblW w:w="0" w:type="auto"/>
          <w:tblLayout w:type="fixed"/>
          <w:tblCellMar>
            <w:left w:w="62" w:type="dxa"/>
            <w:right w:w="62" w:type="dxa"/>
          </w:tblCellMar>
          <w:tblLook w:val="0000"/>
        </w:tblPrEx>
        <w:tc>
          <w:tcPr>
            <w:tcW w:w="8584" w:type="dxa"/>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This unit shall be demonstrated in relation to any cord, cable and plug connected equipment or cord extension leads intended for single-phase supplies up to 230 V.</w:t>
            </w:r>
          </w:p>
        </w:tc>
      </w:tr>
      <w:tr w:rsidTr="00FC367A">
        <w:tblPrEx>
          <w:tblW w:w="0" w:type="auto"/>
          <w:tblLayout w:type="fixed"/>
          <w:tblCellMar>
            <w:left w:w="62" w:type="dxa"/>
            <w:right w:w="62" w:type="dxa"/>
          </w:tblCellMar>
          <w:tblLook w:val="0000"/>
        </w:tblPrEx>
        <w:tc>
          <w:tcPr>
            <w:tcW w:w="8584" w:type="dxa"/>
            <w:tcBorders>
              <w:top w:val="nil"/>
              <w:left w:val="nil"/>
              <w:bottom w:val="nil"/>
              <w:right w:val="nil"/>
            </w:tcBorders>
            <w:tcMar>
              <w:top w:w="0" w:type="dxa"/>
              <w:left w:w="62" w:type="dxa"/>
              <w:bottom w:w="0" w:type="dxa"/>
              <w:right w:w="62" w:type="dxa"/>
            </w:tcMar>
          </w:tcPr>
          <w:p w:rsidR="00000000" w:rsidRPr="00CD1917" w:rsidP="00CD1917">
            <w:pPr>
              <w:pStyle w:val="BodyText"/>
            </w:pPr>
            <w:r w:rsidRPr="00CD1917">
              <w:t>Note:</w:t>
            </w:r>
          </w:p>
          <w:p w:rsidR="00000000" w:rsidRPr="00CD1917" w:rsidP="00CD1917">
            <w:pPr>
              <w:pStyle w:val="BodyText"/>
            </w:pPr>
            <w:r w:rsidRPr="00CD1917">
              <w:t>Limitations of this unit.  This unit does not cover the knowledge and skills necessar</w:t>
            </w:r>
            <w:r w:rsidRPr="00CD1917">
              <w:t>y for work:</w:t>
            </w:r>
          </w:p>
          <w:p w:rsidR="00000000" w:rsidRPr="00CD1917" w:rsidP="00CD1917">
            <w:pPr>
              <w:pStyle w:val="BodyText"/>
            </w:pPr>
            <w:r w:rsidRPr="00CD1917">
              <w:t>a)</w:t>
            </w:r>
            <w:r w:rsidRPr="00CD1917">
              <w:tab/>
              <w:t>Competencies associated with high current faults</w:t>
            </w:r>
          </w:p>
          <w:p w:rsidR="00000000" w:rsidRPr="00CD1917" w:rsidP="00CD1917">
            <w:pPr>
              <w:pStyle w:val="BodyText"/>
            </w:pPr>
            <w:r w:rsidRPr="00CD1917">
              <w:t>b)</w:t>
            </w:r>
            <w:r w:rsidRPr="00CD1917">
              <w:tab/>
              <w:t>On complex electrical apparatus, circuits and electrical work</w:t>
            </w:r>
          </w:p>
          <w:p w:rsidR="00000000" w:rsidRPr="00CD1917" w:rsidP="00CD1917">
            <w:pPr>
              <w:pStyle w:val="BodyText"/>
            </w:pPr>
            <w:r w:rsidRPr="00CD1917">
              <w:t>c)</w:t>
            </w:r>
            <w:r w:rsidRPr="00CD1917">
              <w:tab/>
              <w:t>In hazardous areas or on electrical equipment that is part of an explosion protection technique</w:t>
            </w:r>
          </w:p>
          <w:p w:rsidR="00000000" w:rsidP="00CD1917">
            <w:pPr>
              <w:pStyle w:val="BodyText"/>
              <w:rPr>
                <w:lang w:val="en-NZ"/>
              </w:rPr>
            </w:pPr>
            <w:r w:rsidRPr="00CD1917">
              <w:t>d)</w:t>
            </w:r>
            <w:r w:rsidRPr="00CD1917">
              <w:tab/>
              <w:t>Nor competencies associat</w:t>
            </w:r>
            <w:r w:rsidRPr="00CD1917">
              <w:t>ed with fixed wiring.</w:t>
            </w:r>
          </w:p>
        </w:tc>
      </w:tr>
      <w:tr w:rsidTr="00FC367A">
        <w:tblPrEx>
          <w:tblW w:w="0" w:type="auto"/>
          <w:tblLayout w:type="fixed"/>
          <w:tblCellMar>
            <w:left w:w="62" w:type="dxa"/>
            <w:right w:w="62" w:type="dxa"/>
          </w:tblCellMar>
          <w:tblLook w:val="0000"/>
        </w:tblPrEx>
        <w:tc>
          <w:tcPr>
            <w:tcW w:w="8584" w:type="dxa"/>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Safe Working. Safe procedures for working within in the scope of this unit shall be in accordance with AS/NZS 4836:2001 'Safe working on low-voltage electrical installations.'</w:t>
            </w:r>
          </w:p>
        </w:tc>
      </w:tr>
      <w:tr w:rsidTr="00FC367A">
        <w:tblPrEx>
          <w:tblW w:w="0" w:type="auto"/>
          <w:tblLayout w:type="fixed"/>
          <w:tblCellMar>
            <w:left w:w="62" w:type="dxa"/>
            <w:right w:w="62" w:type="dxa"/>
          </w:tblCellMar>
          <w:tblLook w:val="0000"/>
        </w:tblPrEx>
        <w:tc>
          <w:tcPr>
            <w:tcW w:w="8584" w:type="dxa"/>
            <w:tcBorders>
              <w:top w:val="nil"/>
              <w:left w:val="nil"/>
              <w:bottom w:val="nil"/>
              <w:right w:val="nil"/>
            </w:tcBorders>
            <w:tcMar>
              <w:top w:w="0" w:type="dxa"/>
              <w:left w:w="62" w:type="dxa"/>
              <w:bottom w:w="0" w:type="dxa"/>
              <w:right w:w="62" w:type="dxa"/>
            </w:tcMar>
          </w:tcPr>
          <w:p w:rsidR="00000000" w:rsidRPr="00CD1917" w:rsidP="00CD1917">
            <w:pPr>
              <w:pStyle w:val="BodyText"/>
            </w:pPr>
            <w:r w:rsidRPr="00CD1917">
              <w:t>Generic terms used throughout this Vocational Standard s</w:t>
            </w:r>
            <w:r w:rsidRPr="00CD1917">
              <w:t>hall be regarded as part of the Range Statement in which competency is demonstrated. The definition of these and other terms that apply are given in Volume 2, Part 2.1.</w:t>
            </w:r>
          </w:p>
        </w:tc>
      </w:tr>
    </w:tbl>
    <w:p w:rsidR="00FC367A" w:rsidP="00CD1917">
      <w:pPr>
        <w:pStyle w:val="BodyText"/>
      </w:pPr>
    </w:p>
    <w:p w:rsidR="00FC367A" w:rsidP="00CD1917">
      <w:pPr>
        <w:pStyle w:val="BodyText"/>
      </w:pPr>
    </w:p>
    <w:p w:rsidR="00000000" w:rsidRPr="00CD1917" w:rsidP="00CD1917">
      <w:pPr>
        <w:pStyle w:val="Heading1"/>
      </w:pPr>
      <w:bookmarkStart w:id="12" w:name="O_584966"/>
      <w:bookmarkEnd w:id="12"/>
      <w:r w:rsidRPr="00CD1917">
        <w:t>Unit Sector(s)</w:t>
      </w:r>
    </w:p>
    <w:p w:rsidR="00000000" w:rsidRPr="00CD1917" w:rsidP="00CD1917">
      <w:pPr>
        <w:pStyle w:val="BodyText"/>
      </w:pPr>
      <w:r w:rsidRPr="00CD1917">
        <w:t>Not Applicable</w:t>
      </w:r>
    </w:p>
    <w:p w:rsidR="00000000" w:rsidRPr="00CD1917" w:rsidP="00CD1917">
      <w:pPr>
        <w:pStyle w:val="AllowPageBreak"/>
      </w:pPr>
    </w:p>
    <w:p w:rsidR="00000000" w:rsidRPr="00CD1917" w:rsidP="00CD1917">
      <w:pPr>
        <w:pStyle w:val="Heading1"/>
      </w:pPr>
      <w:bookmarkStart w:id="13" w:name="O_584965"/>
      <w:bookmarkEnd w:id="13"/>
      <w:r w:rsidRPr="00CD1917">
        <w:t>Custom Content Secti</w:t>
      </w:r>
      <w:r w:rsidRPr="00CD1917">
        <w:t>on</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FC367A">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CD1917" w:rsidP="00CD1917">
            <w:pPr>
              <w:pStyle w:val="BodyText"/>
            </w:pPr>
            <w:r w:rsidRPr="00CD1917">
              <w:rPr>
                <w:rStyle w:val="SpecialBold"/>
              </w:rPr>
              <w:t>2</w:t>
            </w:r>
            <w:r w:rsidRPr="00CD1917">
              <w:t>.</w:t>
            </w:r>
            <w:r w:rsidRPr="00CD1917">
              <w:rPr>
                <w:rStyle w:val="SpecialBold"/>
              </w:rPr>
              <w:t>2</w:t>
            </w:r>
            <w:r w:rsidRPr="00CD1917">
              <w:t xml:space="preserve">) </w:t>
            </w:r>
            <w:r w:rsidRPr="00CD1917">
              <w:rPr>
                <w:rStyle w:val="SpecialBold"/>
              </w:rPr>
              <w:t>Literacy and numeracy skills</w:t>
            </w:r>
          </w:p>
          <w:p w:rsidR="00000000" w:rsidP="00CD1917">
            <w:pPr>
              <w:pStyle w:val="BodyText"/>
              <w:rPr>
                <w:lang w:val="en-NZ"/>
              </w:rPr>
            </w:pPr>
            <w:r w:rsidRPr="00CD1917">
              <w:t>Participants are best equipped to achieve this unit if they have reading, writing and numeracy skills indicated by the following scales. Description of each scale is given in Volume 2, Part 3 'Literacy and Numeracy'</w:t>
            </w:r>
          </w:p>
        </w:tc>
      </w:tr>
      <w:tr w:rsidTr="00FC367A">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Reading</w:t>
            </w:r>
          </w:p>
        </w:tc>
        <w:tc>
          <w:tcPr>
            <w:tcW w:w="1182" w:type="dxa"/>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3</w:t>
            </w:r>
          </w:p>
        </w:tc>
        <w:tc>
          <w:tcPr>
            <w:tcW w:w="1739" w:type="dxa"/>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Writing</w:t>
            </w:r>
          </w:p>
        </w:tc>
        <w:tc>
          <w:tcPr>
            <w:tcW w:w="1182" w:type="dxa"/>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3</w:t>
            </w:r>
          </w:p>
        </w:tc>
        <w:tc>
          <w:tcPr>
            <w:tcW w:w="1721" w:type="dxa"/>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t>Numeracy</w:t>
            </w:r>
          </w:p>
        </w:tc>
        <w:tc>
          <w:tcPr>
            <w:tcW w:w="1182" w:type="dxa"/>
            <w:tcBorders>
              <w:top w:val="nil"/>
              <w:left w:val="nil"/>
              <w:bottom w:val="nil"/>
              <w:right w:val="nil"/>
            </w:tcBorders>
            <w:tcMar>
              <w:top w:w="0" w:type="dxa"/>
              <w:left w:w="62" w:type="dxa"/>
              <w:bottom w:w="0" w:type="dxa"/>
              <w:right w:w="62" w:type="dxa"/>
            </w:tcMar>
          </w:tcPr>
          <w:p w:rsidR="00000000" w:rsidRPr="00CD1917" w:rsidP="00CD1917">
            <w:pPr>
              <w:pStyle w:val="BodyText"/>
            </w:pPr>
            <w:r w:rsidRPr="00CD1917">
              <w:t>3</w:t>
            </w:r>
          </w:p>
        </w:tc>
      </w:tr>
    </w:tbl>
    <w:p w:rsidR="00FC367A" w:rsidP="00CD1917">
      <w:pPr>
        <w:pStyle w:val="BodyText"/>
      </w:pPr>
    </w:p>
    <w:p w:rsidR="00FC367A" w:rsidP="00CD1917">
      <w:pPr>
        <w:pStyle w:val="BodyText"/>
      </w:pPr>
    </w:p>
    <w:p w:rsidR="00000000" w:rsidRPr="00CD1917" w:rsidP="00CD1917">
      <w:pPr>
        <w:pStyle w:val="Heading1"/>
      </w:pPr>
      <w:bookmarkStart w:id="14" w:name="O_584964"/>
      <w:bookmarkEnd w:id="14"/>
      <w:r w:rsidRPr="00CD1917">
        <w:t>Competency Field</w:t>
      </w:r>
    </w:p>
    <w:tbl>
      <w:tblPr>
        <w:tblW w:w="0" w:type="auto"/>
        <w:tblLayout w:type="fixed"/>
        <w:tblCellMar>
          <w:left w:w="62" w:type="dxa"/>
          <w:right w:w="62" w:type="dxa"/>
        </w:tblCellMar>
        <w:tblLook w:val="0000"/>
      </w:tblPr>
      <w:tblGrid>
        <w:gridCol w:w="2700"/>
        <w:gridCol w:w="5760"/>
      </w:tblGrid>
      <w:tr w:rsidTr="00FC36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1917" w:rsidP="00CD1917">
            <w:pPr>
              <w:pStyle w:val="BodyText"/>
            </w:pPr>
            <w:r w:rsidRPr="00CD191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D1917">
            <w:pPr>
              <w:pStyle w:val="BodyText"/>
              <w:rPr>
                <w:lang w:val="en-NZ"/>
              </w:rPr>
            </w:pPr>
            <w:r w:rsidRPr="00CD1917">
              <w:rPr>
                <w:rStyle w:val="SpecialBold"/>
              </w:rPr>
              <w:t>5</w:t>
            </w:r>
            <w:r w:rsidRPr="00CD1917">
              <w:t>)</w:t>
            </w:r>
          </w:p>
        </w:tc>
      </w:tr>
      <w:tr w:rsidTr="00FC36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D1917" w:rsidP="00CD1917">
            <w:pPr>
              <w:pStyle w:val="BodyText"/>
            </w:pPr>
            <w:r w:rsidRPr="00CD1917">
              <w:t>Restricted and Specialisations</w:t>
            </w:r>
          </w:p>
        </w:tc>
      </w:tr>
    </w:tbl>
    <w:p w:rsidR="00FC367A" w:rsidP="00CD1917">
      <w:pPr>
        <w:pStyle w:val="BodyText"/>
      </w:pPr>
    </w:p>
    <w:p w:rsidR="00FC367A" w:rsidP="00CD1917">
      <w:pPr>
        <w:pStyle w:val="BodyText"/>
      </w:pPr>
    </w:p>
    <w:p w:rsidR="00000000" w:rsidRPr="00CD1917" w:rsidP="00CD1917"/>
    <w:sectPr w:rsidSect="00CD19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9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917" w:rsidRPr="00FC367A" w:rsidP="00FC36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9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67A" w:rsidP="00CD19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C367A" w:rsidP="00CD191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FC367A" w:rsidP="00CD19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9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917" w:rsidRPr="00FC367A" w:rsidP="00FC36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9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67A" w:rsidRPr="002D2AF8" w:rsidP="00CD1917">
    <w:pPr>
      <w:pStyle w:val="Header"/>
      <w:framePr w:wrap="around"/>
    </w:pPr>
    <w:r>
      <w:fldChar w:fldCharType="begin"/>
    </w:r>
    <w:r>
      <w:instrText xml:space="preserve"> TITLE   \* MERGEFORMAT </w:instrText>
    </w:r>
    <w:r>
      <w:fldChar w:fldCharType="separate"/>
    </w:r>
    <w:r>
      <w:t>UEENEEP024A Attach cords and plugs to electrical equipment for connection to a single phase 230 Volt supply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August 2013</w:t>
    </w:r>
    <w:r>
      <w:fldChar w:fldCharType="end"/>
    </w:r>
  </w:p>
  <w:p w:rsidR="00FC367A" w:rsidP="00CD19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C601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B8CE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906B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9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1917"/>
    <w:pPr>
      <w:spacing w:before="360" w:after="60"/>
      <w:outlineLvl w:val="0"/>
    </w:pPr>
    <w:rPr>
      <w:sz w:val="32"/>
    </w:rPr>
  </w:style>
  <w:style w:type="paragraph" w:styleId="Heading2">
    <w:name w:val="heading 2"/>
    <w:basedOn w:val="HeadingBase"/>
    <w:next w:val="BodyText"/>
    <w:link w:val="Heading2Char"/>
    <w:qFormat/>
    <w:rsid w:val="00CD1917"/>
    <w:pPr>
      <w:keepLines/>
      <w:spacing w:before="240" w:after="120"/>
      <w:outlineLvl w:val="1"/>
    </w:pPr>
    <w:rPr>
      <w:sz w:val="28"/>
      <w:szCs w:val="40"/>
    </w:rPr>
  </w:style>
  <w:style w:type="paragraph" w:styleId="Heading3">
    <w:name w:val="heading 3"/>
    <w:basedOn w:val="HeadingBase"/>
    <w:next w:val="BodyText"/>
    <w:link w:val="Heading3Char"/>
    <w:qFormat/>
    <w:rsid w:val="00CD1917"/>
    <w:pPr>
      <w:spacing w:before="180" w:after="120"/>
      <w:outlineLvl w:val="2"/>
    </w:pPr>
    <w:rPr>
      <w:spacing w:val="-10"/>
      <w:kern w:val="32"/>
    </w:rPr>
  </w:style>
  <w:style w:type="paragraph" w:styleId="Heading4">
    <w:name w:val="heading 4"/>
    <w:basedOn w:val="HeadingBase"/>
    <w:next w:val="BodyText"/>
    <w:link w:val="Heading4Char"/>
    <w:qFormat/>
    <w:rsid w:val="00CD1917"/>
    <w:pPr>
      <w:spacing w:before="160" w:after="120"/>
      <w:outlineLvl w:val="3"/>
    </w:pPr>
    <w:rPr>
      <w:sz w:val="22"/>
    </w:rPr>
  </w:style>
  <w:style w:type="paragraph" w:styleId="Heading5">
    <w:name w:val="heading 5"/>
    <w:basedOn w:val="HeadingBase"/>
    <w:next w:val="Normal"/>
    <w:link w:val="Heading5Char"/>
    <w:qFormat/>
    <w:rsid w:val="00CD1917"/>
    <w:pPr>
      <w:spacing w:before="80"/>
      <w:outlineLvl w:val="4"/>
    </w:pPr>
    <w:rPr>
      <w:color w:val="918585"/>
      <w:sz w:val="20"/>
    </w:rPr>
  </w:style>
  <w:style w:type="paragraph" w:styleId="Heading6">
    <w:name w:val="heading 6"/>
    <w:basedOn w:val="HeadingBase"/>
    <w:next w:val="Normal"/>
    <w:link w:val="Heading6Char"/>
    <w:qFormat/>
    <w:rsid w:val="00CD1917"/>
    <w:pPr>
      <w:spacing w:before="60"/>
      <w:outlineLvl w:val="5"/>
    </w:pPr>
    <w:rPr>
      <w:color w:val="918585"/>
      <w:sz w:val="20"/>
    </w:rPr>
  </w:style>
  <w:style w:type="paragraph" w:styleId="Heading7">
    <w:name w:val="heading 7"/>
    <w:basedOn w:val="Normal"/>
    <w:next w:val="Normal"/>
    <w:link w:val="Heading7Char"/>
    <w:qFormat/>
    <w:rsid w:val="00CD1917"/>
    <w:pPr>
      <w:ind w:left="720"/>
      <w:outlineLvl w:val="6"/>
    </w:pPr>
    <w:rPr>
      <w:i/>
    </w:rPr>
  </w:style>
  <w:style w:type="paragraph" w:styleId="Heading8">
    <w:name w:val="heading 8"/>
    <w:basedOn w:val="Normal"/>
    <w:next w:val="Normal"/>
    <w:link w:val="Heading8Char"/>
    <w:qFormat/>
    <w:rsid w:val="00CD1917"/>
    <w:pPr>
      <w:ind w:left="720"/>
      <w:outlineLvl w:val="7"/>
    </w:pPr>
    <w:rPr>
      <w:i/>
    </w:rPr>
  </w:style>
  <w:style w:type="paragraph" w:styleId="Heading9">
    <w:name w:val="heading 9"/>
    <w:basedOn w:val="Normal"/>
    <w:next w:val="Normal"/>
    <w:link w:val="Heading9Char"/>
    <w:qFormat/>
    <w:rsid w:val="00CD1917"/>
    <w:pPr>
      <w:ind w:left="720"/>
      <w:outlineLvl w:val="8"/>
    </w:pPr>
    <w:rPr>
      <w:i/>
    </w:rPr>
  </w:style>
  <w:style w:type="character" w:default="1" w:styleId="DefaultParagraphFont">
    <w:name w:val="Default Paragraph Font"/>
    <w:uiPriority w:val="1"/>
    <w:unhideWhenUsed/>
    <w:rsid w:val="00CD19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1917"/>
  </w:style>
  <w:style w:type="character" w:customStyle="1" w:styleId="Heading1Char">
    <w:name w:val="Heading 1 Char"/>
    <w:basedOn w:val="DefaultParagraphFont"/>
    <w:link w:val="Heading1"/>
    <w:rsid w:val="00CD1917"/>
    <w:rPr>
      <w:rFonts w:ascii="Times New Roman" w:eastAsia="Times New Roman" w:hAnsi="Times New Roman" w:cs="Times New Roman"/>
      <w:b/>
      <w:sz w:val="32"/>
      <w:szCs w:val="20"/>
      <w:lang w:eastAsia="en-US"/>
    </w:rPr>
  </w:style>
  <w:style w:type="paragraph" w:styleId="BodyText">
    <w:name w:val="Body Text"/>
    <w:basedOn w:val="Normal"/>
    <w:link w:val="BodyTextChar"/>
    <w:rsid w:val="00CD19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1917"/>
    <w:rPr>
      <w:rFonts w:ascii="Times New Roman" w:eastAsia="Times New Roman" w:hAnsi="Times New Roman" w:cs="Times New Roman"/>
      <w:sz w:val="24"/>
      <w:lang w:eastAsia="en-US"/>
    </w:rPr>
  </w:style>
  <w:style w:type="paragraph" w:styleId="ListBullet">
    <w:name w:val="List Bullet"/>
    <w:basedOn w:val="List"/>
    <w:rsid w:val="00CD1917"/>
    <w:pPr>
      <w:numPr>
        <w:numId w:val="13"/>
      </w:numPr>
      <w:tabs>
        <w:tab w:val="clear" w:pos="340"/>
      </w:tabs>
      <w:spacing w:before="40" w:after="40"/>
    </w:pPr>
  </w:style>
  <w:style w:type="character" w:customStyle="1" w:styleId="SpecialBold">
    <w:name w:val="Special Bold"/>
    <w:basedOn w:val="DefaultParagraphFont"/>
    <w:rsid w:val="00CD1917"/>
    <w:rPr>
      <w:b/>
      <w:spacing w:val="0"/>
    </w:rPr>
  </w:style>
  <w:style w:type="paragraph" w:styleId="ListBullet2">
    <w:name w:val="List Bullet 2"/>
    <w:basedOn w:val="List2"/>
    <w:rsid w:val="00CD1917"/>
    <w:pPr>
      <w:numPr>
        <w:numId w:val="14"/>
      </w:numPr>
      <w:tabs>
        <w:tab w:val="clear" w:pos="680"/>
      </w:tabs>
    </w:pPr>
  </w:style>
  <w:style w:type="paragraph" w:customStyle="1" w:styleId="SuperHeading">
    <w:name w:val="SuperHeading"/>
    <w:basedOn w:val="Normal"/>
    <w:rsid w:val="00CD1917"/>
    <w:pPr>
      <w:spacing w:before="240" w:after="120"/>
      <w:outlineLvl w:val="0"/>
    </w:pPr>
    <w:rPr>
      <w:rFonts w:ascii="Times New Roman" w:hAnsi="Times New Roman"/>
      <w:b/>
      <w:sz w:val="32"/>
    </w:rPr>
  </w:style>
  <w:style w:type="paragraph" w:customStyle="1" w:styleId="AllowPageBreak">
    <w:name w:val="AllowPageBreak"/>
    <w:rsid w:val="00CD19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19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19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19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19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19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19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19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1917"/>
    <w:rPr>
      <w:rFonts w:ascii="Courier New" w:eastAsia="Times New Roman" w:hAnsi="Courier New" w:cs="Times New Roman"/>
      <w:i/>
      <w:szCs w:val="20"/>
      <w:lang w:eastAsia="en-US"/>
    </w:rPr>
  </w:style>
  <w:style w:type="paragraph" w:customStyle="1" w:styleId="HeadingBase">
    <w:name w:val="Heading Base"/>
    <w:rsid w:val="00CD19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1917"/>
    <w:pPr>
      <w:tabs>
        <w:tab w:val="right" w:leader="dot" w:pos="9072"/>
      </w:tabs>
      <w:ind w:left="567"/>
    </w:pPr>
    <w:rPr>
      <w:szCs w:val="22"/>
    </w:rPr>
  </w:style>
  <w:style w:type="paragraph" w:customStyle="1" w:styleId="TOCBase">
    <w:name w:val="TOC Base"/>
    <w:rsid w:val="00CD19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1917"/>
    <w:pPr>
      <w:tabs>
        <w:tab w:val="right" w:leader="dot" w:pos="9072"/>
      </w:tabs>
      <w:spacing w:before="40" w:after="40"/>
      <w:ind w:left="284"/>
    </w:pPr>
    <w:rPr>
      <w:rFonts w:ascii="Times New Roman" w:hAnsi="Times New Roman"/>
    </w:rPr>
  </w:style>
  <w:style w:type="paragraph" w:styleId="TOC1">
    <w:name w:val="toc 1"/>
    <w:basedOn w:val="TOCBase"/>
    <w:next w:val="Normal"/>
    <w:rsid w:val="00CD19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19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1917"/>
    <w:rPr>
      <w:rFonts w:ascii="Times New Roman" w:eastAsia="Times New Roman" w:hAnsi="Times New Roman" w:cs="Times New Roman"/>
      <w:sz w:val="16"/>
      <w:lang w:eastAsia="en-US"/>
    </w:rPr>
  </w:style>
  <w:style w:type="paragraph" w:styleId="Title">
    <w:name w:val="Title"/>
    <w:basedOn w:val="HeadingBase"/>
    <w:link w:val="TitleChar"/>
    <w:qFormat/>
    <w:rsid w:val="00CD1917"/>
    <w:pPr>
      <w:spacing w:before="5040"/>
      <w:jc w:val="center"/>
    </w:pPr>
    <w:rPr>
      <w:sz w:val="48"/>
      <w:szCs w:val="72"/>
      <w:lang w:val="en-US"/>
    </w:rPr>
  </w:style>
  <w:style w:type="character" w:customStyle="1" w:styleId="TitleChar">
    <w:name w:val="Title Char"/>
    <w:basedOn w:val="DefaultParagraphFont"/>
    <w:link w:val="Title"/>
    <w:rsid w:val="00CD19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1917"/>
    <w:pPr>
      <w:tabs>
        <w:tab w:val="left" w:pos="3600"/>
        <w:tab w:val="left" w:pos="3958"/>
      </w:tabs>
    </w:pPr>
  </w:style>
  <w:style w:type="paragraph" w:styleId="List">
    <w:name w:val="List"/>
    <w:basedOn w:val="BodyText"/>
    <w:next w:val="BodyText"/>
    <w:rsid w:val="00CD1917"/>
    <w:pPr>
      <w:tabs>
        <w:tab w:val="left" w:pos="340"/>
      </w:tabs>
      <w:spacing w:before="60" w:after="60"/>
      <w:ind w:left="340" w:hanging="340"/>
    </w:pPr>
  </w:style>
  <w:style w:type="paragraph" w:customStyle="1" w:styleId="Note">
    <w:name w:val="Note"/>
    <w:basedOn w:val="BodyText"/>
    <w:rsid w:val="00CD19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1917"/>
    <w:pPr>
      <w:framePr w:wrap="auto" w:hAnchor="text" w:y="6049"/>
    </w:pPr>
    <w:rPr>
      <w:color w:val="000000"/>
      <w:sz w:val="40"/>
    </w:rPr>
  </w:style>
  <w:style w:type="paragraph" w:customStyle="1" w:styleId="TOCTitle">
    <w:name w:val="TOCTitle"/>
    <w:basedOn w:val="Heading1"/>
    <w:rsid w:val="00CD1917"/>
    <w:pPr>
      <w:spacing w:after="240"/>
      <w:jc w:val="center"/>
      <w:outlineLvl w:val="9"/>
    </w:pPr>
    <w:rPr>
      <w:caps/>
    </w:rPr>
  </w:style>
  <w:style w:type="paragraph" w:customStyle="1" w:styleId="Version">
    <w:name w:val="Version"/>
    <w:rsid w:val="00CD19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1917"/>
    <w:pPr>
      <w:keepNext w:val="0"/>
      <w:tabs>
        <w:tab w:val="right" w:pos="4176"/>
      </w:tabs>
      <w:ind w:left="198" w:hanging="198"/>
    </w:pPr>
    <w:rPr>
      <w:rFonts w:ascii="Garamond" w:hAnsi="Garamond"/>
    </w:rPr>
  </w:style>
  <w:style w:type="paragraph" w:styleId="IndexHeading">
    <w:name w:val="index heading"/>
    <w:basedOn w:val="Normal"/>
    <w:next w:val="Index1"/>
    <w:semiHidden/>
    <w:rsid w:val="00CD1917"/>
    <w:pPr>
      <w:spacing w:before="120" w:after="120"/>
    </w:pPr>
    <w:rPr>
      <w:rFonts w:ascii="Arial" w:hAnsi="Arial"/>
      <w:b/>
      <w:color w:val="918585"/>
      <w:sz w:val="24"/>
    </w:rPr>
  </w:style>
  <w:style w:type="paragraph" w:styleId="Header">
    <w:name w:val="header"/>
    <w:basedOn w:val="Normal"/>
    <w:link w:val="HeaderChar"/>
    <w:rsid w:val="00CD19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1917"/>
    <w:rPr>
      <w:rFonts w:ascii="Times New Roman" w:eastAsia="Times New Roman" w:hAnsi="Times New Roman" w:cs="Times New Roman"/>
      <w:sz w:val="16"/>
      <w:szCs w:val="20"/>
      <w:lang w:val="en-GB" w:eastAsia="en-US"/>
    </w:rPr>
  </w:style>
  <w:style w:type="paragraph" w:customStyle="1" w:styleId="Chapter">
    <w:name w:val="Chapter"/>
    <w:basedOn w:val="Normal"/>
    <w:rsid w:val="00CD1917"/>
    <w:pPr>
      <w:spacing w:before="240"/>
    </w:pPr>
    <w:rPr>
      <w:rFonts w:ascii="Times New Roman" w:hAnsi="Times New Roman"/>
      <w:smallCaps/>
      <w:spacing w:val="80"/>
      <w:sz w:val="28"/>
    </w:rPr>
  </w:style>
  <w:style w:type="paragraph" w:customStyle="1" w:styleId="InChapter">
    <w:name w:val="InChapter"/>
    <w:basedOn w:val="Heading3"/>
    <w:rsid w:val="00CD1917"/>
    <w:pPr>
      <w:spacing w:after="240"/>
      <w:outlineLvl w:val="9"/>
    </w:pPr>
    <w:rPr>
      <w:noProof/>
    </w:rPr>
  </w:style>
  <w:style w:type="paragraph" w:styleId="Index2">
    <w:name w:val="index 2"/>
    <w:basedOn w:val="Normal"/>
    <w:next w:val="Normal"/>
    <w:semiHidden/>
    <w:rsid w:val="00CD1917"/>
    <w:pPr>
      <w:tabs>
        <w:tab w:val="right" w:pos="4176"/>
      </w:tabs>
      <w:ind w:left="568" w:hanging="284"/>
    </w:pPr>
    <w:rPr>
      <w:rFonts w:ascii="Garamond" w:hAnsi="Garamond"/>
    </w:rPr>
  </w:style>
  <w:style w:type="paragraph" w:customStyle="1" w:styleId="Byline">
    <w:name w:val="Byline"/>
    <w:rsid w:val="00CD19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1917"/>
    <w:pPr>
      <w:tabs>
        <w:tab w:val="clear" w:pos="3600"/>
        <w:tab w:val="clear" w:pos="3958"/>
      </w:tabs>
      <w:jc w:val="right"/>
    </w:pPr>
  </w:style>
  <w:style w:type="character" w:styleId="Emphasis">
    <w:name w:val="Emphasis"/>
    <w:basedOn w:val="DefaultParagraphFont"/>
    <w:qFormat/>
    <w:rsid w:val="00CD1917"/>
    <w:rPr>
      <w:i/>
    </w:rPr>
  </w:style>
  <w:style w:type="paragraph" w:styleId="Caption">
    <w:name w:val="caption"/>
    <w:basedOn w:val="BodyText"/>
    <w:next w:val="Normal"/>
    <w:qFormat/>
    <w:rsid w:val="00CD1917"/>
    <w:pPr>
      <w:framePr w:w="2268" w:hSpace="181" w:vSpace="181" w:wrap="around" w:vAnchor="text" w:hAnchor="page" w:x="1135" w:y="285" w:anchorLock="1"/>
    </w:pPr>
    <w:rPr>
      <w:i/>
    </w:rPr>
  </w:style>
  <w:style w:type="paragraph" w:customStyle="1" w:styleId="MiniTOCTitle">
    <w:name w:val="MiniTOCTitle"/>
    <w:basedOn w:val="Heading4"/>
    <w:rsid w:val="00CD1917"/>
    <w:pPr>
      <w:spacing w:before="240"/>
      <w:outlineLvl w:val="9"/>
    </w:pPr>
    <w:rPr>
      <w:noProof/>
      <w:sz w:val="24"/>
    </w:rPr>
  </w:style>
  <w:style w:type="paragraph" w:customStyle="1" w:styleId="MiniTOCItem">
    <w:name w:val="MiniTOCItem"/>
    <w:basedOn w:val="ListBullet"/>
    <w:rsid w:val="00CD1917"/>
    <w:pPr>
      <w:numPr>
        <w:numId w:val="0"/>
      </w:numPr>
      <w:tabs>
        <w:tab w:val="right" w:leader="dot" w:pos="6521"/>
      </w:tabs>
      <w:spacing w:before="0" w:after="0"/>
    </w:pPr>
  </w:style>
  <w:style w:type="paragraph" w:customStyle="1" w:styleId="TOFTitle">
    <w:name w:val="TOFTitle"/>
    <w:basedOn w:val="TOCTitle"/>
    <w:rsid w:val="00CD1917"/>
  </w:style>
  <w:style w:type="paragraph" w:styleId="TableofFigures">
    <w:name w:val="table of figures"/>
    <w:basedOn w:val="Normal"/>
    <w:next w:val="Normal"/>
    <w:semiHidden/>
    <w:rsid w:val="00CD1917"/>
    <w:pPr>
      <w:tabs>
        <w:tab w:val="right" w:leader="dot" w:pos="9072"/>
      </w:tabs>
      <w:ind w:left="970" w:hanging="403"/>
    </w:pPr>
    <w:rPr>
      <w:rFonts w:ascii="Times New Roman" w:hAnsi="Times New Roman"/>
      <w:b/>
    </w:rPr>
  </w:style>
  <w:style w:type="paragraph" w:styleId="ListNumber">
    <w:name w:val="List Number"/>
    <w:basedOn w:val="List"/>
    <w:rsid w:val="00CD1917"/>
    <w:pPr>
      <w:numPr>
        <w:numId w:val="11"/>
      </w:numPr>
    </w:pPr>
  </w:style>
  <w:style w:type="character" w:customStyle="1" w:styleId="WingdingSymbols">
    <w:name w:val="Wingding Symbols"/>
    <w:rsid w:val="00CD1917"/>
    <w:rPr>
      <w:rFonts w:ascii="Wingdings" w:hAnsi="Wingdings"/>
    </w:rPr>
  </w:style>
  <w:style w:type="paragraph" w:customStyle="1" w:styleId="TableHeading">
    <w:name w:val="Table Heading"/>
    <w:basedOn w:val="HeadingBase"/>
    <w:rsid w:val="00CD1917"/>
    <w:pPr>
      <w:keepLines/>
      <w:pBdr>
        <w:bottom w:val="single" w:sz="6" w:space="1" w:color="918585"/>
      </w:pBdr>
      <w:spacing w:before="240"/>
    </w:pPr>
  </w:style>
  <w:style w:type="character" w:customStyle="1" w:styleId="HotSpot">
    <w:name w:val="HotSpot"/>
    <w:rsid w:val="00CD1917"/>
    <w:rPr>
      <w:color w:val="0033CC"/>
      <w:u w:val="none"/>
    </w:rPr>
  </w:style>
  <w:style w:type="paragraph" w:customStyle="1" w:styleId="BodyTextRight">
    <w:name w:val="Body Text Right"/>
    <w:basedOn w:val="BodyText"/>
    <w:rsid w:val="00CD1917"/>
    <w:pPr>
      <w:spacing w:before="0" w:after="0"/>
      <w:jc w:val="right"/>
    </w:pPr>
  </w:style>
  <w:style w:type="paragraph" w:styleId="Index3">
    <w:name w:val="index 3"/>
    <w:basedOn w:val="ListNumber2"/>
    <w:next w:val="Normal"/>
    <w:semiHidden/>
    <w:rsid w:val="00CD1917"/>
    <w:pPr>
      <w:numPr>
        <w:numId w:val="0"/>
      </w:numPr>
      <w:tabs>
        <w:tab w:val="right" w:leader="dot" w:pos="4176"/>
      </w:tabs>
    </w:pPr>
  </w:style>
  <w:style w:type="paragraph" w:styleId="ListNumber2">
    <w:name w:val="List Number 2"/>
    <w:basedOn w:val="List2"/>
    <w:rsid w:val="00CD1917"/>
    <w:pPr>
      <w:numPr>
        <w:numId w:val="10"/>
      </w:numPr>
      <w:tabs>
        <w:tab w:val="clear" w:pos="1060"/>
      </w:tabs>
    </w:pPr>
  </w:style>
  <w:style w:type="paragraph" w:customStyle="1" w:styleId="MarginNote">
    <w:name w:val="Margin Note"/>
    <w:basedOn w:val="BodyText"/>
    <w:rsid w:val="00CD19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19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19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1917"/>
    <w:rPr>
      <w:sz w:val="32"/>
    </w:rPr>
  </w:style>
  <w:style w:type="paragraph" w:customStyle="1" w:styleId="HeadingProcedure">
    <w:name w:val="Heading Procedure"/>
    <w:basedOn w:val="HeadingBase"/>
    <w:next w:val="Normal"/>
    <w:rsid w:val="00CD1917"/>
    <w:pPr>
      <w:tabs>
        <w:tab w:val="left" w:pos="0"/>
      </w:tabs>
      <w:spacing w:before="120" w:after="60"/>
    </w:pPr>
    <w:rPr>
      <w:i/>
      <w:color w:val="918585"/>
      <w:sz w:val="22"/>
    </w:rPr>
  </w:style>
  <w:style w:type="paragraph" w:customStyle="1" w:styleId="TableBodyText">
    <w:name w:val="Table Body Text"/>
    <w:basedOn w:val="BodyText"/>
    <w:rsid w:val="00CD1917"/>
    <w:pPr>
      <w:spacing w:before="60" w:after="60"/>
    </w:pPr>
  </w:style>
  <w:style w:type="paragraph" w:styleId="ListContinue">
    <w:name w:val="List Continue"/>
    <w:basedOn w:val="List"/>
    <w:rsid w:val="00CD1917"/>
    <w:pPr>
      <w:ind w:firstLine="0"/>
    </w:pPr>
  </w:style>
  <w:style w:type="paragraph" w:customStyle="1" w:styleId="ListNote">
    <w:name w:val="List Note"/>
    <w:basedOn w:val="List"/>
    <w:rsid w:val="00CD1917"/>
    <w:pPr>
      <w:pBdr>
        <w:top w:val="single" w:sz="6" w:space="2" w:color="918585"/>
        <w:bottom w:val="single" w:sz="6" w:space="2" w:color="918585"/>
      </w:pBdr>
      <w:tabs>
        <w:tab w:val="left" w:pos="1021"/>
      </w:tabs>
      <w:ind w:firstLine="0"/>
    </w:pPr>
  </w:style>
  <w:style w:type="paragraph" w:customStyle="1" w:styleId="Warning">
    <w:name w:val="Warning"/>
    <w:basedOn w:val="BodyText"/>
    <w:rsid w:val="00CD1917"/>
    <w:pPr>
      <w:shd w:val="clear" w:color="auto" w:fill="D9D9D9"/>
      <w:tabs>
        <w:tab w:val="left" w:pos="992"/>
      </w:tabs>
      <w:ind w:left="119" w:right="119"/>
    </w:pPr>
    <w:rPr>
      <w:sz w:val="20"/>
    </w:rPr>
  </w:style>
  <w:style w:type="paragraph" w:customStyle="1" w:styleId="MarginIcons">
    <w:name w:val="Margin Icons"/>
    <w:basedOn w:val="BodyText"/>
    <w:rsid w:val="00CD19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1917"/>
    <w:rPr>
      <w:rFonts w:ascii="Courier New" w:hAnsi="Courier New"/>
    </w:rPr>
  </w:style>
  <w:style w:type="paragraph" w:customStyle="1" w:styleId="NoteBullet">
    <w:name w:val="Note Bullet"/>
    <w:basedOn w:val="Note"/>
    <w:rsid w:val="00CD1917"/>
    <w:pPr>
      <w:tabs>
        <w:tab w:val="clear" w:pos="680"/>
      </w:tabs>
      <w:spacing w:before="60" w:after="60"/>
    </w:pPr>
  </w:style>
  <w:style w:type="paragraph" w:customStyle="1" w:styleId="SubHeading2">
    <w:name w:val="SubHeading2"/>
    <w:basedOn w:val="HeadingBase"/>
    <w:rsid w:val="00CD1917"/>
    <w:pPr>
      <w:spacing w:before="240" w:after="60"/>
    </w:pPr>
    <w:rPr>
      <w:sz w:val="20"/>
    </w:rPr>
  </w:style>
  <w:style w:type="paragraph" w:customStyle="1" w:styleId="SubHeading1">
    <w:name w:val="SubHeading1"/>
    <w:basedOn w:val="HeadingBase"/>
    <w:rsid w:val="00CD1917"/>
    <w:pPr>
      <w:spacing w:before="240" w:after="60"/>
    </w:pPr>
    <w:rPr>
      <w:color w:val="918585"/>
      <w:sz w:val="22"/>
    </w:rPr>
  </w:style>
  <w:style w:type="paragraph" w:customStyle="1" w:styleId="SideHeading">
    <w:name w:val="Side Heading"/>
    <w:basedOn w:val="HeadingBase"/>
    <w:rsid w:val="00CD19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1917"/>
    <w:pPr>
      <w:numPr>
        <w:numId w:val="12"/>
      </w:numPr>
    </w:pPr>
  </w:style>
  <w:style w:type="paragraph" w:styleId="PlainText">
    <w:name w:val="Plain Text"/>
    <w:basedOn w:val="Normal"/>
    <w:link w:val="PlainTextChar"/>
    <w:rsid w:val="00CD1917"/>
    <w:rPr>
      <w:sz w:val="20"/>
    </w:rPr>
  </w:style>
  <w:style w:type="character" w:customStyle="1" w:styleId="PlainTextChar">
    <w:name w:val="Plain Text Char"/>
    <w:basedOn w:val="DefaultParagraphFont"/>
    <w:link w:val="PlainText"/>
    <w:rsid w:val="00CD1917"/>
    <w:rPr>
      <w:rFonts w:ascii="Courier New" w:eastAsia="Times New Roman" w:hAnsi="Courier New" w:cs="Times New Roman"/>
      <w:sz w:val="20"/>
      <w:szCs w:val="20"/>
      <w:lang w:eastAsia="en-US"/>
    </w:rPr>
  </w:style>
  <w:style w:type="character" w:customStyle="1" w:styleId="MenuOption">
    <w:name w:val="Menu Option"/>
    <w:basedOn w:val="DefaultParagraphFont"/>
    <w:rsid w:val="00CD1917"/>
    <w:rPr>
      <w:b/>
      <w:smallCaps/>
    </w:rPr>
  </w:style>
  <w:style w:type="paragraph" w:customStyle="1" w:styleId="TableListNumber">
    <w:name w:val="Table List Number"/>
    <w:basedOn w:val="ListNumber"/>
    <w:rsid w:val="00CD1917"/>
    <w:pPr>
      <w:numPr>
        <w:numId w:val="0"/>
      </w:numPr>
    </w:pPr>
  </w:style>
  <w:style w:type="paragraph" w:styleId="TOC4">
    <w:name w:val="toc 4"/>
    <w:basedOn w:val="TOCBase"/>
    <w:next w:val="Normal"/>
    <w:semiHidden/>
    <w:rsid w:val="00CD1917"/>
    <w:pPr>
      <w:tabs>
        <w:tab w:val="right" w:leader="dot" w:pos="9071"/>
      </w:tabs>
      <w:ind w:left="1701"/>
    </w:pPr>
  </w:style>
  <w:style w:type="paragraph" w:customStyle="1" w:styleId="ListAlpha">
    <w:name w:val="List Alpha"/>
    <w:basedOn w:val="List"/>
    <w:rsid w:val="00CD1917"/>
    <w:pPr>
      <w:numPr>
        <w:numId w:val="9"/>
      </w:numPr>
    </w:pPr>
  </w:style>
  <w:style w:type="paragraph" w:customStyle="1" w:styleId="ListAlpha2">
    <w:name w:val="List Alpha 2"/>
    <w:basedOn w:val="List2"/>
    <w:rsid w:val="00CD1917"/>
    <w:pPr>
      <w:numPr>
        <w:numId w:val="8"/>
      </w:numPr>
    </w:pPr>
  </w:style>
  <w:style w:type="paragraph" w:styleId="List2">
    <w:name w:val="List 2"/>
    <w:basedOn w:val="BodyText"/>
    <w:rsid w:val="00CD1917"/>
    <w:pPr>
      <w:tabs>
        <w:tab w:val="left" w:pos="680"/>
      </w:tabs>
      <w:spacing w:before="60" w:after="60"/>
      <w:ind w:left="680" w:hanging="340"/>
    </w:pPr>
  </w:style>
  <w:style w:type="paragraph" w:styleId="List3">
    <w:name w:val="List 3"/>
    <w:basedOn w:val="BodyText"/>
    <w:rsid w:val="00CD1917"/>
    <w:pPr>
      <w:tabs>
        <w:tab w:val="left" w:pos="1021"/>
      </w:tabs>
      <w:spacing w:before="60" w:after="60"/>
      <w:ind w:left="1020" w:hanging="340"/>
    </w:pPr>
  </w:style>
  <w:style w:type="paragraph" w:styleId="List4">
    <w:name w:val="List 4"/>
    <w:basedOn w:val="BodyText"/>
    <w:rsid w:val="00CD1917"/>
    <w:pPr>
      <w:tabs>
        <w:tab w:val="left" w:pos="1361"/>
      </w:tabs>
      <w:spacing w:before="60" w:after="60"/>
      <w:ind w:left="1361" w:hanging="340"/>
    </w:pPr>
  </w:style>
  <w:style w:type="paragraph" w:styleId="List5">
    <w:name w:val="List 5"/>
    <w:basedOn w:val="BodyText"/>
    <w:rsid w:val="00CD1917"/>
    <w:pPr>
      <w:tabs>
        <w:tab w:val="left" w:pos="1701"/>
      </w:tabs>
      <w:spacing w:before="60" w:after="60"/>
      <w:ind w:left="1701" w:hanging="340"/>
    </w:pPr>
  </w:style>
  <w:style w:type="paragraph" w:styleId="ListBullet3">
    <w:name w:val="List Bullet 3"/>
    <w:basedOn w:val="List3"/>
    <w:rsid w:val="00CD1917"/>
    <w:pPr>
      <w:numPr>
        <w:numId w:val="15"/>
      </w:numPr>
      <w:tabs>
        <w:tab w:val="clear" w:pos="1021"/>
      </w:tabs>
      <w:ind w:left="1037" w:hanging="357"/>
    </w:pPr>
  </w:style>
  <w:style w:type="paragraph" w:styleId="ListBullet4">
    <w:name w:val="List Bullet 4"/>
    <w:basedOn w:val="List4"/>
    <w:rsid w:val="00CD1917"/>
    <w:pPr>
      <w:numPr>
        <w:numId w:val="3"/>
      </w:numPr>
    </w:pPr>
  </w:style>
  <w:style w:type="paragraph" w:styleId="ListBullet5">
    <w:name w:val="List Bullet 5"/>
    <w:basedOn w:val="List5"/>
    <w:rsid w:val="00CD1917"/>
    <w:pPr>
      <w:numPr>
        <w:numId w:val="4"/>
      </w:numPr>
    </w:pPr>
  </w:style>
  <w:style w:type="paragraph" w:styleId="ListContinue2">
    <w:name w:val="List Continue 2"/>
    <w:basedOn w:val="List2"/>
    <w:rsid w:val="00CD1917"/>
    <w:pPr>
      <w:ind w:firstLine="0"/>
    </w:pPr>
  </w:style>
  <w:style w:type="paragraph" w:styleId="ListContinue3">
    <w:name w:val="List Continue 3"/>
    <w:basedOn w:val="List3"/>
    <w:rsid w:val="00CD1917"/>
    <w:pPr>
      <w:ind w:left="1021" w:firstLine="0"/>
    </w:pPr>
  </w:style>
  <w:style w:type="paragraph" w:styleId="ListContinue4">
    <w:name w:val="List Continue 4"/>
    <w:basedOn w:val="List4"/>
    <w:rsid w:val="00CD1917"/>
    <w:pPr>
      <w:ind w:firstLine="0"/>
    </w:pPr>
  </w:style>
  <w:style w:type="paragraph" w:styleId="ListContinue5">
    <w:name w:val="List Continue 5"/>
    <w:basedOn w:val="List5"/>
    <w:rsid w:val="00CD1917"/>
    <w:pPr>
      <w:ind w:firstLine="0"/>
    </w:pPr>
  </w:style>
  <w:style w:type="paragraph" w:styleId="ListNumber3">
    <w:name w:val="List Number 3"/>
    <w:basedOn w:val="List3"/>
    <w:rsid w:val="00CD1917"/>
    <w:pPr>
      <w:numPr>
        <w:numId w:val="5"/>
      </w:numPr>
    </w:pPr>
  </w:style>
  <w:style w:type="paragraph" w:styleId="ListNumber4">
    <w:name w:val="List Number 4"/>
    <w:basedOn w:val="List4"/>
    <w:rsid w:val="00CD1917"/>
    <w:pPr>
      <w:numPr>
        <w:numId w:val="6"/>
      </w:numPr>
    </w:pPr>
  </w:style>
  <w:style w:type="paragraph" w:styleId="ListNumber5">
    <w:name w:val="List Number 5"/>
    <w:basedOn w:val="List5"/>
    <w:rsid w:val="00CD1917"/>
    <w:pPr>
      <w:numPr>
        <w:numId w:val="7"/>
      </w:numPr>
    </w:pPr>
  </w:style>
  <w:style w:type="paragraph" w:styleId="BlockText">
    <w:name w:val="Block Text"/>
    <w:basedOn w:val="Normal"/>
    <w:rsid w:val="00CD1917"/>
    <w:pPr>
      <w:spacing w:after="120"/>
      <w:ind w:left="1440" w:right="1440"/>
    </w:pPr>
  </w:style>
  <w:style w:type="character" w:customStyle="1" w:styleId="Subscript">
    <w:name w:val="Subscript"/>
    <w:basedOn w:val="DefaultParagraphFont"/>
    <w:rsid w:val="00CD1917"/>
    <w:rPr>
      <w:sz w:val="16"/>
      <w:vertAlign w:val="subscript"/>
    </w:rPr>
  </w:style>
  <w:style w:type="character" w:customStyle="1" w:styleId="Superscript">
    <w:name w:val="Superscript"/>
    <w:basedOn w:val="DefaultParagraphFont"/>
    <w:rsid w:val="00CD1917"/>
    <w:rPr>
      <w:sz w:val="16"/>
      <w:vertAlign w:val="superscript"/>
    </w:rPr>
  </w:style>
  <w:style w:type="character" w:customStyle="1" w:styleId="Symbols">
    <w:name w:val="Symbols"/>
    <w:basedOn w:val="DefaultParagraphFont"/>
    <w:rsid w:val="00CD1917"/>
    <w:rPr>
      <w:rFonts w:ascii="Symbol" w:hAnsi="Symbol"/>
    </w:rPr>
  </w:style>
  <w:style w:type="character" w:customStyle="1" w:styleId="MenuOptions">
    <w:name w:val="Menu Options"/>
    <w:basedOn w:val="DefaultParagraphFont"/>
    <w:rsid w:val="00CD1917"/>
    <w:rPr>
      <w:rFonts w:ascii="Arial Narrow" w:hAnsi="Arial Narrow"/>
      <w:smallCaps/>
    </w:rPr>
  </w:style>
  <w:style w:type="character" w:customStyle="1" w:styleId="Buttons">
    <w:name w:val="Buttons"/>
    <w:basedOn w:val="DefaultParagraphFont"/>
    <w:rsid w:val="00CD1917"/>
    <w:rPr>
      <w:b/>
    </w:rPr>
  </w:style>
  <w:style w:type="character" w:customStyle="1" w:styleId="Underlined">
    <w:name w:val="Underlined"/>
    <w:basedOn w:val="DefaultParagraphFont"/>
    <w:rsid w:val="00CD1917"/>
    <w:rPr>
      <w:u w:val="single"/>
    </w:rPr>
  </w:style>
  <w:style w:type="paragraph" w:customStyle="1" w:styleId="TableBodyTextRight">
    <w:name w:val="Table Body Text Right"/>
    <w:basedOn w:val="TableBodyText"/>
    <w:rsid w:val="00CD1917"/>
    <w:pPr>
      <w:widowControl w:val="0"/>
      <w:autoSpaceDE w:val="0"/>
      <w:autoSpaceDN w:val="0"/>
      <w:adjustRightInd w:val="0"/>
      <w:jc w:val="right"/>
    </w:pPr>
    <w:rPr>
      <w:rFonts w:cs="Arial"/>
      <w:szCs w:val="18"/>
    </w:rPr>
  </w:style>
  <w:style w:type="paragraph" w:customStyle="1" w:styleId="CopyrightText">
    <w:name w:val="Copyright Text"/>
    <w:basedOn w:val="BodyText"/>
    <w:rsid w:val="00CD1917"/>
    <w:rPr>
      <w:sz w:val="18"/>
    </w:rPr>
  </w:style>
  <w:style w:type="paragraph" w:customStyle="1" w:styleId="BodySmallRight">
    <w:name w:val="Body Small Right"/>
    <w:basedOn w:val="BodyTextRight"/>
    <w:rsid w:val="00CD1917"/>
    <w:rPr>
      <w:sz w:val="18"/>
      <w:szCs w:val="18"/>
    </w:rPr>
  </w:style>
  <w:style w:type="paragraph" w:customStyle="1" w:styleId="MarginEdition">
    <w:name w:val="Margin Edition"/>
    <w:basedOn w:val="MarginNote"/>
    <w:rsid w:val="00CD1917"/>
    <w:pPr>
      <w:spacing w:before="0" w:after="0"/>
    </w:pPr>
    <w:rPr>
      <w:rFonts w:ascii="Times New Roman" w:hAnsi="Times New Roman"/>
      <w:color w:val="999999"/>
    </w:rPr>
  </w:style>
  <w:style w:type="paragraph" w:customStyle="1" w:styleId="Spacer">
    <w:name w:val="Spacer"/>
    <w:basedOn w:val="Normal"/>
    <w:rsid w:val="00CD1917"/>
    <w:rPr>
      <w:sz w:val="2"/>
      <w:szCs w:val="2"/>
    </w:rPr>
  </w:style>
  <w:style w:type="character" w:customStyle="1" w:styleId="Small">
    <w:name w:val="Small"/>
    <w:basedOn w:val="DefaultParagraphFont"/>
    <w:rsid w:val="00CD1917"/>
    <w:rPr>
      <w:sz w:val="16"/>
    </w:rPr>
  </w:style>
  <w:style w:type="paragraph" w:customStyle="1" w:styleId="WideTable">
    <w:name w:val="Wide Table"/>
    <w:basedOn w:val="Normal"/>
    <w:rsid w:val="00CD1917"/>
    <w:pPr>
      <w:ind w:left="-1418"/>
    </w:pPr>
    <w:rPr>
      <w:sz w:val="2"/>
      <w:szCs w:val="2"/>
    </w:rPr>
  </w:style>
  <w:style w:type="character" w:styleId="PageNumber">
    <w:name w:val="page number"/>
    <w:basedOn w:val="DefaultParagraphFont"/>
    <w:rsid w:val="00CD1917"/>
  </w:style>
  <w:style w:type="paragraph" w:styleId="Quote">
    <w:name w:val="Quote"/>
    <w:basedOn w:val="Heading1"/>
    <w:link w:val="QuoteChar"/>
    <w:qFormat/>
    <w:rsid w:val="00CD1917"/>
    <w:rPr>
      <w:b w:val="0"/>
      <w:sz w:val="72"/>
      <w:szCs w:val="72"/>
      <w:lang w:val="en-NZ"/>
    </w:rPr>
  </w:style>
  <w:style w:type="character" w:customStyle="1" w:styleId="QuoteChar">
    <w:name w:val="Quote Char"/>
    <w:basedOn w:val="DefaultParagraphFont"/>
    <w:link w:val="Quote"/>
    <w:rsid w:val="00CD19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1917"/>
    <w:pPr>
      <w:pageBreakBefore/>
    </w:pPr>
  </w:style>
  <w:style w:type="paragraph" w:customStyle="1" w:styleId="Border">
    <w:name w:val="Border"/>
    <w:basedOn w:val="Normal"/>
    <w:qFormat/>
    <w:rsid w:val="00CD19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1917"/>
    <w:rPr>
      <w:b/>
      <w:bCs/>
      <w:i/>
      <w:iCs/>
      <w:color w:val="auto"/>
    </w:rPr>
  </w:style>
  <w:style w:type="paragraph" w:styleId="IntenseQuote">
    <w:name w:val="Intense Quote"/>
    <w:basedOn w:val="Normal"/>
    <w:next w:val="Normal"/>
    <w:link w:val="IntenseQuoteChar"/>
    <w:uiPriority w:val="30"/>
    <w:qFormat/>
    <w:rsid w:val="00CD19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19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1917"/>
    <w:rPr>
      <w:smallCaps/>
      <w:color w:val="auto"/>
      <w:u w:val="single"/>
    </w:rPr>
  </w:style>
  <w:style w:type="character" w:styleId="IntenseReference">
    <w:name w:val="Intense Reference"/>
    <w:basedOn w:val="DefaultParagraphFont"/>
    <w:uiPriority w:val="32"/>
    <w:qFormat/>
    <w:rsid w:val="00CD1917"/>
    <w:rPr>
      <w:b/>
      <w:bCs/>
      <w:smallCaps/>
      <w:color w:val="auto"/>
      <w:spacing w:val="5"/>
      <w:u w:val="single"/>
    </w:rPr>
  </w:style>
  <w:style w:type="paragraph" w:customStyle="1" w:styleId="2ColumnHeading">
    <w:name w:val="2Column Heading"/>
    <w:basedOn w:val="BodyText"/>
    <w:qFormat/>
    <w:rsid w:val="00CD1917"/>
    <w:pPr>
      <w:spacing w:after="60"/>
      <w:ind w:left="-2268"/>
    </w:pPr>
    <w:rPr>
      <w:b/>
    </w:rPr>
  </w:style>
  <w:style w:type="paragraph" w:customStyle="1" w:styleId="Heading1TOC">
    <w:name w:val="Heading1 TOC"/>
    <w:basedOn w:val="Normal"/>
    <w:qFormat/>
    <w:rsid w:val="00CD1917"/>
    <w:pPr>
      <w:spacing w:before="240" w:after="120"/>
    </w:pPr>
    <w:rPr>
      <w:rFonts w:ascii="Times New Roman" w:hAnsi="Times New Roman"/>
      <w:b/>
      <w:sz w:val="32"/>
    </w:rPr>
  </w:style>
  <w:style w:type="paragraph" w:customStyle="1" w:styleId="Heading2TOC">
    <w:name w:val="Heading2 TOC"/>
    <w:basedOn w:val="Normal"/>
    <w:qFormat/>
    <w:rsid w:val="00CD1917"/>
    <w:pPr>
      <w:spacing w:before="240" w:after="60"/>
    </w:pPr>
    <w:rPr>
      <w:rFonts w:ascii="Times New Roman" w:hAnsi="Times New Roman"/>
      <w:b/>
      <w:sz w:val="28"/>
    </w:rPr>
  </w:style>
  <w:style w:type="character" w:customStyle="1" w:styleId="Underline">
    <w:name w:val="Underline"/>
    <w:basedOn w:val="DefaultParagraphFont"/>
    <w:qFormat/>
    <w:rsid w:val="00CD1917"/>
    <w:rPr>
      <w:u w:val="single"/>
    </w:rPr>
  </w:style>
  <w:style w:type="character" w:customStyle="1" w:styleId="BoldandItalics">
    <w:name w:val="Bold and Italics"/>
    <w:qFormat/>
    <w:rsid w:val="00CD1917"/>
    <w:rPr>
      <w:b/>
      <w:i/>
      <w:u w:val="none"/>
    </w:rPr>
  </w:style>
  <w:style w:type="paragraph" w:styleId="BalloonText">
    <w:name w:val="Balloon Text"/>
    <w:basedOn w:val="Normal"/>
    <w:link w:val="BalloonTextChar"/>
    <w:rsid w:val="00CD1917"/>
    <w:rPr>
      <w:rFonts w:ascii="Tahoma" w:hAnsi="Tahoma" w:cs="Tahoma"/>
      <w:sz w:val="16"/>
      <w:szCs w:val="16"/>
    </w:rPr>
  </w:style>
  <w:style w:type="character" w:customStyle="1" w:styleId="BalloonTextChar">
    <w:name w:val="Balloon Text Char"/>
    <w:basedOn w:val="DefaultParagraphFont"/>
    <w:link w:val="BalloonText"/>
    <w:rsid w:val="00CD19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19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19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1917"/>
    <w:rPr>
      <w:b/>
      <w:color w:val="660033"/>
      <w:spacing w:val="0"/>
    </w:rPr>
  </w:style>
  <w:style w:type="paragraph" w:customStyle="1" w:styleId="Nameditemlist">
    <w:name w:val="Named item list"/>
    <w:basedOn w:val="BodyText"/>
    <w:qFormat/>
    <w:rsid w:val="00CD19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2807</Words>
  <Characters>16360</Characters>
  <Application>Microsoft Office Word</Application>
  <DocSecurity>0</DocSecurity>
  <Lines>577</Lines>
  <Paragraphs>228</Paragraphs>
  <ScaleCrop>false</ScaleCrop>
  <Company>Author-it Software Corporation Ltd.</Company>
  <LinksUpToDate>false</LinksUpToDate>
  <CharactersWithSpaces>18972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UEENEEP024A Attach cords and plugs to electrical equipment for connection to a single phase 230 Volt supply</dc:title>
  <dc:subject>Approved</dc:subject>
  <dc:creator>E-OZ Training Standards</dc:creator>
  <cp:keywords>Release: 3</cp:keywords>
  <dc:description>Review Date: 12 April 2008</dc:description>
  <cp:lastModifiedBy>HSD_TPCMSd.prod</cp:lastModifiedBy>
  <cp:revision>3</cp:revision>
  <dcterms:created xsi:type="dcterms:W3CDTF">2013-08-22T18:45:00Z</dcterms:created>
  <dcterms:modified xsi:type="dcterms:W3CDTF">2013-08-22T18:45:00Z</dcterms:modified>
</cp:coreProperties>
</file>