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2439" w:rsidP="003C2439">
      <w:pPr>
        <w:pStyle w:val="Title"/>
      </w:pPr>
      <w:bookmarkStart w:id="0" w:name="_GoBack"/>
      <w:bookmarkEnd w:id="0"/>
      <w:r>
        <w:fldChar w:fldCharType="begin"/>
      </w:r>
      <w:r>
        <w:instrText xml:space="preserve"> TITLE   \* MERGEFORMAT </w:instrText>
      </w:r>
      <w:r>
        <w:fldChar w:fldCharType="separate"/>
      </w:r>
      <w:r>
        <w:t>UEENEEP001B Disconnect and reconnect fixed wired electrical equipment connected to a Low Voltage supply</w:t>
      </w:r>
      <w:r>
        <w:fldChar w:fldCharType="end"/>
      </w:r>
    </w:p>
    <w:p w:rsidR="003C2439" w:rsidP="003C2439">
      <w:pPr>
        <w:pStyle w:val="Version"/>
        <w:sectPr w:rsidSect="00F953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5300" w:rsidP="00F95300">
      <w:pPr>
        <w:pStyle w:val="SuperHeading"/>
      </w:pPr>
      <w:r w:rsidRPr="00F95300">
        <w:t>UEENEEP001B Disconnect and reconnect fixed wired electrical equipment connected to a Low Voltage supply</w:t>
      </w:r>
    </w:p>
    <w:p w:rsidR="00000000" w:rsidRPr="00F95300" w:rsidP="00F95300">
      <w:pPr>
        <w:pStyle w:val="Heading1"/>
      </w:pPr>
      <w:bookmarkStart w:id="1" w:name="O_275054"/>
      <w:bookmarkEnd w:id="1"/>
      <w:r w:rsidRPr="00F95300">
        <w:t>Modification History</w:t>
      </w:r>
    </w:p>
    <w:p w:rsidR="00000000" w:rsidRPr="00F95300" w:rsidP="00F95300">
      <w:pPr>
        <w:pStyle w:val="BodyText"/>
      </w:pPr>
      <w:r w:rsidRPr="00F95300">
        <w:t>Not Applicable</w:t>
      </w:r>
    </w:p>
    <w:p w:rsidR="00000000" w:rsidRPr="00F95300" w:rsidP="00F95300">
      <w:pPr>
        <w:pStyle w:val="AllowPageBreak"/>
      </w:pPr>
    </w:p>
    <w:p w:rsidR="00000000" w:rsidRPr="00F95300" w:rsidP="00F95300">
      <w:pPr>
        <w:pStyle w:val="Heading1"/>
      </w:pPr>
      <w:bookmarkStart w:id="2" w:name="O_229131"/>
      <w:bookmarkEnd w:id="2"/>
      <w:r w:rsidRPr="00F95300">
        <w:t>Unit Descriptor</w:t>
      </w:r>
    </w:p>
    <w:tbl>
      <w:tblPr>
        <w:tblW w:w="0" w:type="auto"/>
        <w:tblLayout w:type="fixed"/>
        <w:tblCellMar>
          <w:left w:w="62" w:type="dxa"/>
          <w:right w:w="62" w:type="dxa"/>
        </w:tblCellMar>
        <w:tblLook w:val="0000"/>
      </w:tblPr>
      <w:tblGrid>
        <w:gridCol w:w="2700"/>
        <w:gridCol w:w="5760"/>
      </w:tblGrid>
      <w:tr w:rsidTr="003C243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5300" w:rsidP="00F95300">
            <w:pPr>
              <w:pStyle w:val="BodyText"/>
            </w:pPr>
            <w:r w:rsidRPr="00F9530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F95300" w:rsidP="00F95300">
            <w:pPr>
              <w:pStyle w:val="BodyText"/>
            </w:pPr>
            <w:r w:rsidRPr="00F95300">
              <w:rPr>
                <w:rStyle w:val="SpecialBold"/>
              </w:rPr>
              <w:t>1</w:t>
            </w:r>
            <w:r w:rsidRPr="00F95300">
              <w:t xml:space="preserve">) </w:t>
            </w:r>
          </w:p>
          <w:p w:rsidR="00000000" w:rsidP="00F95300">
            <w:pPr>
              <w:pStyle w:val="BodyText"/>
              <w:rPr>
                <w:lang w:val="en-NZ"/>
              </w:rPr>
            </w:pPr>
            <w:r w:rsidRPr="00F95300">
              <w:rPr>
                <w:rStyle w:val="SpecialBold"/>
              </w:rPr>
              <w:t>1</w:t>
            </w:r>
            <w:r w:rsidRPr="00F95300">
              <w:t>.</w:t>
            </w:r>
            <w:r w:rsidRPr="00F95300">
              <w:rPr>
                <w:rStyle w:val="SpecialBold"/>
              </w:rPr>
              <w:t>1</w:t>
            </w:r>
            <w:r w:rsidRPr="00F95300">
              <w:t xml:space="preserve">) </w:t>
            </w:r>
            <w:r w:rsidRPr="00F95300">
              <w:rPr>
                <w:rStyle w:val="SpecialBold"/>
              </w:rPr>
              <w:t>Descriptor</w:t>
            </w:r>
          </w:p>
        </w:tc>
      </w:tr>
      <w:tr w:rsidTr="003C24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5300" w:rsidP="00F95300">
            <w:pPr>
              <w:pStyle w:val="BodyText"/>
            </w:pPr>
            <w:r w:rsidRPr="00F95300">
              <w:t>This unit covers disconnecting and reconnecting fixed wired electrical equipment. This may be incidental to or a primary and regular function of work related to a principle work function. It encompasses working safely, identifying supply arrangements, foll</w:t>
            </w:r>
            <w:r w:rsidRPr="00F95300">
              <w:t>owing isolation procedures, selecting and using testing and measuring devices, terminating and connecting cables and conductors, safely testing and reporting and excludes disconnecting or reconnecting circuits at a switchboard or to general electrical acce</w:t>
            </w:r>
            <w:r w:rsidRPr="00F95300">
              <w:t>ssories (including switches, socket outlets, circuit protective devices etc); or installation of or alteration to any part of the fixed electrical wiring system (defined as electrical installing work).</w:t>
            </w:r>
          </w:p>
        </w:tc>
      </w:tr>
    </w:tbl>
    <w:p w:rsidR="003C2439" w:rsidP="00F95300">
      <w:pPr>
        <w:pStyle w:val="BodyText"/>
      </w:pPr>
    </w:p>
    <w:p w:rsidR="003C2439" w:rsidP="00F95300">
      <w:pPr>
        <w:pStyle w:val="BodyText"/>
      </w:pPr>
    </w:p>
    <w:p w:rsidR="00000000" w:rsidRPr="00F95300" w:rsidP="00F95300">
      <w:pPr>
        <w:pStyle w:val="Heading1"/>
      </w:pPr>
      <w:bookmarkStart w:id="3" w:name="O_229136"/>
      <w:bookmarkEnd w:id="3"/>
      <w:r w:rsidRPr="00F95300">
        <w:t>Application of the Unit</w:t>
      </w:r>
    </w:p>
    <w:tbl>
      <w:tblPr>
        <w:tblW w:w="0" w:type="auto"/>
        <w:tblLayout w:type="fixed"/>
        <w:tblCellMar>
          <w:left w:w="62" w:type="dxa"/>
          <w:right w:w="62" w:type="dxa"/>
        </w:tblCellMar>
        <w:tblLook w:val="0000"/>
      </w:tblPr>
      <w:tblGrid>
        <w:gridCol w:w="2700"/>
        <w:gridCol w:w="5760"/>
      </w:tblGrid>
      <w:tr w:rsidTr="003C243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5300" w:rsidP="00F95300">
            <w:pPr>
              <w:pStyle w:val="BodyText"/>
            </w:pPr>
            <w:r w:rsidRPr="00F95300">
              <w:rPr>
                <w:rStyle w:val="SpecialBold"/>
              </w:rPr>
              <w:t>Applicatio</w:t>
            </w:r>
            <w:r w:rsidRPr="00F95300">
              <w:rPr>
                <w:rStyle w:val="SpecialBold"/>
              </w:rPr>
              <w:t>n of the Unit</w:t>
            </w:r>
          </w:p>
        </w:tc>
        <w:tc>
          <w:tcPr>
            <w:tcW w:w="576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rPr>
                <w:rStyle w:val="SpecialBold"/>
              </w:rPr>
              <w:t>4</w:t>
            </w:r>
            <w:r w:rsidRPr="00F95300">
              <w:t>)</w:t>
            </w:r>
          </w:p>
        </w:tc>
      </w:tr>
      <w:tr w:rsidTr="003C24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5300" w:rsidP="00F95300">
            <w:pPr>
              <w:pStyle w:val="BodyText"/>
            </w:pPr>
            <w:r w:rsidRPr="00F95300">
              <w:t>This unit applies to any formal recognition for this standard at the aligned AQF 2/3 level or higher.</w:t>
            </w:r>
          </w:p>
        </w:tc>
      </w:tr>
    </w:tbl>
    <w:p w:rsidR="003C2439" w:rsidP="00F95300">
      <w:pPr>
        <w:pStyle w:val="BodyText"/>
      </w:pPr>
    </w:p>
    <w:p w:rsidR="003C2439" w:rsidP="00F95300">
      <w:pPr>
        <w:pStyle w:val="BodyText"/>
      </w:pPr>
    </w:p>
    <w:p w:rsidR="00000000" w:rsidRPr="00F95300" w:rsidP="00F95300">
      <w:pPr>
        <w:pStyle w:val="Heading1"/>
      </w:pPr>
      <w:bookmarkStart w:id="4" w:name="O_229132"/>
      <w:bookmarkEnd w:id="4"/>
      <w:r w:rsidRPr="00F95300">
        <w:t>Licensing/Regulatory Information</w:t>
      </w:r>
    </w:p>
    <w:tbl>
      <w:tblPr>
        <w:tblW w:w="0" w:type="auto"/>
        <w:tblLayout w:type="fixed"/>
        <w:tblCellMar>
          <w:left w:w="62" w:type="dxa"/>
          <w:right w:w="62" w:type="dxa"/>
        </w:tblCellMar>
        <w:tblLook w:val="0000"/>
      </w:tblPr>
      <w:tblGrid>
        <w:gridCol w:w="8460"/>
      </w:tblGrid>
      <w:tr w:rsidTr="003C243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rPr>
                <w:rStyle w:val="SpecialBold"/>
              </w:rPr>
              <w:t>1</w:t>
            </w:r>
            <w:r w:rsidRPr="00F95300">
              <w:t>.</w:t>
            </w:r>
            <w:r w:rsidRPr="00F95300">
              <w:rPr>
                <w:rStyle w:val="SpecialBold"/>
              </w:rPr>
              <w:t>2</w:t>
            </w:r>
            <w:r w:rsidRPr="00F95300">
              <w:t xml:space="preserve">) </w:t>
            </w:r>
            <w:r w:rsidRPr="00F95300">
              <w:rPr>
                <w:rStyle w:val="SpecialBold"/>
              </w:rPr>
              <w:t>License to practice</w:t>
            </w:r>
          </w:p>
        </w:tc>
      </w:tr>
      <w:tr w:rsidTr="003C243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95300" w:rsidP="00F95300">
            <w:pPr>
              <w:pStyle w:val="BodyText"/>
            </w:pPr>
            <w:r w:rsidRPr="00F95300">
              <w:t>The skills and knowledge described in this unit requires a license to practice in the workplace where plant and equipment operate at voltage above 50 V a.c. or 120 V d.c. However other conditions may apply in some jurisdictions subject to regulations relat</w:t>
            </w:r>
            <w:r w:rsidRPr="00F95300">
              <w:t xml:space="preserve">ed to electrical work. Practice in the workplace and during training is also subject to regulations directly related to occupational health and safety and where applicable contracts of training such as apprenticeships.  </w:t>
            </w:r>
          </w:p>
          <w:p w:rsidR="00000000" w:rsidRPr="00F95300" w:rsidP="00F95300">
            <w:pPr>
              <w:pStyle w:val="BodyText"/>
            </w:pPr>
            <w:r w:rsidRPr="00F95300">
              <w:t>Note:</w:t>
            </w:r>
            <w:r w:rsidRPr="00F95300">
              <w:br/>
              <w:t>Candidates are to meet regula</w:t>
            </w:r>
            <w:r w:rsidRPr="00F95300">
              <w:t>tor eligibility requirements by providing formal confirmation from the relevant state/territory regulator for the respective work class and scope of work prior to developing and being conferred competent.</w:t>
            </w:r>
          </w:p>
        </w:tc>
      </w:tr>
    </w:tbl>
    <w:p w:rsidR="003C2439" w:rsidP="00F95300">
      <w:pPr>
        <w:pStyle w:val="BodyText"/>
      </w:pPr>
    </w:p>
    <w:p w:rsidR="003C2439" w:rsidP="00F95300">
      <w:pPr>
        <w:pStyle w:val="BodyText"/>
      </w:pPr>
    </w:p>
    <w:p w:rsidR="00000000" w:rsidRPr="00F95300" w:rsidP="00F95300">
      <w:pPr>
        <w:pStyle w:val="Heading1"/>
      </w:pPr>
      <w:bookmarkStart w:id="5" w:name="O_229133"/>
      <w:bookmarkEnd w:id="5"/>
      <w:r w:rsidRPr="00F95300">
        <w:t>Pre-Requisites</w:t>
      </w:r>
    </w:p>
    <w:tbl>
      <w:tblPr>
        <w:tblW w:w="0" w:type="auto"/>
        <w:tblLayout w:type="fixed"/>
        <w:tblCellMar>
          <w:left w:w="62" w:type="dxa"/>
          <w:right w:w="62" w:type="dxa"/>
        </w:tblCellMar>
        <w:tblLook w:val="0000"/>
      </w:tblPr>
      <w:tblGrid>
        <w:gridCol w:w="2700"/>
        <w:gridCol w:w="5760"/>
      </w:tblGrid>
      <w:tr w:rsidTr="003C243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5300" w:rsidP="00F95300">
            <w:pPr>
              <w:pStyle w:val="BodyText"/>
            </w:pPr>
            <w:r w:rsidRPr="00F95300">
              <w:rPr>
                <w:rStyle w:val="SpecialBold"/>
              </w:rPr>
              <w:t>Prerequisite Unit</w:t>
            </w:r>
            <w:r w:rsidRPr="00F95300">
              <w:t>(</w:t>
            </w:r>
            <w:r w:rsidRPr="00F95300">
              <w:rPr>
                <w:rStyle w:val="SpecialBold"/>
              </w:rPr>
              <w:t>s</w:t>
            </w:r>
            <w:r w:rsidRPr="00F95300">
              <w:t>)</w:t>
            </w:r>
          </w:p>
        </w:tc>
        <w:tc>
          <w:tcPr>
            <w:tcW w:w="576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rPr>
                <w:rStyle w:val="SpecialBold"/>
              </w:rPr>
              <w:t>2</w:t>
            </w:r>
            <w:r w:rsidRPr="00F95300">
              <w:t xml:space="preserve">) </w:t>
            </w:r>
          </w:p>
        </w:tc>
      </w:tr>
      <w:tr w:rsidTr="003C24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9530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rPr>
                <w:rStyle w:val="SpecialBold"/>
              </w:rPr>
              <w:t>2</w:t>
            </w:r>
            <w:r w:rsidRPr="00F95300">
              <w:t>.</w:t>
            </w:r>
            <w:r w:rsidRPr="00F95300">
              <w:rPr>
                <w:rStyle w:val="SpecialBold"/>
              </w:rPr>
              <w:t>1</w:t>
            </w:r>
            <w:r w:rsidRPr="00F95300">
              <w:t xml:space="preserve">) </w:t>
            </w:r>
            <w:r w:rsidRPr="00F95300">
              <w:rPr>
                <w:rStyle w:val="SpecialBold"/>
              </w:rPr>
              <w:t>Competencies</w:t>
            </w:r>
          </w:p>
        </w:tc>
      </w:tr>
      <w:tr w:rsidTr="003C24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5300" w:rsidP="00F95300">
            <w:pPr>
              <w:pStyle w:val="BodyText"/>
            </w:pPr>
            <w:r w:rsidRPr="00F95300">
              <w:t>Competencies needed for hot waters servicing, pool servicing, mechanical maintenance, appliance servicing, emergency services and equipment repair.</w:t>
            </w:r>
          </w:p>
        </w:tc>
      </w:tr>
    </w:tbl>
    <w:p w:rsidR="003C2439" w:rsidP="00F95300">
      <w:pPr>
        <w:pStyle w:val="BodyText"/>
      </w:pPr>
    </w:p>
    <w:p w:rsidR="003C2439" w:rsidP="00F95300">
      <w:pPr>
        <w:pStyle w:val="BodyText"/>
      </w:pPr>
    </w:p>
    <w:p w:rsidR="00000000" w:rsidRPr="00F95300" w:rsidP="00F95300">
      <w:pPr>
        <w:pStyle w:val="Heading1"/>
      </w:pPr>
      <w:bookmarkStart w:id="6" w:name="O_229135"/>
      <w:bookmarkEnd w:id="6"/>
      <w:r w:rsidRPr="00F95300">
        <w:t>Employability Skills Information</w:t>
      </w:r>
    </w:p>
    <w:tbl>
      <w:tblPr>
        <w:tblW w:w="0" w:type="auto"/>
        <w:tblLayout w:type="fixed"/>
        <w:tblCellMar>
          <w:left w:w="62" w:type="dxa"/>
          <w:right w:w="62" w:type="dxa"/>
        </w:tblCellMar>
        <w:tblLook w:val="0000"/>
      </w:tblPr>
      <w:tblGrid>
        <w:gridCol w:w="2700"/>
        <w:gridCol w:w="5760"/>
      </w:tblGrid>
      <w:tr w:rsidTr="003C24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95300" w:rsidP="00F95300">
            <w:pPr>
              <w:pStyle w:val="BodyText"/>
            </w:pPr>
            <w:r w:rsidRPr="00F9530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F95300" w:rsidP="00F95300">
            <w:pPr>
              <w:pStyle w:val="BodyText"/>
            </w:pPr>
            <w:r w:rsidRPr="00F95300">
              <w:rPr>
                <w:rStyle w:val="SpecialBold"/>
              </w:rPr>
              <w:t>3</w:t>
            </w:r>
            <w:r w:rsidRPr="00F95300">
              <w:t>)</w:t>
            </w:r>
          </w:p>
          <w:p w:rsidR="00000000" w:rsidRPr="00F95300" w:rsidP="00F95300">
            <w:pPr>
              <w:pStyle w:val="BodyText"/>
            </w:pPr>
            <w:r w:rsidRPr="00F95300">
              <w:t>This unit contains Employability Skills</w:t>
            </w:r>
          </w:p>
          <w:p w:rsidR="00000000" w:rsidRPr="00F95300" w:rsidP="00F95300">
            <w:pPr>
              <w:pStyle w:val="BodyText"/>
            </w:pPr>
            <w:r w:rsidRPr="00F95300">
              <w:t>The required outcomes described in this unit of competency contain applicable facets of Employability Skills. The Employability Skills Summary of the qualification in which this unit of compet</w:t>
            </w:r>
            <w:r w:rsidRPr="00F95300">
              <w:t>ency is packaged will assist in identifying Employability Skill requirements.</w:t>
            </w:r>
          </w:p>
        </w:tc>
      </w:tr>
    </w:tbl>
    <w:p w:rsidR="003C2439" w:rsidP="00F95300">
      <w:pPr>
        <w:pStyle w:val="BodyText"/>
      </w:pPr>
    </w:p>
    <w:p w:rsidR="003C2439" w:rsidP="00F95300">
      <w:pPr>
        <w:pStyle w:val="BodyText"/>
      </w:pPr>
    </w:p>
    <w:p w:rsidR="00000000" w:rsidRPr="00F95300" w:rsidP="00F95300">
      <w:pPr>
        <w:pStyle w:val="Heading1"/>
      </w:pPr>
      <w:bookmarkStart w:id="7" w:name="O_293100"/>
      <w:bookmarkEnd w:id="7"/>
      <w:r w:rsidRPr="00F95300">
        <w:t>Elements and Performance Criteria Pre-Content</w:t>
      </w:r>
    </w:p>
    <w:tbl>
      <w:tblPr>
        <w:tblW w:w="0" w:type="auto"/>
        <w:tblLayout w:type="fixed"/>
        <w:tblCellMar>
          <w:left w:w="62" w:type="dxa"/>
          <w:right w:w="62" w:type="dxa"/>
        </w:tblCellMar>
        <w:tblLook w:val="0000"/>
      </w:tblPr>
      <w:tblGrid>
        <w:gridCol w:w="2700"/>
        <w:gridCol w:w="5760"/>
      </w:tblGrid>
      <w:tr w:rsidTr="003C24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rPr>
                <w:rStyle w:val="SpecialBold"/>
              </w:rPr>
              <w:t>6</w:t>
            </w:r>
            <w:r w:rsidRPr="00F95300">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F95300" w:rsidP="00F95300">
            <w:pPr>
              <w:pStyle w:val="BodyText"/>
            </w:pPr>
            <w:r w:rsidRPr="00F95300">
              <w:t>Performance criteria describe the required performance needed to demonstrate achievement of the Element. Assessment of performance is to be consistent with the evidence guide.</w:t>
            </w:r>
          </w:p>
        </w:tc>
      </w:tr>
    </w:tbl>
    <w:p w:rsidR="00000000" w:rsidRPr="00F95300" w:rsidP="00F95300">
      <w:pPr>
        <w:pStyle w:val="BodyText"/>
      </w:pPr>
    </w:p>
    <w:p w:rsidR="00000000" w:rsidRPr="00F95300" w:rsidP="00F95300">
      <w:pPr>
        <w:pStyle w:val="AllowPageBreak"/>
      </w:pPr>
    </w:p>
    <w:p w:rsidR="00000000" w:rsidRPr="00F95300" w:rsidP="00F95300">
      <w:pPr>
        <w:pStyle w:val="Heading1"/>
      </w:pPr>
      <w:bookmarkStart w:id="8" w:name="O_239768"/>
      <w:bookmarkEnd w:id="8"/>
      <w:r w:rsidRPr="00F9530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C243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95300" w:rsidP="00F95300">
            <w:pPr>
              <w:pStyle w:val="BodyText"/>
            </w:pPr>
            <w:r w:rsidRPr="00F9530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rPr>
                <w:rStyle w:val="SpecialBold"/>
              </w:rPr>
              <w:t>PERFORMANCE CRITER</w:t>
            </w:r>
            <w:r w:rsidRPr="00F95300">
              <w:rPr>
                <w:rStyle w:val="SpecialBold"/>
              </w:rPr>
              <w:t>IA</w:t>
            </w:r>
          </w:p>
        </w:tc>
      </w:tr>
      <w:tr w:rsidTr="003C24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1</w:t>
            </w:r>
          </w:p>
        </w:tc>
        <w:tc>
          <w:tcPr>
            <w:tcW w:w="2296" w:type="dxa"/>
            <w:vMerge w:val="restart"/>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Prepare to disconnect electrical equipment.</w:t>
            </w:r>
          </w:p>
        </w:tc>
        <w:tc>
          <w:tcPr>
            <w:tcW w:w="90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1.1</w:t>
            </w:r>
          </w:p>
        </w:tc>
        <w:tc>
          <w:tcPr>
            <w:tcW w:w="486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Disconnection is planned to ensure OHS policies and procedures are followed.</w:t>
            </w:r>
          </w:p>
        </w:tc>
      </w:tr>
      <w:tr w:rsidTr="003C24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1.2</w:t>
            </w:r>
          </w:p>
        </w:tc>
        <w:tc>
          <w:tcPr>
            <w:tcW w:w="486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Appropriate persons are consulted to ensure work is coordinated effectively with others involved in the work site.</w:t>
            </w:r>
          </w:p>
        </w:tc>
      </w:tr>
      <w:tr w:rsidTr="003C24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1.3</w:t>
            </w:r>
          </w:p>
        </w:tc>
        <w:tc>
          <w:tcPr>
            <w:tcW w:w="486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Safety hazards which have not previously been electrical characteristics of electrical equipment and electrical supply are determined and recorded in accordance with established procedures.</w:t>
            </w:r>
          </w:p>
        </w:tc>
      </w:tr>
      <w:tr w:rsidTr="003C24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1.4</w:t>
            </w:r>
          </w:p>
        </w:tc>
        <w:tc>
          <w:tcPr>
            <w:tcW w:w="486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The point of isolation of electrical equipment to be d</w:t>
            </w:r>
            <w:r w:rsidRPr="00F95300">
              <w:t>isconnected is determined.</w:t>
            </w:r>
          </w:p>
        </w:tc>
      </w:tr>
      <w:tr w:rsidTr="003C24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1.5</w:t>
            </w:r>
          </w:p>
        </w:tc>
        <w:tc>
          <w:tcPr>
            <w:tcW w:w="486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Tools, equipment and testing devices needed to carry out the work are obtained in accordance with established procedures and checked for correct operation and safety.</w:t>
            </w:r>
          </w:p>
        </w:tc>
      </w:tr>
      <w:tr w:rsidTr="003C24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2</w:t>
            </w:r>
          </w:p>
        </w:tc>
        <w:tc>
          <w:tcPr>
            <w:tcW w:w="2296" w:type="dxa"/>
            <w:vMerge w:val="restart"/>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Disconnect electrical equipment.</w:t>
            </w:r>
          </w:p>
        </w:tc>
        <w:tc>
          <w:tcPr>
            <w:tcW w:w="90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2.1</w:t>
            </w:r>
          </w:p>
        </w:tc>
        <w:tc>
          <w:tcPr>
            <w:tcW w:w="486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OHS policies an</w:t>
            </w:r>
            <w:r w:rsidRPr="00F95300">
              <w:t>d procedures are followed.</w:t>
            </w:r>
          </w:p>
        </w:tc>
      </w:tr>
      <w:tr w:rsidTr="003C24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2.2</w:t>
            </w:r>
          </w:p>
        </w:tc>
        <w:tc>
          <w:tcPr>
            <w:tcW w:w="486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Electrical equipment is isolated in accordance with AS/NZS 4836:2001 and established procedures (see Range Statement).</w:t>
            </w:r>
          </w:p>
        </w:tc>
      </w:tr>
      <w:tr w:rsidTr="003C24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2.3</w:t>
            </w:r>
          </w:p>
        </w:tc>
        <w:tc>
          <w:tcPr>
            <w:tcW w:w="486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Conductor connection sequence is recorded and labelled in accordance with established procedures.</w:t>
            </w:r>
          </w:p>
        </w:tc>
      </w:tr>
      <w:tr w:rsidTr="003C24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2.4</w:t>
            </w:r>
          </w:p>
        </w:tc>
        <w:tc>
          <w:tcPr>
            <w:tcW w:w="486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Visual checks of the electrical equipment and associated wiring are carried out in accordance with established procedures to detect any abnormal or obv</w:t>
            </w:r>
            <w:r w:rsidRPr="00F95300">
              <w:t>ious damage or fault.</w:t>
            </w:r>
          </w:p>
        </w:tc>
      </w:tr>
      <w:tr w:rsidTr="003C24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2.5</w:t>
            </w:r>
          </w:p>
        </w:tc>
        <w:tc>
          <w:tcPr>
            <w:tcW w:w="486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Isolated equipment is confirmed as de-energised.</w:t>
            </w:r>
          </w:p>
        </w:tc>
      </w:tr>
      <w:tr w:rsidTr="003C24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2.6</w:t>
            </w:r>
          </w:p>
        </w:tc>
        <w:tc>
          <w:tcPr>
            <w:tcW w:w="486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Electrical equipment is disconnected from fixed wiring without damage to other components.</w:t>
            </w:r>
          </w:p>
        </w:tc>
      </w:tr>
      <w:tr w:rsidTr="003C24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2.7</w:t>
            </w:r>
          </w:p>
        </w:tc>
        <w:tc>
          <w:tcPr>
            <w:tcW w:w="486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Approval is obtained in accordance with established procedures from appropriate personnel, before any contingencies are implemented.</w:t>
            </w:r>
          </w:p>
        </w:tc>
      </w:tr>
      <w:tr w:rsidTr="003C24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2.8</w:t>
            </w:r>
          </w:p>
        </w:tc>
        <w:tc>
          <w:tcPr>
            <w:tcW w:w="486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Disconnected conductors/cables are terminated in accordance with requirements to ensure they are safe and present no</w:t>
            </w:r>
            <w:r w:rsidRPr="00F95300">
              <w:t xml:space="preserve"> potential hazard.</w:t>
            </w:r>
          </w:p>
        </w:tc>
      </w:tr>
      <w:tr w:rsidTr="003C24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3</w:t>
            </w:r>
          </w:p>
        </w:tc>
        <w:tc>
          <w:tcPr>
            <w:tcW w:w="2296"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Prepare to reconnect electrical equipment.</w:t>
            </w:r>
          </w:p>
        </w:tc>
        <w:tc>
          <w:tcPr>
            <w:tcW w:w="90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3.1</w:t>
            </w:r>
          </w:p>
        </w:tc>
        <w:tc>
          <w:tcPr>
            <w:tcW w:w="486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Reconnection is planned to ensure OHS policies and procedures are followed.</w:t>
            </w:r>
          </w:p>
        </w:tc>
      </w:tr>
      <w:tr w:rsidTr="003C24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3.2</w:t>
            </w:r>
          </w:p>
        </w:tc>
        <w:tc>
          <w:tcPr>
            <w:tcW w:w="486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Appropriate personnel are consulted to ensure work is coordinated effectively with others involved in the work site.</w:t>
            </w:r>
          </w:p>
        </w:tc>
      </w:tr>
      <w:tr w:rsidTr="003C24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3.3</w:t>
            </w:r>
          </w:p>
        </w:tc>
        <w:tc>
          <w:tcPr>
            <w:tcW w:w="486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The point of isolation of the circuit to which the electrical equipment is to be connected is determined.</w:t>
            </w:r>
          </w:p>
        </w:tc>
      </w:tr>
      <w:tr w:rsidTr="003C24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3.4</w:t>
            </w:r>
          </w:p>
        </w:tc>
        <w:tc>
          <w:tcPr>
            <w:tcW w:w="486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Replacement electri</w:t>
            </w:r>
            <w:r w:rsidRPr="00F95300">
              <w:t>cal equipment is selected on the basis of rating and characteristics being the same as that of the original electrical equipment.</w:t>
            </w:r>
          </w:p>
        </w:tc>
      </w:tr>
      <w:tr w:rsidTr="003C24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3.5</w:t>
            </w:r>
          </w:p>
        </w:tc>
        <w:tc>
          <w:tcPr>
            <w:tcW w:w="486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Appropriate personnel are consulted in the event that replacement electrical equipment is not available.</w:t>
            </w:r>
          </w:p>
        </w:tc>
      </w:tr>
      <w:tr w:rsidTr="003C24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3.6</w:t>
            </w:r>
          </w:p>
        </w:tc>
        <w:tc>
          <w:tcPr>
            <w:tcW w:w="486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Origina</w:t>
            </w:r>
            <w:r w:rsidRPr="00F95300">
              <w:t>l and/or replacement electrical equipment is tested to ensure it is safe to connect to the electrical supply and use.</w:t>
            </w:r>
          </w:p>
        </w:tc>
      </w:tr>
      <w:tr w:rsidTr="003C24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3.7</w:t>
            </w:r>
          </w:p>
        </w:tc>
        <w:tc>
          <w:tcPr>
            <w:tcW w:w="486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Tools, equipment and testing devices needed to carry out the work are obtained in accordance with established procedures and checked for correct operation and safety.</w:t>
            </w:r>
          </w:p>
        </w:tc>
      </w:tr>
      <w:tr w:rsidTr="003C24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4</w:t>
            </w:r>
          </w:p>
        </w:tc>
        <w:tc>
          <w:tcPr>
            <w:tcW w:w="2296" w:type="dxa"/>
            <w:vMerge w:val="restart"/>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Reconnect electrical equipment.</w:t>
            </w:r>
          </w:p>
        </w:tc>
        <w:tc>
          <w:tcPr>
            <w:tcW w:w="90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4.1</w:t>
            </w:r>
          </w:p>
        </w:tc>
        <w:tc>
          <w:tcPr>
            <w:tcW w:w="486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OHS policies and procedures are followed.</w:t>
            </w:r>
          </w:p>
        </w:tc>
      </w:tr>
      <w:tr w:rsidTr="003C24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4.2</w:t>
            </w:r>
          </w:p>
        </w:tc>
        <w:tc>
          <w:tcPr>
            <w:tcW w:w="486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M</w:t>
            </w:r>
            <w:r w:rsidRPr="00F95300">
              <w:t>easures are taken to ensure circuit to which electrical equipment is to be connected remains isolated and de-energised in accordance with AS/NZS 4836:2001.</w:t>
            </w:r>
          </w:p>
        </w:tc>
      </w:tr>
      <w:tr w:rsidTr="003C24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4.3</w:t>
            </w:r>
          </w:p>
        </w:tc>
        <w:tc>
          <w:tcPr>
            <w:tcW w:w="486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The continuity of the protective earthing conductor is tested to determine whether it is sufficiently low.</w:t>
            </w:r>
          </w:p>
        </w:tc>
      </w:tr>
      <w:tr w:rsidTr="003C24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4.4</w:t>
            </w:r>
          </w:p>
        </w:tc>
        <w:tc>
          <w:tcPr>
            <w:tcW w:w="486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The resistance between the protective earthing conductor and the neutral conductor is tested to determine whether it is sufficiently low, i.e.</w:t>
            </w:r>
            <w:r w:rsidRPr="00F95300">
              <w:t xml:space="preserve"> not greater than 2 Ohms.</w:t>
            </w:r>
          </w:p>
        </w:tc>
      </w:tr>
      <w:tr w:rsidTr="003C24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4.5</w:t>
            </w:r>
          </w:p>
        </w:tc>
        <w:tc>
          <w:tcPr>
            <w:tcW w:w="486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The insulation resistance of active conductors is tested to confirm that it is greater than 1 Megohm.</w:t>
            </w:r>
          </w:p>
        </w:tc>
      </w:tr>
      <w:tr w:rsidTr="003C24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4.6</w:t>
            </w:r>
          </w:p>
        </w:tc>
        <w:tc>
          <w:tcPr>
            <w:tcW w:w="486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An appropriate qualified person is engaged to rectify any non-compliance condition revealed by the testing under item 4.3 to 4.5.</w:t>
            </w:r>
          </w:p>
        </w:tc>
      </w:tr>
      <w:tr w:rsidTr="003C24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4.7</w:t>
            </w:r>
          </w:p>
        </w:tc>
        <w:tc>
          <w:tcPr>
            <w:tcW w:w="486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Continuity between exposed conductive parts of the equipment and the main earth or metal switchboard enclosure is confi</w:t>
            </w:r>
            <w:r w:rsidRPr="00F95300">
              <w:t>rmed.</w:t>
            </w:r>
          </w:p>
        </w:tc>
      </w:tr>
      <w:tr w:rsidTr="003C24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4.8</w:t>
            </w:r>
          </w:p>
        </w:tc>
        <w:tc>
          <w:tcPr>
            <w:tcW w:w="486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Electrical equipment is connected to comply with requirements.</w:t>
            </w:r>
          </w:p>
        </w:tc>
      </w:tr>
      <w:tr w:rsidTr="003C24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4.9</w:t>
            </w:r>
          </w:p>
        </w:tc>
        <w:tc>
          <w:tcPr>
            <w:tcW w:w="486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Connections to the equipment are checked to confirm they are correct.</w:t>
            </w:r>
          </w:p>
        </w:tc>
      </w:tr>
      <w:tr w:rsidTr="003C24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5</w:t>
            </w:r>
          </w:p>
        </w:tc>
        <w:tc>
          <w:tcPr>
            <w:tcW w:w="2296"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Test the reconnected electrical equipment for safe operation.</w:t>
            </w:r>
          </w:p>
        </w:tc>
        <w:tc>
          <w:tcPr>
            <w:tcW w:w="90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5.1</w:t>
            </w:r>
          </w:p>
        </w:tc>
        <w:tc>
          <w:tcPr>
            <w:tcW w:w="486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OHS policies and procedures, and established procedures for the reinstatement of isolated circuits and electrical equipment are followed.</w:t>
            </w:r>
          </w:p>
        </w:tc>
      </w:tr>
      <w:tr w:rsidTr="003C24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5.2</w:t>
            </w:r>
          </w:p>
        </w:tc>
        <w:tc>
          <w:tcPr>
            <w:tcW w:w="486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Arrangements are made with appropriate personnel to test the operation of the electrical equipment in accordanc</w:t>
            </w:r>
            <w:r w:rsidRPr="00F95300">
              <w:t>e with established procedures.</w:t>
            </w:r>
          </w:p>
        </w:tc>
      </w:tr>
      <w:tr w:rsidTr="003C24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5.3</w:t>
            </w:r>
          </w:p>
        </w:tc>
        <w:tc>
          <w:tcPr>
            <w:tcW w:w="486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Operational non-conformances are identified and reported in accordance with established procedures.</w:t>
            </w:r>
          </w:p>
        </w:tc>
      </w:tr>
      <w:tr w:rsidTr="003C24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6</w:t>
            </w:r>
          </w:p>
        </w:tc>
        <w:tc>
          <w:tcPr>
            <w:tcW w:w="2296"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Identify and report faults</w:t>
            </w:r>
          </w:p>
        </w:tc>
        <w:tc>
          <w:tcPr>
            <w:tcW w:w="90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6.1</w:t>
            </w:r>
          </w:p>
        </w:tc>
        <w:tc>
          <w:tcPr>
            <w:tcW w:w="486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Electrical equipment is isolated in accordance with established procedures.</w:t>
            </w:r>
          </w:p>
        </w:tc>
      </w:tr>
      <w:tr w:rsidTr="003C24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6.2</w:t>
            </w:r>
          </w:p>
        </w:tc>
        <w:tc>
          <w:tcPr>
            <w:tcW w:w="486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Other OHS policies and procedures are followed.</w:t>
            </w:r>
          </w:p>
        </w:tc>
      </w:tr>
      <w:tr w:rsidTr="003C24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6.3</w:t>
            </w:r>
          </w:p>
        </w:tc>
        <w:tc>
          <w:tcPr>
            <w:tcW w:w="486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Visual checks of the equipment to be disconnected and/or reconnected are carried out in accordance with established procedures to detect any abnormal or obvious damage or fault.</w:t>
            </w:r>
          </w:p>
        </w:tc>
      </w:tr>
      <w:tr w:rsidTr="003C24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6.4</w:t>
            </w:r>
          </w:p>
        </w:tc>
        <w:tc>
          <w:tcPr>
            <w:tcW w:w="486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Fault(s) at poin</w:t>
            </w:r>
            <w:r w:rsidRPr="00F95300">
              <w:t>t of disconnection and/or reconnection are identified and reported in accordance with established procedures.</w:t>
            </w:r>
          </w:p>
        </w:tc>
      </w:tr>
      <w:tr w:rsidTr="003C24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6.5</w:t>
            </w:r>
          </w:p>
        </w:tc>
        <w:tc>
          <w:tcPr>
            <w:tcW w:w="486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Approval is obtained in accordance with established procedures from appropriate personnel, before any contingencies are implemented.</w:t>
            </w:r>
          </w:p>
        </w:tc>
      </w:tr>
      <w:tr w:rsidTr="003C243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7</w:t>
            </w:r>
          </w:p>
        </w:tc>
        <w:tc>
          <w:tcPr>
            <w:tcW w:w="2296"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Pro</w:t>
            </w:r>
            <w:r w:rsidRPr="00F95300">
              <w:t>vide status report(s).</w:t>
            </w:r>
          </w:p>
        </w:tc>
        <w:tc>
          <w:tcPr>
            <w:tcW w:w="90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7.1</w:t>
            </w:r>
          </w:p>
        </w:tc>
        <w:tc>
          <w:tcPr>
            <w:tcW w:w="4860" w:type="dxa"/>
            <w:tcBorders>
              <w:top w:val="nil"/>
              <w:left w:val="nil"/>
              <w:bottom w:val="nil"/>
              <w:right w:val="nil"/>
            </w:tcBorders>
            <w:tcMar>
              <w:top w:w="0" w:type="dxa"/>
              <w:left w:w="62" w:type="dxa"/>
              <w:bottom w:w="0" w:type="dxa"/>
              <w:right w:w="62" w:type="dxa"/>
            </w:tcMar>
          </w:tcPr>
          <w:p w:rsidR="00000000" w:rsidRPr="00F95300" w:rsidP="00F95300">
            <w:pPr>
              <w:pStyle w:val="BodyText"/>
            </w:pPr>
            <w:r w:rsidRPr="00F95300">
              <w:t>Status report(s) are completed and notified in accordance with established procedures.</w:t>
            </w:r>
          </w:p>
        </w:tc>
      </w:tr>
    </w:tbl>
    <w:p w:rsidR="003C2439" w:rsidP="00F95300">
      <w:pPr>
        <w:pStyle w:val="BodyText"/>
      </w:pPr>
    </w:p>
    <w:p w:rsidR="003C2439" w:rsidP="00F95300">
      <w:pPr>
        <w:pStyle w:val="BodyText"/>
      </w:pPr>
    </w:p>
    <w:p w:rsidR="00000000" w:rsidRPr="00F95300" w:rsidP="00F95300">
      <w:pPr>
        <w:pStyle w:val="Heading1"/>
      </w:pPr>
      <w:bookmarkStart w:id="9" w:name="O_263559"/>
      <w:bookmarkEnd w:id="9"/>
      <w:r w:rsidRPr="00F95300">
        <w:t>Required Skills and Knowledge</w:t>
      </w:r>
    </w:p>
    <w:tbl>
      <w:tblPr>
        <w:tblW w:w="0" w:type="auto"/>
        <w:tblLayout w:type="fixed"/>
        <w:tblCellMar>
          <w:left w:w="62" w:type="dxa"/>
          <w:right w:w="62" w:type="dxa"/>
        </w:tblCellMar>
        <w:tblLook w:val="0000"/>
      </w:tblPr>
      <w:tblGrid>
        <w:gridCol w:w="2700"/>
        <w:gridCol w:w="1080"/>
        <w:gridCol w:w="4680"/>
      </w:tblGrid>
      <w:tr w:rsidTr="003C2439">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rPr>
                <w:rStyle w:val="SpecialBold"/>
              </w:rPr>
              <w:t>REQUIRED SKILLS AND KNOWLEDGE</w:t>
            </w:r>
          </w:p>
        </w:tc>
      </w:tr>
      <w:tr w:rsidTr="003C243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rPr>
                <w:rStyle w:val="SpecialBold"/>
              </w:rPr>
              <w:t>7</w:t>
            </w:r>
            <w:r w:rsidRPr="00F95300">
              <w:t>) This describes the essential skills and knowledge and their level, required for this unit.</w:t>
            </w:r>
          </w:p>
        </w:tc>
      </w:tr>
      <w:tr w:rsidTr="003C243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F95300" w:rsidP="00F95300">
            <w:pPr>
              <w:pStyle w:val="BodyText"/>
            </w:pPr>
            <w:r w:rsidRPr="00F95300">
              <w:t xml:space="preserve">Evidence shall show that knowledge has been acquired of safe working practices and disconnecting and reconnecting fixed wired electrical equipment </w:t>
            </w:r>
            <w:r w:rsidRPr="00F95300">
              <w:t>connected to a Low Voltage supply.</w:t>
            </w:r>
          </w:p>
          <w:p w:rsidR="00000000" w:rsidRPr="00F95300" w:rsidP="00F95300">
            <w:pPr>
              <w:pStyle w:val="BodyText"/>
            </w:pPr>
            <w:r w:rsidRPr="00F95300">
              <w:t>All knowledge and skills detailed in this unit should be contextualised to current industry practices and technologies.</w:t>
            </w:r>
          </w:p>
          <w:p w:rsidR="00000000" w:rsidP="00F95300">
            <w:pPr>
              <w:pStyle w:val="BodyText"/>
              <w:rPr>
                <w:lang w:val="en-NZ"/>
              </w:rPr>
            </w:pPr>
            <w:r w:rsidRPr="00F95300">
              <w:t>The extent of the essential knowledge and associated skills (EKAS) required is given in Volume 2 - Pa</w:t>
            </w:r>
            <w:r w:rsidRPr="00F95300">
              <w:t>rt 2.2 EKAS.  It forms an integral part of this unit.</w:t>
            </w:r>
          </w:p>
        </w:tc>
      </w:tr>
      <w:tr w:rsidTr="003C24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2.1.5.1</w:t>
            </w:r>
          </w:p>
        </w:tc>
        <w:tc>
          <w:tcPr>
            <w:tcW w:w="468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Power cable and conductor terminations</w:t>
            </w:r>
          </w:p>
        </w:tc>
      </w:tr>
      <w:tr w:rsidTr="003C24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2.2.2</w:t>
            </w:r>
          </w:p>
        </w:tc>
        <w:tc>
          <w:tcPr>
            <w:tcW w:w="468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Enterprise reporting and recording system</w:t>
            </w:r>
          </w:p>
        </w:tc>
      </w:tr>
      <w:tr w:rsidTr="003C24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2.8.1.1</w:t>
            </w:r>
          </w:p>
        </w:tc>
        <w:tc>
          <w:tcPr>
            <w:tcW w:w="468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Basic electrical principles</w:t>
            </w:r>
          </w:p>
        </w:tc>
      </w:tr>
      <w:tr w:rsidTr="003C24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2.18.1</w:t>
            </w:r>
          </w:p>
        </w:tc>
        <w:tc>
          <w:tcPr>
            <w:tcW w:w="468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Occupational Health and Safety principles</w:t>
            </w:r>
          </w:p>
        </w:tc>
      </w:tr>
      <w:tr w:rsidTr="003C24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2.18.2</w:t>
            </w:r>
          </w:p>
        </w:tc>
        <w:tc>
          <w:tcPr>
            <w:tcW w:w="468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Electrical Safe working practices</w:t>
            </w:r>
          </w:p>
        </w:tc>
      </w:tr>
      <w:tr w:rsidTr="003C24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2.19.29</w:t>
            </w:r>
          </w:p>
        </w:tc>
        <w:tc>
          <w:tcPr>
            <w:tcW w:w="468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Disconnect/Reconnect</w:t>
            </w:r>
          </w:p>
        </w:tc>
      </w:tr>
      <w:tr w:rsidTr="003C24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2.19.28</w:t>
            </w:r>
          </w:p>
        </w:tc>
        <w:tc>
          <w:tcPr>
            <w:tcW w:w="468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Fault find - General Principles</w:t>
            </w:r>
          </w:p>
        </w:tc>
      </w:tr>
      <w:tr w:rsidTr="003C24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2.19.39</w:t>
            </w:r>
          </w:p>
        </w:tc>
        <w:tc>
          <w:tcPr>
            <w:tcW w:w="4680" w:type="dxa"/>
            <w:tcBorders>
              <w:top w:val="nil"/>
              <w:left w:val="nil"/>
              <w:bottom w:val="nil"/>
              <w:right w:val="nil"/>
            </w:tcBorders>
            <w:tcMar>
              <w:top w:w="0" w:type="dxa"/>
              <w:left w:w="62" w:type="dxa"/>
              <w:bottom w:w="0" w:type="dxa"/>
              <w:right w:w="62" w:type="dxa"/>
            </w:tcMar>
          </w:tcPr>
          <w:p w:rsidR="00000000" w:rsidRPr="00F95300" w:rsidP="00F95300">
            <w:pPr>
              <w:pStyle w:val="BodyText"/>
            </w:pPr>
            <w:r w:rsidRPr="00F95300">
              <w:t>Produce Status Reports using established procedures</w:t>
            </w:r>
          </w:p>
        </w:tc>
      </w:tr>
    </w:tbl>
    <w:p w:rsidR="003C2439" w:rsidP="00F95300">
      <w:pPr>
        <w:pStyle w:val="BodyText"/>
      </w:pPr>
    </w:p>
    <w:p w:rsidR="003C2439" w:rsidP="00F95300">
      <w:pPr>
        <w:pStyle w:val="BodyText"/>
      </w:pPr>
    </w:p>
    <w:p w:rsidR="00000000" w:rsidRPr="00F95300" w:rsidP="00F95300">
      <w:pPr>
        <w:pStyle w:val="Heading1"/>
      </w:pPr>
      <w:bookmarkStart w:id="10" w:name="O_247751"/>
      <w:bookmarkEnd w:id="10"/>
      <w:r w:rsidRPr="00F95300">
        <w:t>Evidence Guide</w:t>
      </w:r>
    </w:p>
    <w:tbl>
      <w:tblPr>
        <w:tblW w:w="0" w:type="auto"/>
        <w:tblLayout w:type="fixed"/>
        <w:tblCellMar>
          <w:left w:w="62" w:type="dxa"/>
          <w:right w:w="62" w:type="dxa"/>
        </w:tblCellMar>
        <w:tblLook w:val="0000"/>
      </w:tblPr>
      <w:tblGrid>
        <w:gridCol w:w="2160"/>
        <w:gridCol w:w="720"/>
        <w:gridCol w:w="540"/>
        <w:gridCol w:w="360"/>
        <w:gridCol w:w="4680"/>
      </w:tblGrid>
      <w:tr w:rsidTr="003C2439">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rPr>
                <w:rStyle w:val="SpecialBold"/>
              </w:rPr>
              <w:t>EVIDENCE GUIDE</w:t>
            </w:r>
          </w:p>
        </w:tc>
      </w:tr>
      <w:tr w:rsidTr="003C2439">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F95300" w:rsidP="00F95300">
            <w:pPr>
              <w:pStyle w:val="BodyText"/>
            </w:pPr>
            <w:r w:rsidRPr="00F95300">
              <w:rPr>
                <w:rStyle w:val="SpecialBold"/>
              </w:rPr>
              <w:t>9</w:t>
            </w:r>
            <w:r w:rsidRPr="00F95300">
              <w:t>) The evidence guide provides advice on assessment and must be read in conjunction with the Performance Criteria, Required Skills and Knowledge, the Range Statement and the Assessment Guidelines for this Training Package.</w:t>
            </w:r>
          </w:p>
          <w:p w:rsidR="00000000" w:rsidP="00F95300">
            <w:pPr>
              <w:pStyle w:val="BodyText"/>
              <w:rPr>
                <w:lang w:val="en-NZ"/>
              </w:rPr>
            </w:pPr>
            <w:r w:rsidRPr="00F95300">
              <w:t>The Evidence Guide forms an integr</w:t>
            </w:r>
            <w:r w:rsidRPr="00F95300">
              <w:t>al part of this Unit and shall be used in conjunction with all components parts of this unit and performed in accordance with the Assessment Guidelines of this Training Package.</w:t>
            </w:r>
          </w:p>
        </w:tc>
      </w:tr>
      <w:tr w:rsidTr="003C24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95300" w:rsidP="00F95300">
            <w:pPr>
              <w:pStyle w:val="BodyText"/>
            </w:pPr>
            <w:r w:rsidRPr="00F95300">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95300" w:rsidP="00F95300">
            <w:pPr>
              <w:pStyle w:val="BodyText"/>
            </w:pPr>
            <w:r w:rsidRPr="00F95300">
              <w:rPr>
                <w:rStyle w:val="SpecialBold"/>
              </w:rPr>
              <w:t>9</w:t>
            </w:r>
            <w:r w:rsidRPr="00F95300">
              <w:t>.</w:t>
            </w:r>
            <w:r w:rsidRPr="00F95300">
              <w:rPr>
                <w:rStyle w:val="SpecialBold"/>
              </w:rPr>
              <w:t>1</w:t>
            </w:r>
            <w:r w:rsidRPr="00F95300">
              <w:t xml:space="preserve">) </w:t>
            </w:r>
          </w:p>
          <w:p w:rsidR="00000000" w:rsidRPr="00F95300" w:rsidP="00F95300">
            <w:pPr>
              <w:pStyle w:val="BodyText"/>
            </w:pPr>
            <w:r w:rsidRPr="00F95300">
              <w:t>Longitudinal competency development approaches to assessment, such as Profiling, require data to be reliably gathered in a form that can be consistently interpreted over time. This approach is best utilised in Apprenticeship programs and reduces assessment</w:t>
            </w:r>
            <w:r w:rsidRPr="00F95300">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F95300">
              <w:t>ncy in a realistically simulated work environment. In some circumstances, assessment in part or full can occur outside the workplace. However, it must be in accordance with industry and regulatory policy.</w:t>
            </w:r>
          </w:p>
          <w:p w:rsidR="00000000" w:rsidRPr="00F95300" w:rsidP="00F95300">
            <w:pPr>
              <w:pStyle w:val="BodyText"/>
            </w:pPr>
            <w:r w:rsidRPr="00F95300">
              <w:t xml:space="preserve">Methods chosen for a particular assessment will be </w:t>
            </w:r>
            <w:r w:rsidRPr="00F95300">
              <w:t>influenced by various factors. These include the extent of the assessment, the most effective locations for the assessment activities to take place, access to physical resources, additional safety measures that may be required and the critical nature of th</w:t>
            </w:r>
            <w:r w:rsidRPr="00F95300">
              <w:t>e competencies being assessed.</w:t>
            </w:r>
          </w:p>
          <w:p w:rsidR="00000000" w:rsidRPr="00F95300" w:rsidP="00F95300">
            <w:pPr>
              <w:pStyle w:val="BodyText"/>
            </w:pPr>
            <w:r w:rsidRPr="00F95300">
              <w:t xml:space="preserve">The critical safety issues inherent in working with electricity, electrical equipment, gas or any other hazardous substance/material present a challenge for those determining competence. Sources of evidence need to be 'rich' </w:t>
            </w:r>
            <w:r w:rsidRPr="00F95300">
              <w:t>in nature to minimise error in judgment.</w:t>
            </w:r>
          </w:p>
          <w:p w:rsidR="00000000" w:rsidP="00F95300">
            <w:pPr>
              <w:pStyle w:val="BodyText"/>
              <w:rPr>
                <w:lang w:val="en-NZ"/>
              </w:rPr>
            </w:pPr>
            <w:r w:rsidRPr="00F95300">
              <w:t xml:space="preserve">Activities associated with normal everyday work influence decisions about how/how much the data gathered will contribute to its 'richness'. Some skills are more critical to safety and operational requirements while </w:t>
            </w:r>
            <w:r w:rsidRPr="00F95300">
              <w:t>the same skills may be more or less frequently practised. These points are raised for the assessors to consider when choosing an assessment method and developing assessment instruments. Sample assessment instruments are included for Assessors in the Assess</w:t>
            </w:r>
            <w:r w:rsidRPr="00F95300">
              <w:t>ment Guidelines of this Training Package.</w:t>
            </w:r>
          </w:p>
        </w:tc>
      </w:tr>
      <w:tr w:rsidTr="003C243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95300" w:rsidP="00F95300">
            <w:pPr>
              <w:pStyle w:val="BodyText"/>
            </w:pPr>
            <w:r w:rsidRPr="00F95300">
              <w:rPr>
                <w:rStyle w:val="SpecialBold"/>
              </w:rPr>
              <w:t xml:space="preserve">Critical aspects of evidence required to demonstrate competency </w:t>
            </w:r>
            <w:r w:rsidRPr="00F95300">
              <w:rPr>
                <w:rStyle w:val="SpecialBold"/>
              </w:rPr>
              <w:t>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F95300" w:rsidP="00F95300">
            <w:pPr>
              <w:pStyle w:val="BodyText"/>
            </w:pPr>
            <w:r w:rsidRPr="00F95300">
              <w:rPr>
                <w:rStyle w:val="SpecialBold"/>
              </w:rPr>
              <w:t>9</w:t>
            </w:r>
            <w:r w:rsidRPr="00F95300">
              <w:t>.</w:t>
            </w:r>
            <w:r w:rsidRPr="00F95300">
              <w:rPr>
                <w:rStyle w:val="SpecialBold"/>
              </w:rPr>
              <w:t>2</w:t>
            </w:r>
            <w:r w:rsidRPr="00F95300">
              <w:t xml:space="preserve">) </w:t>
            </w:r>
          </w:p>
          <w:p w:rsidR="00000000" w:rsidP="00F95300">
            <w:pPr>
              <w:pStyle w:val="BodyText"/>
              <w:rPr>
                <w:lang w:val="en-NZ"/>
              </w:rPr>
            </w:pPr>
            <w:r w:rsidRPr="00F95300">
              <w:t>Before the critical aspects of evidence are considered all prerequisites shall be met.</w:t>
            </w:r>
          </w:p>
        </w:tc>
      </w:tr>
      <w:tr w:rsidTr="003C243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95300" w:rsidP="00F95300">
            <w:pPr>
              <w:pStyle w:val="BodyText"/>
            </w:pPr>
            <w:r w:rsidRPr="00F95300">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F95300">
            <w:pPr>
              <w:pStyle w:val="ListBullet"/>
              <w:rPr>
                <w:lang w:val="en-NZ"/>
              </w:rPr>
            </w:pPr>
            <w:r w:rsidRPr="00F95300">
              <w:t>A representative body of work performance demonstrated within the timeframes typically expected of the discipline, work function and industrial environment. In particular this shall incorporate evidence that shows a candidate is able to:</w:t>
            </w:r>
          </w:p>
        </w:tc>
      </w:tr>
      <w:tr w:rsidTr="003C24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95300" w:rsidP="00F95300">
            <w:pPr>
              <w:pStyle w:val="ListBullet2"/>
            </w:pPr>
            <w:r w:rsidRPr="00F95300">
              <w:t>Implement Oc</w:t>
            </w:r>
            <w:r w:rsidRPr="00F95300">
              <w:t>cupational Health and Safety workplace procedures and practices including the use of risk control measures as specified in the performance criteria and range statement</w:t>
            </w:r>
          </w:p>
          <w:p w:rsidR="00000000" w:rsidRPr="00F95300" w:rsidP="00F95300">
            <w:pPr>
              <w:pStyle w:val="ListBullet2"/>
            </w:pPr>
            <w:r w:rsidRPr="00F95300">
              <w:t>Apply sustainable energy principles and practices as specified in the performance criteria and range statement</w:t>
            </w:r>
          </w:p>
          <w:p w:rsidR="00000000" w:rsidRPr="00F95300" w:rsidP="00F95300">
            <w:pPr>
              <w:pStyle w:val="ListBullet2"/>
            </w:pPr>
            <w:r w:rsidRPr="00F95300">
              <w:t>Demonstrate an understanding of the essential knowledge and associated skills as described in this unit.  It may be required by some jurisdiction</w:t>
            </w:r>
            <w:r w:rsidRPr="00F95300">
              <w:t>s that RTOs provide a percentile graded result for the purpose of regulatory or licensing requirements.</w:t>
            </w:r>
          </w:p>
          <w:p w:rsidR="00000000" w:rsidRPr="00F95300" w:rsidP="00F95300">
            <w:pPr>
              <w:pStyle w:val="ListBullet2"/>
            </w:pPr>
            <w:r w:rsidRPr="00F95300">
              <w:t>Demonstrate an appropriate level of skills enabling employment</w:t>
            </w:r>
          </w:p>
          <w:p w:rsidR="00000000" w:rsidP="00F95300">
            <w:pPr>
              <w:pStyle w:val="ListBullet2"/>
              <w:rPr>
                <w:lang w:val="en-NZ"/>
              </w:rPr>
            </w:pPr>
            <w:r w:rsidRPr="00F95300">
              <w:t>Conduct work observing the relevant Anti Discrimination legislation, regulations, polices</w:t>
            </w:r>
            <w:r w:rsidRPr="00F95300">
              <w:t xml:space="preserve"> and workplace procedures</w:t>
            </w:r>
          </w:p>
        </w:tc>
      </w:tr>
      <w:tr w:rsidTr="003C24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95300">
            <w:pPr>
              <w:pStyle w:val="ListBullet"/>
              <w:rPr>
                <w:lang w:val="en-NZ"/>
              </w:rPr>
            </w:pPr>
            <w:r w:rsidRPr="00F95300">
              <w:t>Demonstrated consistent performance across a representative range of contexts from the prescribed items below:</w:t>
            </w:r>
          </w:p>
        </w:tc>
      </w:tr>
      <w:tr w:rsidTr="003C24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95300">
            <w:pPr>
              <w:pStyle w:val="ListBullet2"/>
              <w:rPr>
                <w:lang w:val="en-NZ"/>
              </w:rPr>
            </w:pPr>
            <w:r w:rsidRPr="00F95300">
              <w:t xml:space="preserve">Disconnect and reconnect fixed wired electrical equipment connected to a Low Voltage supply </w:t>
            </w:r>
            <w:r w:rsidRPr="00F95300">
              <w:t>as described in 8) for each endorsement and including:</w:t>
            </w:r>
          </w:p>
        </w:tc>
      </w:tr>
      <w:tr w:rsidTr="003C24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A</w:t>
            </w:r>
          </w:p>
        </w:tc>
        <w:tc>
          <w:tcPr>
            <w:tcW w:w="5040" w:type="dxa"/>
            <w:gridSpan w:val="2"/>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OHS practice</w:t>
            </w:r>
          </w:p>
        </w:tc>
      </w:tr>
      <w:tr w:rsidTr="003C24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B</w:t>
            </w:r>
          </w:p>
        </w:tc>
        <w:tc>
          <w:tcPr>
            <w:tcW w:w="5040" w:type="dxa"/>
            <w:gridSpan w:val="2"/>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 xml:space="preserve">Determining electrical characteristics of equipment </w:t>
            </w:r>
          </w:p>
        </w:tc>
      </w:tr>
      <w:tr w:rsidTr="003C24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C</w:t>
            </w:r>
          </w:p>
        </w:tc>
        <w:tc>
          <w:tcPr>
            <w:tcW w:w="5040" w:type="dxa"/>
            <w:gridSpan w:val="2"/>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 xml:space="preserve">Selecting tools, equipment, and testing devices </w:t>
            </w:r>
          </w:p>
        </w:tc>
      </w:tr>
      <w:tr w:rsidTr="003C24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D</w:t>
            </w:r>
          </w:p>
        </w:tc>
        <w:tc>
          <w:tcPr>
            <w:tcW w:w="5040" w:type="dxa"/>
            <w:gridSpan w:val="2"/>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Identifying point of installation</w:t>
            </w:r>
          </w:p>
        </w:tc>
      </w:tr>
      <w:tr w:rsidTr="003C24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E</w:t>
            </w:r>
          </w:p>
        </w:tc>
        <w:tc>
          <w:tcPr>
            <w:tcW w:w="5040" w:type="dxa"/>
            <w:gridSpan w:val="2"/>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Identifying and isolating circuit (including testing for safe isolation)</w:t>
            </w:r>
          </w:p>
        </w:tc>
      </w:tr>
      <w:tr w:rsidTr="003C24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F</w:t>
            </w:r>
          </w:p>
        </w:tc>
        <w:tc>
          <w:tcPr>
            <w:tcW w:w="5040" w:type="dxa"/>
            <w:gridSpan w:val="2"/>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Preparing to disconnect electrical equipment</w:t>
            </w:r>
          </w:p>
        </w:tc>
      </w:tr>
      <w:tr w:rsidTr="003C24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G</w:t>
            </w:r>
          </w:p>
        </w:tc>
        <w:tc>
          <w:tcPr>
            <w:tcW w:w="5040" w:type="dxa"/>
            <w:gridSpan w:val="2"/>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Undertaking visual checks of the electrical equipment and associated wiring to detect and reporting any abnormal or obvious damage or fault</w:t>
            </w:r>
          </w:p>
        </w:tc>
      </w:tr>
      <w:tr w:rsidTr="003C24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H</w:t>
            </w:r>
          </w:p>
        </w:tc>
        <w:tc>
          <w:tcPr>
            <w:tcW w:w="5040" w:type="dxa"/>
            <w:gridSpan w:val="2"/>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Disconnecting of electrical equipment</w:t>
            </w:r>
          </w:p>
        </w:tc>
      </w:tr>
      <w:tr w:rsidTr="003C24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I</w:t>
            </w:r>
          </w:p>
        </w:tc>
        <w:tc>
          <w:tcPr>
            <w:tcW w:w="5040" w:type="dxa"/>
            <w:gridSpan w:val="2"/>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Preparing to reconnect electrical equipment</w:t>
            </w:r>
          </w:p>
        </w:tc>
      </w:tr>
      <w:tr w:rsidTr="003C24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J</w:t>
            </w:r>
          </w:p>
        </w:tc>
        <w:tc>
          <w:tcPr>
            <w:tcW w:w="5040" w:type="dxa"/>
            <w:gridSpan w:val="2"/>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Reconnection of electrical equipment</w:t>
            </w:r>
          </w:p>
        </w:tc>
      </w:tr>
      <w:tr w:rsidTr="003C24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K</w:t>
            </w:r>
          </w:p>
        </w:tc>
        <w:tc>
          <w:tcPr>
            <w:tcW w:w="5040" w:type="dxa"/>
            <w:gridSpan w:val="2"/>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Testing of the reconnected electrical equipment for safe operation including polarity and earth continuity</w:t>
            </w:r>
          </w:p>
        </w:tc>
      </w:tr>
      <w:tr w:rsidTr="003C24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L</w:t>
            </w:r>
          </w:p>
        </w:tc>
        <w:tc>
          <w:tcPr>
            <w:tcW w:w="5040" w:type="dxa"/>
            <w:gridSpan w:val="2"/>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Identifying fault(s) at point of disconnection and/or reconnection in accordance with established pr</w:t>
            </w:r>
            <w:r w:rsidRPr="00F95300">
              <w:t>ocedures</w:t>
            </w:r>
          </w:p>
        </w:tc>
      </w:tr>
      <w:tr w:rsidTr="003C24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M</w:t>
            </w:r>
          </w:p>
        </w:tc>
        <w:tc>
          <w:tcPr>
            <w:tcW w:w="5040" w:type="dxa"/>
            <w:gridSpan w:val="2"/>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Dealing with unplanned events by drawing on essential knowledge and skills to provide appropriate solutions incorporated in a holistic assessment with the above listed items</w:t>
            </w:r>
          </w:p>
        </w:tc>
      </w:tr>
      <w:tr w:rsidTr="003C24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Note:</w:t>
            </w:r>
            <w:r w:rsidRPr="00F95300">
              <w:br/>
            </w:r>
            <w:r w:rsidRPr="00F95300">
              <w:t>Successful completion of relevant vendor training may be used to contribute to evidence on which competency is deemed. In these cases the alignment of outcomes of vendor training with performance criteria and critical aspects of evidence shall be clearly i</w:t>
            </w:r>
            <w:r w:rsidRPr="00F95300">
              <w:t>dentified.</w:t>
            </w:r>
          </w:p>
        </w:tc>
      </w:tr>
      <w:tr w:rsidTr="003C24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95300" w:rsidP="00F95300">
            <w:pPr>
              <w:pStyle w:val="BodyText"/>
            </w:pPr>
            <w:r w:rsidRPr="00F95300">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95300" w:rsidP="00F95300">
            <w:pPr>
              <w:pStyle w:val="BodyText"/>
            </w:pPr>
            <w:r w:rsidRPr="00F95300">
              <w:rPr>
                <w:rStyle w:val="SpecialBold"/>
              </w:rPr>
              <w:t>9</w:t>
            </w:r>
            <w:r w:rsidRPr="00F95300">
              <w:t>.</w:t>
            </w:r>
            <w:r w:rsidRPr="00F95300">
              <w:rPr>
                <w:rStyle w:val="SpecialBold"/>
              </w:rPr>
              <w:t>3</w:t>
            </w:r>
            <w:r w:rsidRPr="00F95300">
              <w:t xml:space="preserve">) </w:t>
            </w:r>
          </w:p>
          <w:p w:rsidR="00000000" w:rsidRPr="00F95300" w:rsidP="00F95300">
            <w:pPr>
              <w:pStyle w:val="BodyText"/>
            </w:pPr>
            <w:r w:rsidRPr="00F95300">
              <w:t>This unit should be assessed as it relates to normal work practice using procedures, information and resources typical of a workplace. This should include:</w:t>
            </w:r>
          </w:p>
          <w:p w:rsidR="00000000" w:rsidRPr="00F95300" w:rsidP="00F95300">
            <w:pPr>
              <w:pStyle w:val="ListBullet"/>
            </w:pPr>
            <w:r w:rsidRPr="00F95300">
              <w:t>OHS policy and work procedures</w:t>
            </w:r>
            <w:r w:rsidRPr="00F95300">
              <w:t xml:space="preserve"> and instructions.</w:t>
            </w:r>
          </w:p>
          <w:p w:rsidR="00000000" w:rsidRPr="00F95300" w:rsidP="00F95300">
            <w:pPr>
              <w:pStyle w:val="ListBullet"/>
            </w:pPr>
            <w:r w:rsidRPr="00F95300">
              <w:t>Suitable work environment, facilities, equipment and materials to undertake actual work as prescribed by this unit.</w:t>
            </w:r>
          </w:p>
          <w:p w:rsidR="00000000" w:rsidRPr="00F95300" w:rsidP="00F95300">
            <w:pPr>
              <w:pStyle w:val="ListBullet"/>
            </w:pPr>
            <w:r w:rsidRPr="00F95300">
              <w:t>Workplace evidence to be produced in an industry/regulator approved recording system (logbook) confirming skills developm</w:t>
            </w:r>
            <w:r w:rsidRPr="00F95300">
              <w:t>ent under appropriate supervision</w:t>
            </w:r>
          </w:p>
          <w:p w:rsidR="00000000" w:rsidRPr="00F95300" w:rsidP="00F95300">
            <w:pPr>
              <w:pStyle w:val="BodyText"/>
            </w:pPr>
            <w:r w:rsidRPr="00F95300">
              <w:t>These should be part of the formal learning/assessment environment.</w:t>
            </w:r>
          </w:p>
          <w:p w:rsidR="00000000" w:rsidRPr="00F95300" w:rsidP="00F95300">
            <w:pPr>
              <w:pStyle w:val="BodyText"/>
            </w:pPr>
            <w:r w:rsidRPr="00F95300">
              <w:t>Note:</w:t>
            </w:r>
          </w:p>
          <w:p w:rsidR="00000000" w:rsidP="00F95300">
            <w:pPr>
              <w:pStyle w:val="BodyText"/>
              <w:rPr>
                <w:lang w:val="en-NZ"/>
              </w:rPr>
            </w:pPr>
            <w:r w:rsidRPr="00F95300">
              <w:t>Where simulation is considered a suitable strategy for assess</w:t>
            </w:r>
            <w:r w:rsidRPr="00F95300">
              <w:t>ment, conditions must be authentic and as far as possible reproduce and replicate the workplace and be consistent with the approved industry simulation policy.</w:t>
            </w:r>
          </w:p>
        </w:tc>
      </w:tr>
      <w:tr w:rsidTr="003C24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 xml:space="preserve">The resources used for assessment should reflect current industry practices in relation to </w:t>
            </w:r>
            <w:r w:rsidRPr="00F95300">
              <w:t>disconnecting and reconnecting fixed wired electrical equipment connected to a Low Voltage supply.</w:t>
            </w:r>
          </w:p>
        </w:tc>
      </w:tr>
      <w:tr w:rsidTr="003C24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95300" w:rsidP="00F95300">
            <w:pPr>
              <w:pStyle w:val="BodyText"/>
            </w:pPr>
            <w:r w:rsidRPr="00F95300">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95300" w:rsidP="00F95300">
            <w:pPr>
              <w:pStyle w:val="BodyText"/>
            </w:pPr>
            <w:r w:rsidRPr="00F95300">
              <w:rPr>
                <w:rStyle w:val="SpecialBold"/>
              </w:rPr>
              <w:t>9</w:t>
            </w:r>
            <w:r w:rsidRPr="00F95300">
              <w:t>.</w:t>
            </w:r>
            <w:r w:rsidRPr="00F95300">
              <w:rPr>
                <w:rStyle w:val="SpecialBold"/>
              </w:rPr>
              <w:t>4</w:t>
            </w:r>
            <w:r w:rsidRPr="00F95300">
              <w:t xml:space="preserve">) </w:t>
            </w:r>
          </w:p>
          <w:p w:rsidR="00000000" w:rsidRPr="00F95300" w:rsidP="00F95300">
            <w:pPr>
              <w:pStyle w:val="BodyText"/>
            </w:pPr>
            <w:r w:rsidRPr="00F95300">
              <w:t>This unit shall be assessed by methods given in Volume 1, Part 3 'Assessment Guidelines'.</w:t>
            </w:r>
          </w:p>
          <w:p w:rsidR="00000000" w:rsidP="00F95300">
            <w:pPr>
              <w:pStyle w:val="BodyText"/>
              <w:rPr>
                <w:lang w:val="en-NZ"/>
              </w:rPr>
            </w:pPr>
            <w:r w:rsidRPr="00F95300">
              <w:t>Note:</w:t>
            </w:r>
            <w:r w:rsidRPr="00F95300">
              <w:br/>
              <w:t>Competent performance with inh</w:t>
            </w:r>
            <w:r w:rsidRPr="00F95300">
              <w:t>erent safe working practices is expected in the Industry to which this unit applies. This requires assessment in a structured environment which is intended primarily for learning/assessment and incorporates all necessary equipment and facilities for learne</w:t>
            </w:r>
            <w:r w:rsidRPr="00F95300">
              <w:t>rs to develop and demonstrate the essential knowledge and skills described in this unit.</w:t>
            </w:r>
          </w:p>
        </w:tc>
      </w:tr>
      <w:tr w:rsidTr="003C243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95300" w:rsidP="00F95300">
            <w:pPr>
              <w:pStyle w:val="BodyText"/>
            </w:pPr>
            <w:r w:rsidRPr="00F95300">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rPr>
                <w:rStyle w:val="SpecialBold"/>
              </w:rPr>
              <w:t>9</w:t>
            </w:r>
            <w:r w:rsidRPr="00F95300">
              <w:t>.</w:t>
            </w:r>
            <w:r w:rsidRPr="00F95300">
              <w:rPr>
                <w:rStyle w:val="SpecialBold"/>
              </w:rPr>
              <w:t>5</w:t>
            </w:r>
            <w:r w:rsidRPr="00F95300">
              <w:t>)</w:t>
            </w:r>
          </w:p>
        </w:tc>
      </w:tr>
      <w:tr w:rsidTr="003C243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There are no concurrent assessment recommendations for this unit</w:t>
            </w:r>
          </w:p>
        </w:tc>
      </w:tr>
      <w:tr w:rsidTr="003C243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F95300" w:rsidP="00F95300">
            <w:pPr>
              <w:pStyle w:val="BodyText"/>
            </w:pPr>
          </w:p>
        </w:tc>
      </w:tr>
    </w:tbl>
    <w:p w:rsidR="003C2439" w:rsidP="00F95300">
      <w:pPr>
        <w:pStyle w:val="BodyText"/>
      </w:pPr>
    </w:p>
    <w:p w:rsidR="003C2439" w:rsidP="00F95300">
      <w:pPr>
        <w:pStyle w:val="BodyText"/>
      </w:pPr>
    </w:p>
    <w:p w:rsidR="00000000" w:rsidRPr="00F95300" w:rsidP="00F95300">
      <w:pPr>
        <w:pStyle w:val="Heading1"/>
      </w:pPr>
      <w:bookmarkStart w:id="11" w:name="O_255735"/>
      <w:bookmarkEnd w:id="11"/>
      <w:r w:rsidRPr="00F95300">
        <w:t>Range Statement</w:t>
      </w:r>
    </w:p>
    <w:tbl>
      <w:tblPr>
        <w:tblW w:w="0" w:type="auto"/>
        <w:tblLayout w:type="fixed"/>
        <w:tblCellMar>
          <w:left w:w="62" w:type="dxa"/>
          <w:right w:w="62" w:type="dxa"/>
        </w:tblCellMar>
        <w:tblLook w:val="0000"/>
      </w:tblPr>
      <w:tblGrid>
        <w:gridCol w:w="2160"/>
        <w:gridCol w:w="6300"/>
      </w:tblGrid>
      <w:tr w:rsidTr="003C2439">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rPr>
                <w:rStyle w:val="SpecialBold"/>
              </w:rPr>
              <w:t>RANGE STATEMENT</w:t>
            </w:r>
          </w:p>
        </w:tc>
      </w:tr>
      <w:tr w:rsidTr="003C243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rPr>
                <w:rStyle w:val="SpecialBold"/>
              </w:rPr>
              <w:t>8</w:t>
            </w:r>
            <w:r w:rsidRPr="00F95300">
              <w:t>) This relates to the unit as a whole providing the range of contexts and conditions to which the performance criteria apply. It allows for different work environments and situations that will affect performance.</w:t>
            </w:r>
          </w:p>
        </w:tc>
      </w:tr>
      <w:tr w:rsidTr="003C243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Competency shall be demonstrated in relation to disconnecting and reconnecting at least one of the following endorsed types of electrical equipment connected to supplies up to 1,000V a.c or 1,500V d.c:</w:t>
            </w:r>
          </w:p>
        </w:tc>
      </w:tr>
      <w:tr w:rsidTr="003C243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F95300" w:rsidP="00F95300">
            <w:pPr>
              <w:pStyle w:val="ListBullet"/>
            </w:pPr>
            <w:r w:rsidRPr="00F95300">
              <w:t>Appliances (O)</w:t>
            </w:r>
          </w:p>
          <w:p w:rsidR="00000000" w:rsidRPr="00F95300" w:rsidP="00F95300">
            <w:pPr>
              <w:pStyle w:val="ListBullet"/>
            </w:pPr>
            <w:r w:rsidRPr="00F95300">
              <w:t>Pre-assembled types 1 and 2 cold cat</w:t>
            </w:r>
            <w:r w:rsidRPr="00F95300">
              <w:t>hode neon signs (N)</w:t>
            </w:r>
          </w:p>
          <w:p w:rsidR="00000000" w:rsidRPr="00F95300" w:rsidP="00F95300">
            <w:pPr>
              <w:pStyle w:val="ListBullet"/>
            </w:pPr>
            <w:r w:rsidRPr="00F95300">
              <w:t>Composite equipment incorporating one or more current-using devices and/or controls (P)</w:t>
            </w:r>
          </w:p>
          <w:p w:rsidR="00000000" w:rsidRPr="00F95300" w:rsidP="00F95300">
            <w:pPr>
              <w:pStyle w:val="BodyText"/>
            </w:pPr>
            <w:r w:rsidRPr="00F95300">
              <w:t xml:space="preserve">Note: </w:t>
            </w:r>
            <w:r w:rsidRPr="00F95300">
              <w:br/>
              <w:t>Examples of composite equipment are a self-contained refrigeration unit, machine tools, and modular telephone booths.</w:t>
            </w:r>
          </w:p>
          <w:p w:rsidR="00000000" w:rsidRPr="00F95300" w:rsidP="00F95300">
            <w:pPr>
              <w:pStyle w:val="ListBullet"/>
            </w:pPr>
            <w:r w:rsidRPr="00F95300">
              <w:t>Control devices (Q)</w:t>
            </w:r>
          </w:p>
          <w:p w:rsidR="00000000" w:rsidRPr="00F95300" w:rsidP="00F95300">
            <w:pPr>
              <w:pStyle w:val="ListBullet"/>
            </w:pPr>
            <w:r w:rsidRPr="00F95300">
              <w:t>Electrical water heaters (R)</w:t>
            </w:r>
          </w:p>
          <w:p w:rsidR="00000000" w:rsidP="00F95300">
            <w:pPr>
              <w:pStyle w:val="ListBullet"/>
              <w:rPr>
                <w:lang w:val="en-NZ"/>
              </w:rPr>
            </w:pPr>
            <w:r w:rsidRPr="00F95300">
              <w:t>Motors (S)</w:t>
            </w:r>
          </w:p>
        </w:tc>
      </w:tr>
      <w:tr w:rsidTr="003C243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95300" w:rsidP="00F95300">
            <w:pPr>
              <w:pStyle w:val="BodyText"/>
            </w:pPr>
            <w:r w:rsidRPr="00F95300">
              <w:br/>
              <w:t>Note:</w:t>
            </w:r>
          </w:p>
          <w:p w:rsidR="00000000" w:rsidRPr="00F95300" w:rsidP="00F95300">
            <w:pPr>
              <w:pStyle w:val="BodyText"/>
            </w:pPr>
            <w:r w:rsidRPr="00F95300">
              <w:t>1. Each endorsement achieved is to be reported separately.</w:t>
            </w:r>
          </w:p>
          <w:p w:rsidR="00000000" w:rsidRPr="00F95300" w:rsidP="00F95300">
            <w:pPr>
              <w:pStyle w:val="BodyText"/>
            </w:pPr>
            <w:r w:rsidRPr="00F95300">
              <w:t>2. Limitations of this unit. This unit does not cover the knowledge and skills necessary for work:</w:t>
            </w:r>
          </w:p>
          <w:p w:rsidR="00000000" w:rsidRPr="00F95300" w:rsidP="00F95300">
            <w:pPr>
              <w:pStyle w:val="BodyText"/>
            </w:pPr>
            <w:r w:rsidRPr="00F95300">
              <w:t>a)</w:t>
            </w:r>
            <w:r w:rsidRPr="00F95300">
              <w:tab/>
              <w:t>where high fault currents are possible</w:t>
            </w:r>
          </w:p>
          <w:p w:rsidR="00000000" w:rsidRPr="00F95300" w:rsidP="00F95300">
            <w:pPr>
              <w:pStyle w:val="BodyText"/>
            </w:pPr>
            <w:r w:rsidRPr="00F95300">
              <w:t>b)</w:t>
            </w:r>
            <w:r w:rsidRPr="00F95300">
              <w:tab/>
              <w:t>on co</w:t>
            </w:r>
            <w:r w:rsidRPr="00F95300">
              <w:t>mplex electrical apparatus and circuits</w:t>
            </w:r>
          </w:p>
          <w:p w:rsidR="00000000" w:rsidRPr="00F95300" w:rsidP="00F95300">
            <w:pPr>
              <w:pStyle w:val="BodyText"/>
            </w:pPr>
            <w:r w:rsidRPr="00F95300">
              <w:t>c)</w:t>
            </w:r>
            <w:r w:rsidRPr="00F95300">
              <w:tab/>
              <w:t>associated with fixed wiring other than disconnecting and reconnecting electrical equipment as listed in the Range Statement including locating and rectifying faults of circuits at a switchboard or to general elec</w:t>
            </w:r>
            <w:r w:rsidRPr="00F95300">
              <w:t>trical accessories (including switches, socket outlets, circuit protective devices etc); or installation of or alteration to any part of the fixed electrical wiring system (defined as electrical installing work),</w:t>
            </w:r>
          </w:p>
          <w:p w:rsidR="00000000" w:rsidRPr="00F95300" w:rsidP="00F95300">
            <w:pPr>
              <w:pStyle w:val="BodyText"/>
            </w:pPr>
            <w:r w:rsidRPr="00F95300">
              <w:t>d)</w:t>
            </w:r>
            <w:r w:rsidRPr="00F95300">
              <w:tab/>
              <w:t>on luminaires,</w:t>
            </w:r>
          </w:p>
          <w:p w:rsidR="00000000" w:rsidP="00F95300">
            <w:pPr>
              <w:pStyle w:val="BodyText"/>
              <w:rPr>
                <w:lang w:val="en-NZ"/>
              </w:rPr>
            </w:pPr>
            <w:r w:rsidRPr="00F95300">
              <w:t>d)</w:t>
            </w:r>
            <w:r w:rsidRPr="00F95300">
              <w:tab/>
              <w:t xml:space="preserve">in hazardous areas or </w:t>
            </w:r>
            <w:r w:rsidRPr="00F95300">
              <w:t>on electrical equipment that is part of an explosion-protection technique.</w:t>
            </w:r>
          </w:p>
        </w:tc>
      </w:tr>
      <w:tr w:rsidTr="003C243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Safe Working. Safe procedures for working within in the scope of this unit shall be in accordance with AS/NZS 4836:2001 'Safe working on low-voltage electrical installations.'</w:t>
            </w:r>
          </w:p>
        </w:tc>
      </w:tr>
      <w:tr w:rsidTr="003C243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95300" w:rsidP="00F95300">
            <w:pPr>
              <w:pStyle w:val="BodyText"/>
            </w:pPr>
            <w:r w:rsidRPr="00F95300">
              <w:t>Generic terms used throughout this Vocational Standard shall be regarded as part of the Range Statement in which competency is demonstrated. The definition of these and other terms that apply are given in Volume 2, Part 2.1.</w:t>
            </w:r>
          </w:p>
        </w:tc>
      </w:tr>
    </w:tbl>
    <w:p w:rsidR="003C2439" w:rsidP="00F95300">
      <w:pPr>
        <w:pStyle w:val="BodyText"/>
      </w:pPr>
    </w:p>
    <w:p w:rsidR="003C2439" w:rsidP="00F95300">
      <w:pPr>
        <w:pStyle w:val="BodyText"/>
      </w:pPr>
    </w:p>
    <w:p w:rsidR="00000000" w:rsidRPr="00F95300" w:rsidP="00F95300">
      <w:pPr>
        <w:pStyle w:val="Heading1"/>
      </w:pPr>
      <w:bookmarkStart w:id="12" w:name="O_296748"/>
      <w:bookmarkEnd w:id="12"/>
      <w:r w:rsidRPr="00F95300">
        <w:t>Unit Secto</w:t>
      </w:r>
      <w:r w:rsidRPr="00F95300">
        <w:t>r(s)</w:t>
      </w:r>
    </w:p>
    <w:p w:rsidR="00000000" w:rsidRPr="00F95300" w:rsidP="00F95300">
      <w:pPr>
        <w:pStyle w:val="BodyText"/>
      </w:pPr>
      <w:r w:rsidRPr="00F95300">
        <w:t>Not Applicable</w:t>
      </w:r>
    </w:p>
    <w:p w:rsidR="00000000" w:rsidRPr="00F95300" w:rsidP="00F95300">
      <w:pPr>
        <w:pStyle w:val="AllowPageBreak"/>
      </w:pPr>
    </w:p>
    <w:p w:rsidR="00000000" w:rsidRPr="00F95300" w:rsidP="00F95300">
      <w:pPr>
        <w:pStyle w:val="Heading1"/>
      </w:pPr>
      <w:bookmarkStart w:id="13" w:name="O_229134"/>
      <w:bookmarkEnd w:id="13"/>
      <w:r w:rsidRPr="00F95300">
        <w:t>Custom Content Section</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3C2439">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F95300" w:rsidP="00F95300">
            <w:pPr>
              <w:pStyle w:val="BodyText"/>
            </w:pPr>
            <w:r w:rsidRPr="00F95300">
              <w:rPr>
                <w:rStyle w:val="SpecialBold"/>
              </w:rPr>
              <w:t>2</w:t>
            </w:r>
            <w:r w:rsidRPr="00F95300">
              <w:t>.</w:t>
            </w:r>
            <w:r w:rsidRPr="00F95300">
              <w:rPr>
                <w:rStyle w:val="SpecialBold"/>
              </w:rPr>
              <w:t>2</w:t>
            </w:r>
            <w:r w:rsidRPr="00F95300">
              <w:t xml:space="preserve">) </w:t>
            </w:r>
            <w:r w:rsidRPr="00F95300">
              <w:rPr>
                <w:rStyle w:val="SpecialBold"/>
              </w:rPr>
              <w:t>Literacy and numeracy skills</w:t>
            </w:r>
          </w:p>
          <w:p w:rsidR="00000000" w:rsidP="00F95300">
            <w:pPr>
              <w:pStyle w:val="BodyText"/>
              <w:rPr>
                <w:lang w:val="en-NZ"/>
              </w:rPr>
            </w:pPr>
            <w:r w:rsidRPr="00F95300">
              <w:t>Participants are best equipped to achieve this unit if they have reading, writing and numeracy skills indicated by the following scales. Description of each scale</w:t>
            </w:r>
            <w:r w:rsidRPr="00F95300">
              <w:t xml:space="preserve"> is given in Volume 2, Part 3 'Literacy and Numeracy'</w:t>
            </w:r>
          </w:p>
        </w:tc>
      </w:tr>
      <w:tr w:rsidTr="003C2439">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Reading</w:t>
            </w:r>
          </w:p>
        </w:tc>
        <w:tc>
          <w:tcPr>
            <w:tcW w:w="1182"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3</w:t>
            </w:r>
          </w:p>
        </w:tc>
        <w:tc>
          <w:tcPr>
            <w:tcW w:w="1739"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Writing</w:t>
            </w:r>
          </w:p>
        </w:tc>
        <w:tc>
          <w:tcPr>
            <w:tcW w:w="1182"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3</w:t>
            </w:r>
          </w:p>
        </w:tc>
        <w:tc>
          <w:tcPr>
            <w:tcW w:w="1721"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t>Numeracy</w:t>
            </w:r>
          </w:p>
        </w:tc>
        <w:tc>
          <w:tcPr>
            <w:tcW w:w="1182" w:type="dxa"/>
            <w:tcBorders>
              <w:top w:val="nil"/>
              <w:left w:val="nil"/>
              <w:bottom w:val="nil"/>
              <w:right w:val="nil"/>
            </w:tcBorders>
            <w:tcMar>
              <w:top w:w="0" w:type="dxa"/>
              <w:left w:w="62" w:type="dxa"/>
              <w:bottom w:w="0" w:type="dxa"/>
              <w:right w:w="62" w:type="dxa"/>
            </w:tcMar>
          </w:tcPr>
          <w:p w:rsidR="00000000" w:rsidRPr="00F95300" w:rsidP="00F95300">
            <w:pPr>
              <w:pStyle w:val="BodyText"/>
            </w:pPr>
            <w:r w:rsidRPr="00F95300">
              <w:t>3</w:t>
            </w:r>
          </w:p>
        </w:tc>
      </w:tr>
    </w:tbl>
    <w:p w:rsidR="003C2439" w:rsidP="00F95300">
      <w:pPr>
        <w:pStyle w:val="BodyText"/>
      </w:pPr>
    </w:p>
    <w:p w:rsidR="003C2439" w:rsidP="00F95300">
      <w:pPr>
        <w:pStyle w:val="BodyText"/>
      </w:pPr>
    </w:p>
    <w:p w:rsidR="00000000" w:rsidRPr="00F95300" w:rsidP="00F95300">
      <w:pPr>
        <w:pStyle w:val="Heading1"/>
      </w:pPr>
      <w:bookmarkStart w:id="14" w:name="O_229137"/>
      <w:bookmarkEnd w:id="14"/>
      <w:r w:rsidRPr="00F95300">
        <w:t>Competency Field</w:t>
      </w:r>
    </w:p>
    <w:tbl>
      <w:tblPr>
        <w:tblW w:w="0" w:type="auto"/>
        <w:tblLayout w:type="fixed"/>
        <w:tblCellMar>
          <w:left w:w="62" w:type="dxa"/>
          <w:right w:w="62" w:type="dxa"/>
        </w:tblCellMar>
        <w:tblLook w:val="0000"/>
      </w:tblPr>
      <w:tblGrid>
        <w:gridCol w:w="2700"/>
        <w:gridCol w:w="5760"/>
      </w:tblGrid>
      <w:tr w:rsidTr="003C243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5300" w:rsidP="00F95300">
            <w:pPr>
              <w:pStyle w:val="BodyText"/>
            </w:pPr>
            <w:r w:rsidRPr="00F9530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95300">
            <w:pPr>
              <w:pStyle w:val="BodyText"/>
              <w:rPr>
                <w:lang w:val="en-NZ"/>
              </w:rPr>
            </w:pPr>
            <w:r w:rsidRPr="00F95300">
              <w:rPr>
                <w:rStyle w:val="SpecialBold"/>
              </w:rPr>
              <w:t>5</w:t>
            </w:r>
            <w:r w:rsidRPr="00F95300">
              <w:t>)</w:t>
            </w:r>
          </w:p>
        </w:tc>
      </w:tr>
      <w:tr w:rsidTr="003C243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5300" w:rsidP="00F95300">
            <w:pPr>
              <w:pStyle w:val="BodyText"/>
            </w:pPr>
            <w:r w:rsidRPr="00F95300">
              <w:t>Restricted and Specialisations</w:t>
            </w:r>
          </w:p>
        </w:tc>
      </w:tr>
    </w:tbl>
    <w:p w:rsidR="003C2439" w:rsidP="00F95300">
      <w:pPr>
        <w:pStyle w:val="BodyText"/>
      </w:pPr>
    </w:p>
    <w:p w:rsidR="003C2439" w:rsidP="00F95300">
      <w:pPr>
        <w:pStyle w:val="BodyText"/>
      </w:pPr>
    </w:p>
    <w:p w:rsidR="00000000" w:rsidRPr="00F95300" w:rsidP="00F95300"/>
    <w:sectPr w:rsidSect="00F953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3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2439" w:rsidP="003C243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3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439" w:rsidP="00F9530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C2439" w:rsidP="00F953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C2439" w:rsidP="00F953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3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300" w:rsidRPr="003C2439" w:rsidP="003C243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3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439" w:rsidRPr="002D2AF8" w:rsidP="00F95300">
    <w:pPr>
      <w:pStyle w:val="Header"/>
      <w:framePr w:wrap="around"/>
    </w:pPr>
    <w:r>
      <w:fldChar w:fldCharType="begin"/>
    </w:r>
    <w:r>
      <w:instrText xml:space="preserve"> TITLE   \* MERGEFORMAT </w:instrText>
    </w:r>
    <w:r>
      <w:fldChar w:fldCharType="separate"/>
    </w:r>
    <w:r>
      <w:t>UEENEEP001B Disconnect and reconnect fixed wired electrical equipment connected to a Low Voltage supply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3C2439" w:rsidP="00F953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A218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FAEE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FA8A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3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5300"/>
    <w:pPr>
      <w:spacing w:before="360" w:after="60"/>
      <w:outlineLvl w:val="0"/>
    </w:pPr>
    <w:rPr>
      <w:sz w:val="32"/>
    </w:rPr>
  </w:style>
  <w:style w:type="paragraph" w:styleId="Heading2">
    <w:name w:val="heading 2"/>
    <w:basedOn w:val="HeadingBase"/>
    <w:next w:val="BodyText"/>
    <w:link w:val="Heading2Char"/>
    <w:qFormat/>
    <w:rsid w:val="00F95300"/>
    <w:pPr>
      <w:keepLines/>
      <w:spacing w:before="240" w:after="120"/>
      <w:outlineLvl w:val="1"/>
    </w:pPr>
    <w:rPr>
      <w:sz w:val="28"/>
      <w:szCs w:val="40"/>
    </w:rPr>
  </w:style>
  <w:style w:type="paragraph" w:styleId="Heading3">
    <w:name w:val="heading 3"/>
    <w:basedOn w:val="HeadingBase"/>
    <w:next w:val="BodyText"/>
    <w:link w:val="Heading3Char"/>
    <w:qFormat/>
    <w:rsid w:val="00F95300"/>
    <w:pPr>
      <w:spacing w:before="180" w:after="120"/>
      <w:outlineLvl w:val="2"/>
    </w:pPr>
    <w:rPr>
      <w:spacing w:val="-10"/>
      <w:kern w:val="32"/>
    </w:rPr>
  </w:style>
  <w:style w:type="paragraph" w:styleId="Heading4">
    <w:name w:val="heading 4"/>
    <w:basedOn w:val="HeadingBase"/>
    <w:next w:val="BodyText"/>
    <w:link w:val="Heading4Char"/>
    <w:qFormat/>
    <w:rsid w:val="00F95300"/>
    <w:pPr>
      <w:spacing w:before="160" w:after="120"/>
      <w:outlineLvl w:val="3"/>
    </w:pPr>
    <w:rPr>
      <w:sz w:val="22"/>
    </w:rPr>
  </w:style>
  <w:style w:type="paragraph" w:styleId="Heading5">
    <w:name w:val="heading 5"/>
    <w:basedOn w:val="HeadingBase"/>
    <w:next w:val="Normal"/>
    <w:link w:val="Heading5Char"/>
    <w:qFormat/>
    <w:rsid w:val="00F95300"/>
    <w:pPr>
      <w:spacing w:before="80"/>
      <w:outlineLvl w:val="4"/>
    </w:pPr>
    <w:rPr>
      <w:color w:val="918585"/>
      <w:sz w:val="20"/>
    </w:rPr>
  </w:style>
  <w:style w:type="paragraph" w:styleId="Heading6">
    <w:name w:val="heading 6"/>
    <w:basedOn w:val="HeadingBase"/>
    <w:next w:val="Normal"/>
    <w:link w:val="Heading6Char"/>
    <w:qFormat/>
    <w:rsid w:val="00F95300"/>
    <w:pPr>
      <w:spacing w:before="60"/>
      <w:outlineLvl w:val="5"/>
    </w:pPr>
    <w:rPr>
      <w:color w:val="918585"/>
      <w:sz w:val="20"/>
    </w:rPr>
  </w:style>
  <w:style w:type="paragraph" w:styleId="Heading7">
    <w:name w:val="heading 7"/>
    <w:basedOn w:val="Normal"/>
    <w:next w:val="Normal"/>
    <w:link w:val="Heading7Char"/>
    <w:qFormat/>
    <w:rsid w:val="00F95300"/>
    <w:pPr>
      <w:ind w:left="720"/>
      <w:outlineLvl w:val="6"/>
    </w:pPr>
    <w:rPr>
      <w:i/>
    </w:rPr>
  </w:style>
  <w:style w:type="paragraph" w:styleId="Heading8">
    <w:name w:val="heading 8"/>
    <w:basedOn w:val="Normal"/>
    <w:next w:val="Normal"/>
    <w:link w:val="Heading8Char"/>
    <w:qFormat/>
    <w:rsid w:val="00F95300"/>
    <w:pPr>
      <w:ind w:left="720"/>
      <w:outlineLvl w:val="7"/>
    </w:pPr>
    <w:rPr>
      <w:i/>
    </w:rPr>
  </w:style>
  <w:style w:type="paragraph" w:styleId="Heading9">
    <w:name w:val="heading 9"/>
    <w:basedOn w:val="Normal"/>
    <w:next w:val="Normal"/>
    <w:link w:val="Heading9Char"/>
    <w:qFormat/>
    <w:rsid w:val="00F95300"/>
    <w:pPr>
      <w:ind w:left="720"/>
      <w:outlineLvl w:val="8"/>
    </w:pPr>
    <w:rPr>
      <w:i/>
    </w:rPr>
  </w:style>
  <w:style w:type="character" w:default="1" w:styleId="DefaultParagraphFont">
    <w:name w:val="Default Paragraph Font"/>
    <w:uiPriority w:val="1"/>
    <w:unhideWhenUsed/>
    <w:rsid w:val="00F953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5300"/>
  </w:style>
  <w:style w:type="character" w:customStyle="1" w:styleId="Heading1Char">
    <w:name w:val="Heading 1 Char"/>
    <w:basedOn w:val="DefaultParagraphFont"/>
    <w:link w:val="Heading1"/>
    <w:rsid w:val="00F95300"/>
    <w:rPr>
      <w:rFonts w:ascii="Times New Roman" w:eastAsia="Times New Roman" w:hAnsi="Times New Roman" w:cs="Times New Roman"/>
      <w:b/>
      <w:sz w:val="32"/>
      <w:szCs w:val="20"/>
      <w:lang w:eastAsia="en-US"/>
    </w:rPr>
  </w:style>
  <w:style w:type="paragraph" w:styleId="BodyText">
    <w:name w:val="Body Text"/>
    <w:basedOn w:val="Normal"/>
    <w:link w:val="BodyTextChar"/>
    <w:rsid w:val="00F953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5300"/>
    <w:rPr>
      <w:rFonts w:ascii="Times New Roman" w:eastAsia="Times New Roman" w:hAnsi="Times New Roman" w:cs="Times New Roman"/>
      <w:sz w:val="24"/>
      <w:lang w:eastAsia="en-US"/>
    </w:rPr>
  </w:style>
  <w:style w:type="paragraph" w:styleId="Footer">
    <w:name w:val="footer"/>
    <w:basedOn w:val="Normal"/>
    <w:link w:val="FooterChar"/>
    <w:rsid w:val="00F953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5300"/>
    <w:rPr>
      <w:rFonts w:ascii="Times New Roman" w:eastAsia="Times New Roman" w:hAnsi="Times New Roman" w:cs="Times New Roman"/>
      <w:sz w:val="16"/>
      <w:lang w:eastAsia="en-US"/>
    </w:rPr>
  </w:style>
  <w:style w:type="paragraph" w:styleId="ListBullet">
    <w:name w:val="List Bullet"/>
    <w:basedOn w:val="List"/>
    <w:rsid w:val="00F95300"/>
    <w:pPr>
      <w:numPr>
        <w:numId w:val="13"/>
      </w:numPr>
      <w:tabs>
        <w:tab w:val="clear" w:pos="340"/>
      </w:tabs>
      <w:spacing w:before="40" w:after="40"/>
    </w:pPr>
  </w:style>
  <w:style w:type="character" w:customStyle="1" w:styleId="SpecialBold">
    <w:name w:val="Special Bold"/>
    <w:basedOn w:val="DefaultParagraphFont"/>
    <w:rsid w:val="00F95300"/>
    <w:rPr>
      <w:b/>
      <w:spacing w:val="0"/>
    </w:rPr>
  </w:style>
  <w:style w:type="paragraph" w:styleId="ListBullet2">
    <w:name w:val="List Bullet 2"/>
    <w:basedOn w:val="List2"/>
    <w:rsid w:val="00F95300"/>
    <w:pPr>
      <w:numPr>
        <w:numId w:val="14"/>
      </w:numPr>
      <w:tabs>
        <w:tab w:val="clear" w:pos="680"/>
      </w:tabs>
    </w:pPr>
  </w:style>
  <w:style w:type="paragraph" w:customStyle="1" w:styleId="SuperHeading">
    <w:name w:val="SuperHeading"/>
    <w:basedOn w:val="Normal"/>
    <w:rsid w:val="00F95300"/>
    <w:pPr>
      <w:spacing w:before="240" w:after="120"/>
      <w:outlineLvl w:val="0"/>
    </w:pPr>
    <w:rPr>
      <w:rFonts w:ascii="Times New Roman" w:hAnsi="Times New Roman"/>
      <w:b/>
      <w:sz w:val="28"/>
    </w:rPr>
  </w:style>
  <w:style w:type="paragraph" w:customStyle="1" w:styleId="AllowPageBreak">
    <w:name w:val="AllowPageBreak"/>
    <w:rsid w:val="00F953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53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53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53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53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53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53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53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5300"/>
    <w:rPr>
      <w:rFonts w:ascii="Courier New" w:eastAsia="Times New Roman" w:hAnsi="Courier New" w:cs="Times New Roman"/>
      <w:i/>
      <w:szCs w:val="20"/>
      <w:lang w:eastAsia="en-US"/>
    </w:rPr>
  </w:style>
  <w:style w:type="paragraph" w:customStyle="1" w:styleId="HeadingBase">
    <w:name w:val="Heading Base"/>
    <w:rsid w:val="00F953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5300"/>
    <w:pPr>
      <w:tabs>
        <w:tab w:val="right" w:leader="dot" w:pos="9072"/>
      </w:tabs>
      <w:ind w:left="567"/>
    </w:pPr>
    <w:rPr>
      <w:szCs w:val="22"/>
    </w:rPr>
  </w:style>
  <w:style w:type="paragraph" w:customStyle="1" w:styleId="TOCBase">
    <w:name w:val="TOC Base"/>
    <w:rsid w:val="00F953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5300"/>
    <w:pPr>
      <w:tabs>
        <w:tab w:val="right" w:leader="dot" w:pos="9072"/>
      </w:tabs>
      <w:spacing w:before="40" w:after="40"/>
      <w:ind w:left="284"/>
    </w:pPr>
    <w:rPr>
      <w:rFonts w:ascii="Times New Roman" w:hAnsi="Times New Roman"/>
    </w:rPr>
  </w:style>
  <w:style w:type="paragraph" w:styleId="TOC1">
    <w:name w:val="toc 1"/>
    <w:basedOn w:val="TOCBase"/>
    <w:next w:val="Normal"/>
    <w:rsid w:val="00F953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5300"/>
    <w:pPr>
      <w:spacing w:before="5040"/>
      <w:jc w:val="center"/>
    </w:pPr>
    <w:rPr>
      <w:sz w:val="48"/>
      <w:szCs w:val="72"/>
      <w:lang w:val="en-US"/>
    </w:rPr>
  </w:style>
  <w:style w:type="character" w:customStyle="1" w:styleId="TitleChar">
    <w:name w:val="Title Char"/>
    <w:basedOn w:val="DefaultParagraphFont"/>
    <w:link w:val="Title"/>
    <w:rsid w:val="00F953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5300"/>
    <w:pPr>
      <w:tabs>
        <w:tab w:val="left" w:pos="3600"/>
        <w:tab w:val="left" w:pos="3958"/>
      </w:tabs>
    </w:pPr>
  </w:style>
  <w:style w:type="paragraph" w:styleId="List">
    <w:name w:val="List"/>
    <w:basedOn w:val="BodyText"/>
    <w:next w:val="BodyText"/>
    <w:rsid w:val="00F95300"/>
    <w:pPr>
      <w:tabs>
        <w:tab w:val="left" w:pos="340"/>
      </w:tabs>
      <w:spacing w:before="60" w:after="60"/>
      <w:ind w:left="340" w:hanging="340"/>
    </w:pPr>
  </w:style>
  <w:style w:type="paragraph" w:customStyle="1" w:styleId="Note">
    <w:name w:val="Note"/>
    <w:basedOn w:val="BodyText"/>
    <w:rsid w:val="00F953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5300"/>
    <w:pPr>
      <w:framePr w:wrap="auto" w:hAnchor="text" w:y="6049"/>
    </w:pPr>
    <w:rPr>
      <w:color w:val="000000"/>
      <w:sz w:val="40"/>
    </w:rPr>
  </w:style>
  <w:style w:type="paragraph" w:customStyle="1" w:styleId="TOCTitle">
    <w:name w:val="TOCTitle"/>
    <w:basedOn w:val="Heading1"/>
    <w:rsid w:val="00F95300"/>
    <w:pPr>
      <w:spacing w:after="240"/>
      <w:jc w:val="center"/>
      <w:outlineLvl w:val="9"/>
    </w:pPr>
    <w:rPr>
      <w:caps/>
    </w:rPr>
  </w:style>
  <w:style w:type="paragraph" w:customStyle="1" w:styleId="Version">
    <w:name w:val="Version"/>
    <w:rsid w:val="00F953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5300"/>
    <w:pPr>
      <w:keepNext w:val="0"/>
      <w:tabs>
        <w:tab w:val="right" w:pos="4176"/>
      </w:tabs>
      <w:ind w:left="198" w:hanging="198"/>
    </w:pPr>
    <w:rPr>
      <w:rFonts w:ascii="Garamond" w:hAnsi="Garamond"/>
    </w:rPr>
  </w:style>
  <w:style w:type="paragraph" w:styleId="IndexHeading">
    <w:name w:val="index heading"/>
    <w:basedOn w:val="Normal"/>
    <w:next w:val="Index1"/>
    <w:semiHidden/>
    <w:rsid w:val="00F95300"/>
    <w:pPr>
      <w:spacing w:before="120" w:after="120"/>
    </w:pPr>
    <w:rPr>
      <w:rFonts w:ascii="Arial" w:hAnsi="Arial"/>
      <w:b/>
      <w:color w:val="918585"/>
      <w:sz w:val="24"/>
    </w:rPr>
  </w:style>
  <w:style w:type="paragraph" w:styleId="Header">
    <w:name w:val="header"/>
    <w:basedOn w:val="Normal"/>
    <w:link w:val="HeaderChar"/>
    <w:rsid w:val="00F953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5300"/>
    <w:rPr>
      <w:rFonts w:ascii="Times New Roman" w:eastAsia="Times New Roman" w:hAnsi="Times New Roman" w:cs="Times New Roman"/>
      <w:sz w:val="16"/>
      <w:szCs w:val="20"/>
      <w:lang w:val="en-GB" w:eastAsia="en-US"/>
    </w:rPr>
  </w:style>
  <w:style w:type="paragraph" w:customStyle="1" w:styleId="Chapter">
    <w:name w:val="Chapter"/>
    <w:basedOn w:val="Normal"/>
    <w:rsid w:val="00F95300"/>
    <w:pPr>
      <w:spacing w:before="240"/>
    </w:pPr>
    <w:rPr>
      <w:rFonts w:ascii="Times New Roman" w:hAnsi="Times New Roman"/>
      <w:smallCaps/>
      <w:spacing w:val="80"/>
      <w:sz w:val="28"/>
    </w:rPr>
  </w:style>
  <w:style w:type="paragraph" w:customStyle="1" w:styleId="InChapter">
    <w:name w:val="InChapter"/>
    <w:basedOn w:val="Heading3"/>
    <w:rsid w:val="00F95300"/>
    <w:pPr>
      <w:spacing w:after="240"/>
      <w:outlineLvl w:val="9"/>
    </w:pPr>
    <w:rPr>
      <w:noProof/>
    </w:rPr>
  </w:style>
  <w:style w:type="paragraph" w:styleId="Index2">
    <w:name w:val="index 2"/>
    <w:basedOn w:val="Normal"/>
    <w:next w:val="Normal"/>
    <w:semiHidden/>
    <w:rsid w:val="00F95300"/>
    <w:pPr>
      <w:tabs>
        <w:tab w:val="right" w:pos="4176"/>
      </w:tabs>
      <w:ind w:left="568" w:hanging="284"/>
    </w:pPr>
    <w:rPr>
      <w:rFonts w:ascii="Garamond" w:hAnsi="Garamond"/>
    </w:rPr>
  </w:style>
  <w:style w:type="paragraph" w:customStyle="1" w:styleId="Byline">
    <w:name w:val="Byline"/>
    <w:rsid w:val="00F953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5300"/>
    <w:pPr>
      <w:tabs>
        <w:tab w:val="clear" w:pos="3600"/>
        <w:tab w:val="clear" w:pos="3958"/>
      </w:tabs>
      <w:jc w:val="right"/>
    </w:pPr>
  </w:style>
  <w:style w:type="character" w:styleId="Emphasis">
    <w:name w:val="Emphasis"/>
    <w:basedOn w:val="DefaultParagraphFont"/>
    <w:qFormat/>
    <w:rsid w:val="00F95300"/>
    <w:rPr>
      <w:i/>
    </w:rPr>
  </w:style>
  <w:style w:type="paragraph" w:styleId="Caption">
    <w:name w:val="caption"/>
    <w:basedOn w:val="BodyText"/>
    <w:next w:val="Normal"/>
    <w:qFormat/>
    <w:rsid w:val="00F95300"/>
    <w:pPr>
      <w:framePr w:w="2268" w:hSpace="181" w:vSpace="181" w:wrap="around" w:vAnchor="text" w:hAnchor="page" w:x="1135" w:y="285" w:anchorLock="1"/>
    </w:pPr>
    <w:rPr>
      <w:i/>
    </w:rPr>
  </w:style>
  <w:style w:type="paragraph" w:customStyle="1" w:styleId="MiniTOCTitle">
    <w:name w:val="MiniTOCTitle"/>
    <w:basedOn w:val="Heading4"/>
    <w:rsid w:val="00F95300"/>
    <w:pPr>
      <w:spacing w:before="240"/>
      <w:outlineLvl w:val="9"/>
    </w:pPr>
    <w:rPr>
      <w:noProof/>
      <w:sz w:val="24"/>
    </w:rPr>
  </w:style>
  <w:style w:type="paragraph" w:customStyle="1" w:styleId="MiniTOCItem">
    <w:name w:val="MiniTOCItem"/>
    <w:basedOn w:val="ListBullet"/>
    <w:rsid w:val="00F95300"/>
    <w:pPr>
      <w:numPr>
        <w:numId w:val="0"/>
      </w:numPr>
      <w:tabs>
        <w:tab w:val="right" w:leader="dot" w:pos="6521"/>
      </w:tabs>
      <w:spacing w:before="0" w:after="0"/>
    </w:pPr>
  </w:style>
  <w:style w:type="paragraph" w:customStyle="1" w:styleId="TOFTitle">
    <w:name w:val="TOFTitle"/>
    <w:basedOn w:val="TOCTitle"/>
    <w:rsid w:val="00F95300"/>
  </w:style>
  <w:style w:type="paragraph" w:styleId="TableofFigures">
    <w:name w:val="table of figures"/>
    <w:basedOn w:val="Normal"/>
    <w:next w:val="Normal"/>
    <w:semiHidden/>
    <w:rsid w:val="00F95300"/>
    <w:pPr>
      <w:tabs>
        <w:tab w:val="right" w:leader="dot" w:pos="9072"/>
      </w:tabs>
      <w:ind w:left="970" w:hanging="403"/>
    </w:pPr>
    <w:rPr>
      <w:rFonts w:ascii="Times New Roman" w:hAnsi="Times New Roman"/>
      <w:b/>
    </w:rPr>
  </w:style>
  <w:style w:type="paragraph" w:styleId="ListNumber">
    <w:name w:val="List Number"/>
    <w:basedOn w:val="List"/>
    <w:rsid w:val="00F95300"/>
    <w:pPr>
      <w:numPr>
        <w:numId w:val="11"/>
      </w:numPr>
    </w:pPr>
  </w:style>
  <w:style w:type="character" w:customStyle="1" w:styleId="WingdingSymbols">
    <w:name w:val="Wingding Symbols"/>
    <w:rsid w:val="00F95300"/>
    <w:rPr>
      <w:rFonts w:ascii="Wingdings" w:hAnsi="Wingdings"/>
    </w:rPr>
  </w:style>
  <w:style w:type="paragraph" w:customStyle="1" w:styleId="TableHeading">
    <w:name w:val="Table Heading"/>
    <w:basedOn w:val="HeadingBase"/>
    <w:rsid w:val="00F95300"/>
    <w:pPr>
      <w:keepLines/>
      <w:pBdr>
        <w:bottom w:val="single" w:sz="6" w:space="1" w:color="918585"/>
      </w:pBdr>
      <w:spacing w:before="240"/>
    </w:pPr>
  </w:style>
  <w:style w:type="character" w:customStyle="1" w:styleId="HotSpot">
    <w:name w:val="HotSpot"/>
    <w:rsid w:val="00F95300"/>
    <w:rPr>
      <w:color w:val="0033CC"/>
      <w:u w:val="none"/>
    </w:rPr>
  </w:style>
  <w:style w:type="paragraph" w:customStyle="1" w:styleId="BodyTextRight">
    <w:name w:val="Body Text Right"/>
    <w:basedOn w:val="BodyText"/>
    <w:rsid w:val="00F95300"/>
    <w:pPr>
      <w:spacing w:before="0" w:after="0"/>
      <w:jc w:val="right"/>
    </w:pPr>
  </w:style>
  <w:style w:type="paragraph" w:styleId="Index3">
    <w:name w:val="index 3"/>
    <w:basedOn w:val="ListNumber2"/>
    <w:next w:val="Normal"/>
    <w:semiHidden/>
    <w:rsid w:val="00F95300"/>
    <w:pPr>
      <w:numPr>
        <w:numId w:val="0"/>
      </w:numPr>
      <w:tabs>
        <w:tab w:val="right" w:leader="dot" w:pos="4176"/>
      </w:tabs>
    </w:pPr>
  </w:style>
  <w:style w:type="paragraph" w:styleId="ListNumber2">
    <w:name w:val="List Number 2"/>
    <w:basedOn w:val="List2"/>
    <w:rsid w:val="00F95300"/>
    <w:pPr>
      <w:numPr>
        <w:numId w:val="10"/>
      </w:numPr>
      <w:tabs>
        <w:tab w:val="clear" w:pos="1060"/>
      </w:tabs>
    </w:pPr>
  </w:style>
  <w:style w:type="paragraph" w:customStyle="1" w:styleId="MarginNote">
    <w:name w:val="Margin Note"/>
    <w:basedOn w:val="BodyText"/>
    <w:rsid w:val="00F953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53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53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5300"/>
    <w:rPr>
      <w:sz w:val="32"/>
    </w:rPr>
  </w:style>
  <w:style w:type="paragraph" w:customStyle="1" w:styleId="HeadingProcedure">
    <w:name w:val="Heading Procedure"/>
    <w:basedOn w:val="HeadingBase"/>
    <w:next w:val="Normal"/>
    <w:rsid w:val="00F95300"/>
    <w:pPr>
      <w:tabs>
        <w:tab w:val="left" w:pos="0"/>
      </w:tabs>
      <w:spacing w:before="120" w:after="60"/>
    </w:pPr>
    <w:rPr>
      <w:i/>
      <w:color w:val="918585"/>
      <w:sz w:val="22"/>
    </w:rPr>
  </w:style>
  <w:style w:type="paragraph" w:customStyle="1" w:styleId="TableBodyText">
    <w:name w:val="Table Body Text"/>
    <w:basedOn w:val="BodyText"/>
    <w:rsid w:val="00F95300"/>
    <w:pPr>
      <w:spacing w:before="60" w:after="60"/>
    </w:pPr>
  </w:style>
  <w:style w:type="paragraph" w:styleId="ListContinue">
    <w:name w:val="List Continue"/>
    <w:basedOn w:val="List"/>
    <w:rsid w:val="00F95300"/>
    <w:pPr>
      <w:ind w:firstLine="0"/>
    </w:pPr>
  </w:style>
  <w:style w:type="paragraph" w:customStyle="1" w:styleId="ListNote">
    <w:name w:val="List Note"/>
    <w:basedOn w:val="List"/>
    <w:rsid w:val="00F95300"/>
    <w:pPr>
      <w:pBdr>
        <w:top w:val="single" w:sz="6" w:space="2" w:color="918585"/>
        <w:bottom w:val="single" w:sz="6" w:space="2" w:color="918585"/>
      </w:pBdr>
      <w:tabs>
        <w:tab w:val="left" w:pos="1021"/>
      </w:tabs>
      <w:ind w:firstLine="0"/>
    </w:pPr>
  </w:style>
  <w:style w:type="paragraph" w:customStyle="1" w:styleId="Warning">
    <w:name w:val="Warning"/>
    <w:basedOn w:val="BodyText"/>
    <w:rsid w:val="00F95300"/>
    <w:pPr>
      <w:shd w:val="clear" w:color="auto" w:fill="D9D9D9"/>
      <w:tabs>
        <w:tab w:val="left" w:pos="992"/>
      </w:tabs>
      <w:ind w:left="119" w:right="119"/>
    </w:pPr>
    <w:rPr>
      <w:sz w:val="20"/>
    </w:rPr>
  </w:style>
  <w:style w:type="paragraph" w:customStyle="1" w:styleId="MarginIcons">
    <w:name w:val="Margin Icons"/>
    <w:basedOn w:val="BodyText"/>
    <w:rsid w:val="00F953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5300"/>
    <w:rPr>
      <w:rFonts w:ascii="Courier New" w:hAnsi="Courier New"/>
    </w:rPr>
  </w:style>
  <w:style w:type="paragraph" w:customStyle="1" w:styleId="NoteBullet">
    <w:name w:val="Note Bullet"/>
    <w:basedOn w:val="Note"/>
    <w:rsid w:val="00F95300"/>
    <w:pPr>
      <w:tabs>
        <w:tab w:val="clear" w:pos="680"/>
      </w:tabs>
      <w:spacing w:before="60" w:after="60"/>
    </w:pPr>
  </w:style>
  <w:style w:type="paragraph" w:customStyle="1" w:styleId="SubHeading2">
    <w:name w:val="SubHeading2"/>
    <w:basedOn w:val="HeadingBase"/>
    <w:rsid w:val="00F95300"/>
    <w:pPr>
      <w:spacing w:before="240" w:after="60"/>
    </w:pPr>
    <w:rPr>
      <w:sz w:val="20"/>
    </w:rPr>
  </w:style>
  <w:style w:type="paragraph" w:customStyle="1" w:styleId="SubHeading1">
    <w:name w:val="SubHeading1"/>
    <w:basedOn w:val="HeadingBase"/>
    <w:rsid w:val="00F95300"/>
    <w:pPr>
      <w:spacing w:before="240" w:after="60"/>
    </w:pPr>
    <w:rPr>
      <w:color w:val="918585"/>
      <w:sz w:val="22"/>
    </w:rPr>
  </w:style>
  <w:style w:type="paragraph" w:customStyle="1" w:styleId="SideHeading">
    <w:name w:val="Side Heading"/>
    <w:basedOn w:val="HeadingBase"/>
    <w:rsid w:val="00F953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5300"/>
    <w:pPr>
      <w:numPr>
        <w:numId w:val="12"/>
      </w:numPr>
    </w:pPr>
  </w:style>
  <w:style w:type="paragraph" w:styleId="PlainText">
    <w:name w:val="Plain Text"/>
    <w:basedOn w:val="Normal"/>
    <w:link w:val="PlainTextChar"/>
    <w:rsid w:val="00F95300"/>
    <w:rPr>
      <w:sz w:val="20"/>
    </w:rPr>
  </w:style>
  <w:style w:type="character" w:customStyle="1" w:styleId="PlainTextChar">
    <w:name w:val="Plain Text Char"/>
    <w:basedOn w:val="DefaultParagraphFont"/>
    <w:link w:val="PlainText"/>
    <w:rsid w:val="00F95300"/>
    <w:rPr>
      <w:rFonts w:ascii="Courier New" w:eastAsia="Times New Roman" w:hAnsi="Courier New" w:cs="Times New Roman"/>
      <w:sz w:val="20"/>
      <w:szCs w:val="20"/>
      <w:lang w:eastAsia="en-US"/>
    </w:rPr>
  </w:style>
  <w:style w:type="character" w:customStyle="1" w:styleId="MenuOption">
    <w:name w:val="Menu Option"/>
    <w:basedOn w:val="DefaultParagraphFont"/>
    <w:rsid w:val="00F95300"/>
    <w:rPr>
      <w:b/>
      <w:smallCaps/>
    </w:rPr>
  </w:style>
  <w:style w:type="paragraph" w:customStyle="1" w:styleId="TableListNumber">
    <w:name w:val="Table List Number"/>
    <w:basedOn w:val="ListNumber"/>
    <w:rsid w:val="00F95300"/>
    <w:pPr>
      <w:numPr>
        <w:numId w:val="0"/>
      </w:numPr>
    </w:pPr>
  </w:style>
  <w:style w:type="paragraph" w:styleId="TOC4">
    <w:name w:val="toc 4"/>
    <w:basedOn w:val="TOCBase"/>
    <w:next w:val="Normal"/>
    <w:semiHidden/>
    <w:rsid w:val="00F95300"/>
    <w:pPr>
      <w:tabs>
        <w:tab w:val="right" w:leader="dot" w:pos="9071"/>
      </w:tabs>
      <w:ind w:left="1701"/>
    </w:pPr>
  </w:style>
  <w:style w:type="paragraph" w:customStyle="1" w:styleId="ListAlpha">
    <w:name w:val="List Alpha"/>
    <w:basedOn w:val="List"/>
    <w:rsid w:val="00F95300"/>
    <w:pPr>
      <w:numPr>
        <w:numId w:val="9"/>
      </w:numPr>
    </w:pPr>
  </w:style>
  <w:style w:type="paragraph" w:customStyle="1" w:styleId="ListAlpha2">
    <w:name w:val="List Alpha 2"/>
    <w:basedOn w:val="List2"/>
    <w:rsid w:val="00F95300"/>
    <w:pPr>
      <w:numPr>
        <w:numId w:val="8"/>
      </w:numPr>
    </w:pPr>
  </w:style>
  <w:style w:type="paragraph" w:styleId="List2">
    <w:name w:val="List 2"/>
    <w:basedOn w:val="BodyText"/>
    <w:rsid w:val="00F95300"/>
    <w:pPr>
      <w:tabs>
        <w:tab w:val="left" w:pos="680"/>
      </w:tabs>
      <w:spacing w:before="60" w:after="60"/>
      <w:ind w:left="680" w:hanging="340"/>
    </w:pPr>
  </w:style>
  <w:style w:type="paragraph" w:styleId="List3">
    <w:name w:val="List 3"/>
    <w:basedOn w:val="BodyText"/>
    <w:rsid w:val="00F95300"/>
    <w:pPr>
      <w:tabs>
        <w:tab w:val="left" w:pos="1021"/>
      </w:tabs>
      <w:spacing w:before="60" w:after="60"/>
      <w:ind w:left="1020" w:hanging="340"/>
    </w:pPr>
  </w:style>
  <w:style w:type="paragraph" w:styleId="List4">
    <w:name w:val="List 4"/>
    <w:basedOn w:val="BodyText"/>
    <w:rsid w:val="00F95300"/>
    <w:pPr>
      <w:tabs>
        <w:tab w:val="left" w:pos="1361"/>
      </w:tabs>
      <w:spacing w:before="60" w:after="60"/>
      <w:ind w:left="1361" w:hanging="340"/>
    </w:pPr>
  </w:style>
  <w:style w:type="paragraph" w:styleId="List5">
    <w:name w:val="List 5"/>
    <w:basedOn w:val="BodyText"/>
    <w:rsid w:val="00F95300"/>
    <w:pPr>
      <w:tabs>
        <w:tab w:val="left" w:pos="1701"/>
      </w:tabs>
      <w:spacing w:before="60" w:after="60"/>
      <w:ind w:left="1701" w:hanging="340"/>
    </w:pPr>
  </w:style>
  <w:style w:type="paragraph" w:styleId="ListBullet3">
    <w:name w:val="List Bullet 3"/>
    <w:basedOn w:val="List3"/>
    <w:rsid w:val="00F95300"/>
    <w:pPr>
      <w:numPr>
        <w:numId w:val="15"/>
      </w:numPr>
      <w:tabs>
        <w:tab w:val="clear" w:pos="1021"/>
      </w:tabs>
      <w:ind w:left="1037" w:hanging="357"/>
    </w:pPr>
  </w:style>
  <w:style w:type="paragraph" w:styleId="ListBullet4">
    <w:name w:val="List Bullet 4"/>
    <w:basedOn w:val="List4"/>
    <w:rsid w:val="00F95300"/>
    <w:pPr>
      <w:numPr>
        <w:numId w:val="3"/>
      </w:numPr>
    </w:pPr>
  </w:style>
  <w:style w:type="paragraph" w:styleId="ListBullet5">
    <w:name w:val="List Bullet 5"/>
    <w:basedOn w:val="List5"/>
    <w:rsid w:val="00F95300"/>
    <w:pPr>
      <w:numPr>
        <w:numId w:val="4"/>
      </w:numPr>
    </w:pPr>
  </w:style>
  <w:style w:type="paragraph" w:styleId="ListContinue2">
    <w:name w:val="List Continue 2"/>
    <w:basedOn w:val="List2"/>
    <w:rsid w:val="00F95300"/>
    <w:pPr>
      <w:ind w:firstLine="0"/>
    </w:pPr>
  </w:style>
  <w:style w:type="paragraph" w:styleId="ListContinue3">
    <w:name w:val="List Continue 3"/>
    <w:basedOn w:val="List3"/>
    <w:rsid w:val="00F95300"/>
    <w:pPr>
      <w:ind w:left="1021" w:firstLine="0"/>
    </w:pPr>
  </w:style>
  <w:style w:type="paragraph" w:styleId="ListContinue4">
    <w:name w:val="List Continue 4"/>
    <w:basedOn w:val="List4"/>
    <w:rsid w:val="00F95300"/>
    <w:pPr>
      <w:ind w:firstLine="0"/>
    </w:pPr>
  </w:style>
  <w:style w:type="paragraph" w:styleId="ListContinue5">
    <w:name w:val="List Continue 5"/>
    <w:basedOn w:val="List5"/>
    <w:rsid w:val="00F95300"/>
    <w:pPr>
      <w:ind w:firstLine="0"/>
    </w:pPr>
  </w:style>
  <w:style w:type="paragraph" w:styleId="ListNumber3">
    <w:name w:val="List Number 3"/>
    <w:basedOn w:val="List3"/>
    <w:rsid w:val="00F95300"/>
    <w:pPr>
      <w:numPr>
        <w:numId w:val="5"/>
      </w:numPr>
    </w:pPr>
  </w:style>
  <w:style w:type="paragraph" w:styleId="ListNumber4">
    <w:name w:val="List Number 4"/>
    <w:basedOn w:val="List4"/>
    <w:rsid w:val="00F95300"/>
    <w:pPr>
      <w:numPr>
        <w:numId w:val="6"/>
      </w:numPr>
    </w:pPr>
  </w:style>
  <w:style w:type="paragraph" w:styleId="ListNumber5">
    <w:name w:val="List Number 5"/>
    <w:basedOn w:val="List5"/>
    <w:rsid w:val="00F95300"/>
    <w:pPr>
      <w:numPr>
        <w:numId w:val="7"/>
      </w:numPr>
    </w:pPr>
  </w:style>
  <w:style w:type="paragraph" w:styleId="BlockText">
    <w:name w:val="Block Text"/>
    <w:basedOn w:val="Normal"/>
    <w:rsid w:val="00F95300"/>
    <w:pPr>
      <w:spacing w:after="120"/>
      <w:ind w:left="1440" w:right="1440"/>
    </w:pPr>
  </w:style>
  <w:style w:type="character" w:customStyle="1" w:styleId="Subscript">
    <w:name w:val="Subscript"/>
    <w:basedOn w:val="DefaultParagraphFont"/>
    <w:rsid w:val="00F95300"/>
    <w:rPr>
      <w:sz w:val="16"/>
      <w:vertAlign w:val="subscript"/>
    </w:rPr>
  </w:style>
  <w:style w:type="character" w:customStyle="1" w:styleId="Superscript">
    <w:name w:val="Superscript"/>
    <w:basedOn w:val="DefaultParagraphFont"/>
    <w:rsid w:val="00F95300"/>
    <w:rPr>
      <w:sz w:val="16"/>
      <w:vertAlign w:val="superscript"/>
    </w:rPr>
  </w:style>
  <w:style w:type="character" w:customStyle="1" w:styleId="Symbols">
    <w:name w:val="Symbols"/>
    <w:basedOn w:val="DefaultParagraphFont"/>
    <w:rsid w:val="00F95300"/>
    <w:rPr>
      <w:rFonts w:ascii="Symbol" w:hAnsi="Symbol"/>
    </w:rPr>
  </w:style>
  <w:style w:type="character" w:customStyle="1" w:styleId="MenuOptions">
    <w:name w:val="Menu Options"/>
    <w:basedOn w:val="DefaultParagraphFont"/>
    <w:rsid w:val="00F95300"/>
    <w:rPr>
      <w:rFonts w:ascii="Arial Narrow" w:hAnsi="Arial Narrow"/>
      <w:smallCaps/>
    </w:rPr>
  </w:style>
  <w:style w:type="character" w:customStyle="1" w:styleId="Buttons">
    <w:name w:val="Buttons"/>
    <w:basedOn w:val="DefaultParagraphFont"/>
    <w:rsid w:val="00F95300"/>
    <w:rPr>
      <w:b/>
    </w:rPr>
  </w:style>
  <w:style w:type="character" w:customStyle="1" w:styleId="Underlined">
    <w:name w:val="Underlined"/>
    <w:basedOn w:val="DefaultParagraphFont"/>
    <w:rsid w:val="00F95300"/>
    <w:rPr>
      <w:u w:val="single"/>
    </w:rPr>
  </w:style>
  <w:style w:type="paragraph" w:customStyle="1" w:styleId="TableBodyTextRight">
    <w:name w:val="Table Body Text Right"/>
    <w:basedOn w:val="TableBodyText"/>
    <w:rsid w:val="00F95300"/>
    <w:pPr>
      <w:widowControl w:val="0"/>
      <w:autoSpaceDE w:val="0"/>
      <w:autoSpaceDN w:val="0"/>
      <w:adjustRightInd w:val="0"/>
      <w:jc w:val="right"/>
    </w:pPr>
    <w:rPr>
      <w:rFonts w:cs="Arial"/>
      <w:szCs w:val="18"/>
    </w:rPr>
  </w:style>
  <w:style w:type="paragraph" w:customStyle="1" w:styleId="CopyrightText">
    <w:name w:val="Copyright Text"/>
    <w:basedOn w:val="BodyText"/>
    <w:rsid w:val="00F95300"/>
    <w:rPr>
      <w:sz w:val="18"/>
    </w:rPr>
  </w:style>
  <w:style w:type="paragraph" w:customStyle="1" w:styleId="BodySmallRight">
    <w:name w:val="Body Small Right"/>
    <w:basedOn w:val="BodyTextRight"/>
    <w:rsid w:val="00F95300"/>
    <w:rPr>
      <w:sz w:val="18"/>
      <w:szCs w:val="18"/>
    </w:rPr>
  </w:style>
  <w:style w:type="paragraph" w:customStyle="1" w:styleId="MarginEdition">
    <w:name w:val="Margin Edition"/>
    <w:basedOn w:val="MarginNote"/>
    <w:rsid w:val="00F95300"/>
    <w:pPr>
      <w:spacing w:before="0" w:after="0"/>
    </w:pPr>
    <w:rPr>
      <w:rFonts w:ascii="Times New Roman" w:hAnsi="Times New Roman"/>
      <w:color w:val="999999"/>
    </w:rPr>
  </w:style>
  <w:style w:type="paragraph" w:customStyle="1" w:styleId="Spacer">
    <w:name w:val="Spacer"/>
    <w:basedOn w:val="Normal"/>
    <w:rsid w:val="00F95300"/>
    <w:rPr>
      <w:sz w:val="2"/>
      <w:szCs w:val="2"/>
    </w:rPr>
  </w:style>
  <w:style w:type="character" w:customStyle="1" w:styleId="Small">
    <w:name w:val="Small"/>
    <w:basedOn w:val="DefaultParagraphFont"/>
    <w:rsid w:val="00F95300"/>
    <w:rPr>
      <w:sz w:val="16"/>
    </w:rPr>
  </w:style>
  <w:style w:type="paragraph" w:customStyle="1" w:styleId="WideTable">
    <w:name w:val="Wide Table"/>
    <w:basedOn w:val="Normal"/>
    <w:rsid w:val="00F95300"/>
    <w:pPr>
      <w:ind w:left="-1418"/>
    </w:pPr>
    <w:rPr>
      <w:sz w:val="2"/>
      <w:szCs w:val="2"/>
    </w:rPr>
  </w:style>
  <w:style w:type="character" w:styleId="PageNumber">
    <w:name w:val="page number"/>
    <w:basedOn w:val="DefaultParagraphFont"/>
    <w:rsid w:val="00F95300"/>
  </w:style>
  <w:style w:type="paragraph" w:styleId="Quote">
    <w:name w:val="Quote"/>
    <w:basedOn w:val="Heading1"/>
    <w:link w:val="QuoteChar"/>
    <w:qFormat/>
    <w:rsid w:val="00F95300"/>
    <w:rPr>
      <w:b w:val="0"/>
      <w:sz w:val="72"/>
      <w:szCs w:val="72"/>
      <w:lang w:val="en-NZ"/>
    </w:rPr>
  </w:style>
  <w:style w:type="character" w:customStyle="1" w:styleId="QuoteChar">
    <w:name w:val="Quote Char"/>
    <w:basedOn w:val="DefaultParagraphFont"/>
    <w:link w:val="Quote"/>
    <w:rsid w:val="00F953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5300"/>
    <w:pPr>
      <w:pageBreakBefore/>
    </w:pPr>
  </w:style>
  <w:style w:type="paragraph" w:customStyle="1" w:styleId="Border">
    <w:name w:val="Border"/>
    <w:basedOn w:val="Normal"/>
    <w:qFormat/>
    <w:rsid w:val="00F953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5300"/>
    <w:rPr>
      <w:b/>
      <w:bCs/>
      <w:i/>
      <w:iCs/>
      <w:color w:val="auto"/>
    </w:rPr>
  </w:style>
  <w:style w:type="paragraph" w:styleId="IntenseQuote">
    <w:name w:val="Intense Quote"/>
    <w:basedOn w:val="Normal"/>
    <w:next w:val="Normal"/>
    <w:link w:val="IntenseQuoteChar"/>
    <w:uiPriority w:val="30"/>
    <w:qFormat/>
    <w:rsid w:val="00F953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53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5300"/>
    <w:rPr>
      <w:smallCaps/>
      <w:color w:val="auto"/>
      <w:u w:val="single"/>
    </w:rPr>
  </w:style>
  <w:style w:type="character" w:styleId="IntenseReference">
    <w:name w:val="Intense Reference"/>
    <w:basedOn w:val="DefaultParagraphFont"/>
    <w:uiPriority w:val="32"/>
    <w:qFormat/>
    <w:rsid w:val="00F95300"/>
    <w:rPr>
      <w:b/>
      <w:bCs/>
      <w:smallCaps/>
      <w:color w:val="auto"/>
      <w:spacing w:val="5"/>
      <w:u w:val="single"/>
    </w:rPr>
  </w:style>
  <w:style w:type="paragraph" w:customStyle="1" w:styleId="2ColumnHeading">
    <w:name w:val="2Column Heading"/>
    <w:basedOn w:val="BodyText"/>
    <w:qFormat/>
    <w:rsid w:val="00F95300"/>
    <w:pPr>
      <w:spacing w:after="60"/>
      <w:ind w:left="-2268"/>
    </w:pPr>
    <w:rPr>
      <w:b/>
    </w:rPr>
  </w:style>
  <w:style w:type="paragraph" w:customStyle="1" w:styleId="Heading1TOC">
    <w:name w:val="Heading1 TOC"/>
    <w:basedOn w:val="Normal"/>
    <w:qFormat/>
    <w:rsid w:val="00F95300"/>
    <w:pPr>
      <w:spacing w:before="240" w:after="120"/>
    </w:pPr>
    <w:rPr>
      <w:rFonts w:ascii="Times New Roman" w:hAnsi="Times New Roman"/>
      <w:b/>
      <w:sz w:val="32"/>
    </w:rPr>
  </w:style>
  <w:style w:type="paragraph" w:customStyle="1" w:styleId="Heading2TOC">
    <w:name w:val="Heading2 TOC"/>
    <w:basedOn w:val="Normal"/>
    <w:qFormat/>
    <w:rsid w:val="00F95300"/>
    <w:pPr>
      <w:spacing w:before="240" w:after="60"/>
    </w:pPr>
    <w:rPr>
      <w:rFonts w:ascii="Times New Roman" w:hAnsi="Times New Roman"/>
      <w:b/>
      <w:sz w:val="28"/>
    </w:rPr>
  </w:style>
  <w:style w:type="character" w:customStyle="1" w:styleId="Underline">
    <w:name w:val="Underline"/>
    <w:basedOn w:val="DefaultParagraphFont"/>
    <w:qFormat/>
    <w:rsid w:val="00F95300"/>
    <w:rPr>
      <w:u w:val="single"/>
    </w:rPr>
  </w:style>
  <w:style w:type="character" w:customStyle="1" w:styleId="BoldandItalics">
    <w:name w:val="Bold and Italics"/>
    <w:qFormat/>
    <w:rsid w:val="00F95300"/>
    <w:rPr>
      <w:b/>
      <w:i/>
      <w:u w:val="none"/>
    </w:rPr>
  </w:style>
  <w:style w:type="paragraph" w:styleId="BalloonText">
    <w:name w:val="Balloon Text"/>
    <w:basedOn w:val="Normal"/>
    <w:link w:val="BalloonTextChar"/>
    <w:rsid w:val="00F95300"/>
    <w:rPr>
      <w:rFonts w:ascii="Tahoma" w:hAnsi="Tahoma" w:cs="Tahoma"/>
      <w:sz w:val="16"/>
      <w:szCs w:val="16"/>
    </w:rPr>
  </w:style>
  <w:style w:type="character" w:customStyle="1" w:styleId="BalloonTextChar">
    <w:name w:val="Balloon Text Char"/>
    <w:basedOn w:val="DefaultParagraphFont"/>
    <w:link w:val="BalloonText"/>
    <w:rsid w:val="00F953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53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53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5300"/>
    <w:rPr>
      <w:b/>
      <w:color w:val="660033"/>
      <w:spacing w:val="0"/>
    </w:rPr>
  </w:style>
  <w:style w:type="paragraph" w:customStyle="1" w:styleId="Nameditemlist">
    <w:name w:val="Named item list"/>
    <w:basedOn w:val="BodyText"/>
    <w:qFormat/>
    <w:rsid w:val="00F9530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2545</Words>
  <Characters>15252</Characters>
  <Application>Microsoft Office Word</Application>
  <DocSecurity>0</DocSecurity>
  <Lines>631</Lines>
  <Paragraphs>248</Paragraphs>
  <ScaleCrop>false</ScaleCrop>
  <Company>Author-it Software Corporation Ltd.</Company>
  <LinksUpToDate>false</LinksUpToDate>
  <CharactersWithSpaces>17581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UEENEEP001B Disconnect and reconnect fixed wired electrical equipment connected to a Low Voltage supply</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2012-10-11T18:23:00Z</dcterms:created>
  <dcterms:modified xsi:type="dcterms:W3CDTF">2012-10-11T18:23:00Z</dcterms:modified>
</cp:coreProperties>
</file>